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r>
        <w:t xml:space="preserve"/>
      </w:r>
    </w:p>
    <w:p>
      <w:pPr>
        <w:spacing w:after="120"/>
        <w:jc w:val="center"/>
      </w:pPr>
      <w:r>
        <w:rPr>
          <w:rFonts w:ascii="Calibri" w:cs="Calibri" w:eastAsia="Calibri" w:hAnsi="Calibri"/>
          <w:b/>
          <w:bCs/>
          <w:color w:val="1F4E79"/>
          <w:sz w:val="50"/>
          <w:szCs w:val="50"/>
        </w:rPr>
        <w:t xml:space="preserve">S.MART RETAIL AI</w:t>
      </w:r>
    </w:p>
    <w:p>
      <w:pPr>
        <w:spacing w:after="380"/>
        <w:jc w:val="center"/>
      </w:pPr>
      <w:r>
        <w:rPr>
          <w:rFonts w:ascii="Calibri" w:cs="Calibri" w:eastAsia="Calibri" w:hAnsi="Calibri"/>
          <w:color w:val="595959"/>
          <w:sz w:val="28"/>
          <w:szCs w:val="28"/>
        </w:rPr>
        <w:t xml:space="preserve">Project Report and User Guide</w:t>
      </w:r>
    </w:p>
    <w:p>
      <w:pPr>
        <w:spacing w:after="800"/>
        <w:jc w:val="center"/>
      </w:pPr>
      <w:r>
        <w:rPr>
          <w:rFonts w:ascii="Calibri" w:cs="Calibri" w:eastAsia="Calibri" w:hAnsi="Calibri"/>
          <w:i/>
          <w:iCs/>
          <w:color w:val="595959"/>
          <w:sz w:val="22"/>
          <w:szCs w:val="22"/>
        </w:rPr>
        <w:t xml:space="preserve">What was built, how to run it, and what every screen does</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345"/>
        <w:gridCol w:w="6675"/>
      </w:tblGrid>
      <w:tr>
        <w:trPr>
          <w:tblHeader/>
        </w:trPr>
        <w:tc>
          <w:tcPr>
            <w:tcW w:type="dxa" w:w="234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w:r>
          </w:p>
        </w:tc>
        <w:tc>
          <w:tcPr>
            <w:tcW w:type="dxa" w:w="667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Application</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S.Mart Retail AI (repository: retailapp1)</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Built on</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SAP Cloud Application Programming Model, Node.js, SAP HANA Cloud</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Source data</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SAP Customer Checkout - Complete Sales Report, S.Mart Walldorf</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Data period</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1 January to 3 July 2026, 179 trading days</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Revision</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2.0 - includes the scenario workbench, API explorer and all fixes</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Date</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29 July 2026</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Author</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Divyansh Maurya</w:t>
            </w:r>
          </w:p>
        </w:tc>
      </w:tr>
    </w:tbl>
    <w:p>
      <w:r>
        <w:br w:type="page"/>
      </w:r>
    </w:p>
    <w:p>
      <w:pPr>
        <w:pStyle w:val="Heading1"/>
        <w:spacing w:after="160" w:before="380"/>
      </w:pPr>
      <w:r>
        <w:rPr>
          <w:rFonts w:ascii="Calibri" w:cs="Calibri" w:eastAsia="Calibri" w:hAnsi="Calibri"/>
          <w:b/>
          <w:bCs/>
          <w:color w:val="1F4E79"/>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80"/>
      </w:pPr>
      <w:r>
        <w:rPr>
          <w:rFonts w:ascii="Calibri" w:cs="Calibri" w:eastAsia="Calibri" w:hAnsi="Calibri"/>
          <w:b/>
          <w:bCs/>
          <w:color w:val="1F4E79"/>
          <w:sz w:val="30"/>
          <w:szCs w:val="30"/>
        </w:rPr>
        <w:t xml:space="preserve">Part One: What This Is</w:t>
      </w:r>
    </w:p>
    <w:p>
      <w:pPr>
        <w:pBdr>
          <w:bottom w:val="single" w:color="1F4E79" w:sz="6"/>
        </w:pBdr>
        <w:spacing w:after="200" w:before="60"/>
      </w:pPr>
      <w:r>
        <w:rPr>
          <w:sz w:val="2"/>
          <w:szCs w:val="2"/>
        </w:rPr>
        <w:t xml:space="preserve"/>
      </w:r>
    </w:p>
    <w:p>
      <w:pPr>
        <w:pStyle w:val="Heading2"/>
        <w:spacing w:after="120" w:before="280"/>
      </w:pPr>
      <w:r>
        <w:rPr>
          <w:rFonts w:ascii="Calibri" w:cs="Calibri" w:eastAsia="Calibri" w:hAnsi="Calibri"/>
          <w:b/>
          <w:bCs/>
          <w:color w:val="1F4E79"/>
          <w:sz w:val="24"/>
          <w:szCs w:val="24"/>
        </w:rPr>
        <w:t xml:space="preserve">1.1 In one paragraph</w:t>
      </w:r>
    </w:p>
    <w:p>
      <w:pPr>
        <w:spacing w:after="140" w:line="276"/>
      </w:pPr>
      <w:r>
        <w:rPr>
          <w:rFonts w:ascii="Calibri" w:cs="Calibri" w:eastAsia="Calibri" w:hAnsi="Calibri"/>
          <w:sz w:val="21"/>
          <w:szCs w:val="21"/>
        </w:rPr>
        <w:t xml:space="preserve">We were handed two spreadsheets exported from SAP Customer Checkout and asked what could be made of them. They turned out to be six months of real trading data from the S.Mart store on the SAP campus in Walldorf, which is an unusual shop: it runs 24 hours a day with nobody behind a counter, you get in by showing a QR code from an app, and RFID tags plus the payfree gate replace the till. Around that data we built a six-store network, six retail AI scenarios, two OData services and three working user interfaces, all deployable to SAP HANA Cloud.</w:t>
      </w:r>
    </w:p>
    <w:p>
      <w:pPr>
        <w:pStyle w:val="Heading2"/>
        <w:spacing w:after="120" w:before="280"/>
      </w:pPr>
      <w:r>
        <w:rPr>
          <w:rFonts w:ascii="Calibri" w:cs="Calibri" w:eastAsia="Calibri" w:hAnsi="Calibri"/>
          <w:b/>
          <w:bCs/>
          <w:color w:val="1F4E79"/>
          <w:sz w:val="24"/>
          <w:szCs w:val="24"/>
        </w:rPr>
        <w:t xml:space="preserve">1.2 The number that shaped the project</w:t>
      </w:r>
    </w:p>
    <w:p>
      <w:pPr>
        <w:spacing w:after="140" w:line="276"/>
      </w:pPr>
      <w:r>
        <w:rPr>
          <w:rFonts w:ascii="Calibri" w:cs="Calibri" w:eastAsia="Calibri" w:hAnsi="Calibri"/>
          <w:sz w:val="21"/>
          <w:szCs w:val="21"/>
        </w:rPr>
        <w:t xml:space="preserve">Across the six months the store rang up 2,550 receipts worth EUR 10,588.86. Over the same period it recorded 3,217 cancellations worth EUR 5,830.73, and 2,274 of those were on the unstaffed payfree gate.</w:t>
      </w:r>
    </w:p>
    <w:p>
      <w:pPr>
        <w:spacing w:after="140" w:line="276"/>
      </w:pPr>
      <w:r>
        <w:rPr>
          <w:rFonts w:ascii="Calibri" w:cs="Calibri" w:eastAsia="Calibri" w:hAnsi="Calibri"/>
          <w:sz w:val="21"/>
          <w:szCs w:val="21"/>
        </w:rPr>
        <w:t xml:space="preserve">More than half the value of completed sales was voided somewhere along the way. In a shop with a cashier a voided line usually means somebody changed their mind. In a shop with no cashier it usually means a tag did not read, or an item left without being paid for, or a basket was abandoned at the gate, and nobody was standing there to see which. That gap is the most interesting problem in the data, so the checkout integrity scenario was built around it first and the other five fill out the picture.</w:t>
      </w:r>
    </w:p>
    <w:p>
      <w:pPr>
        <w:pStyle w:val="Heading2"/>
        <w:spacing w:after="120" w:before="280"/>
      </w:pPr>
      <w:r>
        <w:rPr>
          <w:rFonts w:ascii="Calibri" w:cs="Calibri" w:eastAsia="Calibri" w:hAnsi="Calibri"/>
          <w:b/>
          <w:bCs/>
          <w:color w:val="1F4E79"/>
          <w:sz w:val="24"/>
          <w:szCs w:val="24"/>
        </w:rPr>
        <w:t xml:space="preserve">1.3 What is real and what is synthesized</w:t>
      </w:r>
    </w:p>
    <w:p>
      <w:pPr>
        <w:spacing w:after="140" w:line="276"/>
      </w:pPr>
      <w:r>
        <w:rPr>
          <w:rFonts w:ascii="Calibri" w:cs="Calibri" w:eastAsia="Calibri" w:hAnsi="Calibri"/>
          <w:sz w:val="21"/>
          <w:szCs w:val="21"/>
        </w:rPr>
        <w:t xml:space="preserve">This distinction matters, so it is recorded in the data rather than in a footnote. Two fields carry it: Stores.isReferenceStore and Articles.isFromSapExport.</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4510"/>
        <w:gridCol w:w="4510"/>
      </w:tblGrid>
      <w:tr>
        <w:trPr>
          <w:tblHeader/>
        </w:trPr>
        <w:tc>
          <w:tcPr>
            <w:tcW w:type="dxa" w:w="451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Real, straight from the SAP export</w:t>
            </w:r>
          </w:p>
        </w:tc>
        <w:tc>
          <w:tcPr>
            <w:tcW w:type="dxa" w:w="451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Synthesized from measurements of it</w:t>
            </w:r>
          </w:p>
        </w:tc>
      </w:tr>
      <w:tr>
        <w:tc>
          <w:tcPr>
            <w:tcW w:type="dxa" w:w="451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All 327 articles and 63 article groups</w:t>
            </w:r>
          </w:p>
        </w:tc>
        <w:tc>
          <w:tcPr>
            <w:tcW w:type="dxa" w:w="451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Five additional stores with different formats and sizes</w:t>
            </w:r>
          </w:p>
        </w:tc>
      </w:tr>
      <w:tr>
        <w:tc>
          <w:tcPr>
            <w:tcW w:type="dxa" w:w="4510"/>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Walldorf hourly sales, 4,926 rows over 179 days</w:t>
            </w:r>
          </w:p>
        </w:tc>
        <w:tc>
          <w:tcPr>
            <w:tcW w:type="dxa" w:w="4510"/>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Their hourly sales, using the measured demand curve</w:t>
            </w:r>
          </w:p>
        </w:tc>
      </w:tr>
      <w:tr>
        <w:tc>
          <w:tcPr>
            <w:tcW w:type="dxa" w:w="451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Walldorf cancellations, returns and payment split</w:t>
            </w:r>
          </w:p>
        </w:tc>
        <w:tc>
          <w:tcPr>
            <w:tcW w:type="dxa" w:w="451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Receipts and basket composition</w:t>
            </w:r>
          </w:p>
        </w:tc>
      </w:tr>
      <w:tr>
        <w:tc>
          <w:tcPr>
            <w:tcW w:type="dxa" w:w="4510"/>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three terminals and their receipt shares</w:t>
            </w:r>
          </w:p>
        </w:tc>
        <w:tc>
          <w:tcPr>
            <w:tcW w:type="dxa" w:w="4510"/>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Inventory, shelf sensors, footfall, customers, suppliers</w:t>
            </w:r>
          </w:p>
        </w:tc>
      </w:tr>
      <w:tr>
        <w:tc>
          <w:tcPr>
            <w:tcW w:type="dxa" w:w="451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German 19% and 7% VAT bands</w:t>
            </w:r>
          </w:p>
        </w:tc>
        <w:tc>
          <w:tcPr>
            <w:tcW w:type="dxa" w:w="451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Supplier lead times and reliability</w:t>
            </w:r>
          </w:p>
        </w:tc>
      </w:tr>
    </w:tbl>
    <w:p>
      <w:pPr>
        <w:spacing w:after="140"/>
      </w:pPr>
      <w:r>
        <w:t xml:space="preserve"/>
      </w:r>
    </w:p>
    <w:p>
      <w:pPr>
        <w:spacing w:after="140" w:line="276"/>
      </w:pPr>
      <w:r>
        <w:rPr>
          <w:rFonts w:ascii="Calibri" w:cs="Calibri" w:eastAsia="Calibri" w:hAnsi="Calibri"/>
          <w:sz w:val="21"/>
          <w:szCs w:val="21"/>
        </w:rPr>
        <w:t xml:space="preserve">Nothing was invented where a real distribution was available. The hour-of-day curve, the day-of-week factors, the article mix, the per-terminal cancellation rates and the payment split were all measured from the export and replayed at different scales. The whole synthesis runs from a fixed seed, so it reproduces byte for byte.</w:t>
      </w:r>
    </w:p>
    <w:p>
      <w:pPr>
        <w:pStyle w:val="Heading2"/>
        <w:spacing w:after="120" w:before="280"/>
      </w:pPr>
      <w:r>
        <w:rPr>
          <w:rFonts w:ascii="Calibri" w:cs="Calibri" w:eastAsia="Calibri" w:hAnsi="Calibri"/>
          <w:b/>
          <w:bCs/>
          <w:color w:val="1F4E79"/>
          <w:sz w:val="24"/>
          <w:szCs w:val="24"/>
        </w:rPr>
        <w:t xml:space="preserve">1.4 What the engines found on their own</w:t>
      </w:r>
    </w:p>
    <w:p>
      <w:pPr>
        <w:spacing w:after="140" w:line="276"/>
      </w:pPr>
      <w:r>
        <w:rPr>
          <w:rFonts w:ascii="Calibri" w:cs="Calibri" w:eastAsia="Calibri" w:hAnsi="Calibri"/>
          <w:sz w:val="21"/>
          <w:szCs w:val="21"/>
        </w:rPr>
        <w:t xml:space="preserve">Two findings are worth stating because neither was planted. Both fall out of the rules when run against the genuine Walldorf export.</w:t>
      </w:r>
    </w:p>
    <w:p>
      <w:pPr>
        <w:pStyle w:val="Heading3"/>
        <w:spacing w:after="100" w:before="200"/>
      </w:pPr>
      <w:r>
        <w:rPr>
          <w:rFonts w:ascii="Calibri" w:cs="Calibri" w:eastAsia="Calibri" w:hAnsi="Calibri"/>
          <w:b/>
          <w:bCs/>
          <w:color w:val="2E2E2E"/>
          <w:sz w:val="22"/>
          <w:szCs w:val="22"/>
        </w:rPr>
        <w:t xml:space="preserve">A master data fault worth EUR 635.94</w:t>
      </w:r>
    </w:p>
    <w:p>
      <w:pPr>
        <w:spacing w:after="140" w:line="276"/>
      </w:pPr>
      <w:r>
        <w:rPr>
          <w:rFonts w:ascii="Calibri" w:cs="Calibri" w:eastAsia="Calibri" w:hAnsi="Calibri"/>
          <w:sz w:val="21"/>
          <w:szCs w:val="21"/>
        </w:rPr>
        <w:t xml:space="preserve">The top-ranked alert in the whole system is a price error on Sunny Bites Banana Chips. The export records seven cancellation events covering twenty units for EUR 635.94, which works out at EUR 31.80 a unit against a master price of EUR 0.99 - a factor of 32.</w:t>
      </w:r>
    </w:p>
    <w:p>
      <w:pPr>
        <w:spacing w:after="140" w:line="276"/>
      </w:pPr>
      <w:r>
        <w:rPr>
          <w:rFonts w:ascii="Calibri" w:cs="Calibri" w:eastAsia="Calibri" w:hAnsi="Calibri"/>
          <w:sz w:val="21"/>
          <w:szCs w:val="21"/>
        </w:rPr>
        <w:t xml:space="preserve">The engine does not call this theft, and that is the point. A cancelled value that far from the master price is a master data or shelf label fault, so it is classified PRICE_ERROR and the recommended action is to reconcile the article master against the electronic shelf label.</w:t>
      </w:r>
    </w:p>
    <w:p>
      <w:pPr>
        <w:pStyle w:val="Heading3"/>
        <w:spacing w:after="100" w:before="200"/>
      </w:pPr>
      <w:r>
        <w:rPr>
          <w:rFonts w:ascii="Calibri" w:cs="Calibri" w:eastAsia="Calibri" w:hAnsi="Calibri"/>
          <w:b/>
          <w:bCs/>
          <w:color w:val="2E2E2E"/>
          <w:sz w:val="22"/>
          <w:szCs w:val="22"/>
        </w:rPr>
        <w:t xml:space="preserve">The deposit return problem</w:t>
      </w:r>
    </w:p>
    <w:p>
      <w:pPr>
        <w:spacing w:after="140" w:line="276"/>
      </w:pPr>
      <w:r>
        <w:rPr>
          <w:rFonts w:ascii="Calibri" w:cs="Calibri" w:eastAsia="Calibri" w:hAnsi="Calibri"/>
          <w:sz w:val="21"/>
          <w:szCs w:val="21"/>
        </w:rPr>
        <w:t xml:space="preserve">Leergut 0,25 EUR, the German bottle deposit, is the most cancelled line in the store with 508 events. It is flagged TAG_ABSENT.</w:t>
      </w:r>
    </w:p>
    <w:p>
      <w:pPr>
        <w:spacing w:after="140" w:line="276"/>
      </w:pPr>
      <w:r>
        <w:rPr>
          <w:rFonts w:ascii="Calibri" w:cs="Calibri" w:eastAsia="Calibri" w:hAnsi="Calibri"/>
          <w:sz w:val="21"/>
          <w:szCs w:val="21"/>
        </w:rPr>
        <w:t xml:space="preserve">The cause is structural. Empty bottles cannot carry an RFID tag, and the payfree gate is built entirely around reading tags, so every deposit return fights the technology. Deposit lines are three of the four highest-volume items in the store, so this is a daily occurrence rather than an edge case. Seeing it required joining the cancellation report to the article master, which records whether a line is tagged, and to the terminal master, which records whether a lane is staffed.</w:t>
      </w:r>
    </w:p>
    <w:p>
      <w:r>
        <w:br w:type="page"/>
      </w:r>
    </w:p>
    <w:p>
      <w:pPr>
        <w:pStyle w:val="Heading1"/>
        <w:spacing w:after="160" w:before="380"/>
      </w:pPr>
      <w:r>
        <w:rPr>
          <w:rFonts w:ascii="Calibri" w:cs="Calibri" w:eastAsia="Calibri" w:hAnsi="Calibri"/>
          <w:b/>
          <w:bCs/>
          <w:color w:val="1F4E79"/>
          <w:sz w:val="30"/>
          <w:szCs w:val="30"/>
        </w:rPr>
        <w:t xml:space="preserve">Part Two: Running the Application</w:t>
      </w:r>
    </w:p>
    <w:p>
      <w:pPr>
        <w:pBdr>
          <w:bottom w:val="single" w:color="1F4E79" w:sz="6"/>
        </w:pBdr>
        <w:spacing w:after="200" w:before="60"/>
      </w:pPr>
      <w:r>
        <w:rPr>
          <w:sz w:val="2"/>
          <w:szCs w:val="2"/>
        </w:rPr>
        <w:t xml:space="preserve"/>
      </w:r>
    </w:p>
    <w:p>
      <w:pPr>
        <w:pStyle w:val="Heading2"/>
        <w:spacing w:after="120" w:before="280"/>
      </w:pPr>
      <w:r>
        <w:rPr>
          <w:rFonts w:ascii="Calibri" w:cs="Calibri" w:eastAsia="Calibri" w:hAnsi="Calibri"/>
          <w:b/>
          <w:bCs/>
          <w:color w:val="1F4E79"/>
          <w:sz w:val="24"/>
          <w:szCs w:val="24"/>
        </w:rPr>
        <w:t xml:space="preserve">2.1 First time on a new machine</w:t>
      </w:r>
    </w:p>
    <w:p>
      <w:pPr>
        <w:spacing w:after="140" w:line="276"/>
      </w:pPr>
      <w:r>
        <w:rPr>
          <w:rFonts w:ascii="Calibri" w:cs="Calibri" w:eastAsia="Calibri" w:hAnsi="Calibri"/>
          <w:sz w:val="21"/>
          <w:szCs w:val="21"/>
        </w:rPr>
        <w:t xml:space="preserve">You need Node.js 20 or newer. Python is only required if you want to rebuild the dataset from the original spreadsheets; it is not needed to run the application, because the generated data is committed.</w:t>
      </w:r>
    </w:p>
    <w:p>
      <w:pPr>
        <w:shd w:fill="F2F5F8" w:color="auto" w:val="clear"/>
        <w:spacing w:after="140" w:before="60"/>
        <w:ind w:left="340"/>
      </w:pPr>
      <w:r>
        <w:rPr>
          <w:rFonts w:ascii="Consolas" w:cs="Consolas" w:eastAsia="Consolas" w:hAnsi="Consolas"/>
          <w:sz w:val="19"/>
          <w:szCs w:val="19"/>
        </w:rPr>
        <w:t xml:space="preserve">git clone https://github.com/divyanshmaurya/retailapp1.git</w:t>
      </w:r>
    </w:p>
    <w:p>
      <w:pPr>
        <w:shd w:fill="F2F5F8" w:color="auto" w:val="clear"/>
        <w:spacing w:after="140" w:before="60"/>
        <w:ind w:left="340"/>
      </w:pPr>
      <w:r>
        <w:rPr>
          <w:rFonts w:ascii="Consolas" w:cs="Consolas" w:eastAsia="Consolas" w:hAnsi="Consolas"/>
          <w:sz w:val="19"/>
          <w:szCs w:val="19"/>
        </w:rPr>
        <w:t xml:space="preserve">cd retailapp1</w:t>
      </w:r>
    </w:p>
    <w:p>
      <w:pPr>
        <w:shd w:fill="F2F5F8" w:color="auto" w:val="clear"/>
        <w:spacing w:after="140" w:before="60"/>
        <w:ind w:left="340"/>
      </w:pPr>
      <w:r>
        <w:rPr>
          <w:rFonts w:ascii="Consolas" w:cs="Consolas" w:eastAsia="Consolas" w:hAnsi="Consolas"/>
          <w:sz w:val="19"/>
          <w:szCs w:val="19"/>
        </w:rPr>
        <w:t xml:space="preserve">npm ci</w:t>
      </w:r>
    </w:p>
    <w:p>
      <w:pPr>
        <w:shd w:fill="F2F5F8" w:color="auto" w:val="clear"/>
        <w:spacing w:after="140" w:before="60"/>
        <w:ind w:left="340"/>
      </w:pPr>
      <w:r>
        <w:rPr>
          <w:rFonts w:ascii="Consolas" w:cs="Consolas" w:eastAsia="Consolas" w:hAnsi="Consolas"/>
          <w:sz w:val="19"/>
          <w:szCs w:val="19"/>
        </w:rPr>
        <w:t xml:space="preserve">npm run deploy:local</w:t>
      </w:r>
    </w:p>
    <w:p>
      <w:pPr>
        <w:shd w:fill="F2F5F8" w:color="auto" w:val="clear"/>
        <w:spacing w:after="140" w:before="60"/>
        <w:ind w:left="340"/>
      </w:pPr>
      <w:r>
        <w:rPr>
          <w:rFonts w:ascii="Consolas" w:cs="Consolas" w:eastAsia="Consolas" w:hAnsi="Consolas"/>
          <w:sz w:val="19"/>
          <w:szCs w:val="19"/>
        </w:rPr>
        <w:t xml:space="preserve">npm start</w:t>
      </w:r>
    </w:p>
    <w:p>
      <w:pPr>
        <w:spacing w:after="140" w:line="276"/>
      </w:pPr>
      <w:r>
        <w:rPr>
          <w:rFonts w:ascii="Calibri" w:cs="Calibri" w:eastAsia="Calibri" w:hAnsi="Calibri"/>
          <w:sz w:val="21"/>
          <w:szCs w:val="21"/>
        </w:rPr>
        <w:t xml:space="preserve">Then open http://localhost:4004/index.html and sign in as manager with password manager.</w:t>
      </w:r>
    </w:p>
    <w:p>
      <w:pPr>
        <w:spacing w:after="140" w:line="276"/>
      </w:pPr>
      <w:r>
        <w:rPr>
          <w:rFonts w:ascii="Calibri" w:cs="Calibri" w:eastAsia="Calibri" w:hAnsi="Calibri"/>
          <w:sz w:val="21"/>
          <w:szCs w:val="21"/>
        </w:rPr>
        <w:t xml:space="preserve">What those steps do: npm ci installs dependencies exactly as locked; npm run deploy:local builds the local SQLite database from the CSV files in db/data; npm start runs the CAP server, which serves both the OData services and the user interfaces from one process. There is no separate front-end server.</w:t>
      </w:r>
    </w:p>
    <w:p>
      <w:pPr>
        <w:pStyle w:val="Heading2"/>
        <w:spacing w:after="120" w:before="280"/>
      </w:pPr>
      <w:r>
        <w:rPr>
          <w:rFonts w:ascii="Calibri" w:cs="Calibri" w:eastAsia="Calibri" w:hAnsi="Calibri"/>
          <w:b/>
          <w:bCs/>
          <w:color w:val="1F4E79"/>
          <w:sz w:val="24"/>
          <w:szCs w:val="24"/>
        </w:rPr>
        <w:t xml:space="preserve">2.2 Signing in</w:t>
      </w:r>
    </w:p>
    <w:p>
      <w:pPr>
        <w:spacing w:after="140" w:line="276"/>
      </w:pPr>
      <w:r>
        <w:rPr>
          <w:rFonts w:ascii="Calibri" w:cs="Calibri" w:eastAsia="Calibri" w:hAnsi="Calibri"/>
          <w:sz w:val="21"/>
          <w:szCs w:val="21"/>
        </w:rPr>
        <w:t xml:space="preserve">Development uses CAP mocked authentication. Three users are configured, and the password is the same as the username in each case.</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1443"/>
        <w:gridCol w:w="1443"/>
        <w:gridCol w:w="6134"/>
      </w:tblGrid>
      <w:tr>
        <w:trPr>
          <w:tblHeader/>
        </w:trPr>
        <w:tc>
          <w:tcPr>
            <w:tcW w:type="dxa" w:w="1443"/>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User</w:t>
            </w:r>
          </w:p>
        </w:tc>
        <w:tc>
          <w:tcPr>
            <w:tcW w:type="dxa" w:w="1443"/>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Password</w:t>
            </w:r>
          </w:p>
        </w:tc>
        <w:tc>
          <w:tcPr>
            <w:tcW w:type="dxa" w:w="6134"/>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What it is for</w:t>
            </w:r>
          </w:p>
        </w:tc>
      </w:tr>
      <w:tr>
        <w:tc>
          <w:tcPr>
            <w:tcW w:type="dxa" w:w="1443"/>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manager</w:t>
            </w:r>
          </w:p>
        </w:tc>
        <w:tc>
          <w:tcPr>
            <w:tcW w:type="dxa" w:w="1443"/>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manager</w:t>
            </w:r>
          </w:p>
        </w:tc>
        <w:tc>
          <w:tcPr>
            <w:tcW w:type="dxa" w:w="613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Full access, including working the alert queues. Use this one.</w:t>
            </w:r>
          </w:p>
        </w:tc>
      </w:tr>
      <w:tr>
        <w:tc>
          <w:tcPr>
            <w:tcW w:type="dxa" w:w="1443"/>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analyst</w:t>
            </w:r>
          </w:p>
        </w:tc>
        <w:tc>
          <w:tcPr>
            <w:tcW w:type="dxa" w:w="1443"/>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analyst</w:t>
            </w:r>
          </w:p>
        </w:tc>
        <w:tc>
          <w:tcPr>
            <w:tcW w:type="dxa" w:w="613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Read everything and re-run the scenario engines</w:t>
            </w:r>
          </w:p>
        </w:tc>
      </w:tr>
      <w:tr>
        <w:tc>
          <w:tcPr>
            <w:tcW w:type="dxa" w:w="1443"/>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viewer</w:t>
            </w:r>
          </w:p>
        </w:tc>
        <w:tc>
          <w:tcPr>
            <w:tcW w:type="dxa" w:w="1443"/>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viewer</w:t>
            </w:r>
          </w:p>
        </w:tc>
        <w:tc>
          <w:tcPr>
            <w:tcW w:type="dxa" w:w="613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Read-only</w:t>
            </w:r>
          </w:p>
        </w:tc>
      </w:tr>
    </w:tbl>
    <w:p>
      <w:pPr>
        <w:spacing w:after="140"/>
      </w:pPr>
      <w:r>
        <w:t xml:space="preserve"/>
      </w:r>
    </w:p>
    <w:p>
      <w:pPr>
        <w:spacing w:after="140" w:line="276"/>
      </w:pPr>
      <w:r>
        <w:rPr>
          <w:rFonts w:ascii="Calibri" w:cs="Calibri" w:eastAsia="Calibri" w:hAnsi="Calibri"/>
          <w:sz w:val="21"/>
          <w:szCs w:val="21"/>
        </w:rPr>
        <w:t xml:space="preserve">In production this is replaced by XSUAA, with three matching role collections defined in xs-security.json.</w:t>
      </w:r>
    </w:p>
    <w:p>
      <w:pPr>
        <w:pStyle w:val="Heading2"/>
        <w:spacing w:after="120" w:before="280"/>
      </w:pPr>
      <w:r>
        <w:rPr>
          <w:rFonts w:ascii="Calibri" w:cs="Calibri" w:eastAsia="Calibri" w:hAnsi="Calibri"/>
          <w:b/>
          <w:bCs/>
          <w:color w:val="1F4E79"/>
          <w:sz w:val="24"/>
          <w:szCs w:val="24"/>
        </w:rPr>
        <w:t xml:space="preserve">2.3 Keeping up to date</w:t>
      </w:r>
    </w:p>
    <w:p>
      <w:pPr>
        <w:shd w:fill="F2F5F8" w:color="auto" w:val="clear"/>
        <w:spacing w:after="140" w:before="60"/>
        <w:ind w:left="340"/>
      </w:pPr>
      <w:r>
        <w:rPr>
          <w:rFonts w:ascii="Consolas" w:cs="Consolas" w:eastAsia="Consolas" w:hAnsi="Consolas"/>
          <w:sz w:val="19"/>
          <w:szCs w:val="19"/>
        </w:rPr>
        <w:t xml:space="preserve">npm run sync</w:t>
      </w:r>
    </w:p>
    <w:p>
      <w:pPr>
        <w:spacing w:after="140" w:line="276"/>
      </w:pPr>
      <w:r>
        <w:rPr>
          <w:rFonts w:ascii="Calibri" w:cs="Calibri" w:eastAsia="Calibri" w:hAnsi="Calibri"/>
          <w:sz w:val="21"/>
          <w:szCs w:val="21"/>
        </w:rPr>
        <w:t xml:space="preserve">This pulls the latest commits and works out what else is needed. If dependencies changed it runs npm ci; if a CDS model or the seed data changed it rebuilds the local database; and it tells you when a server restart or a browser refresh is needed. It refuses to run over uncommitted work and pulls fast-forward only, so it cannot merge over something you have not committed.</w:t>
      </w:r>
    </w:p>
    <w:p>
      <w:pPr>
        <w:spacing w:after="140" w:line="276"/>
      </w:pPr>
      <w:r>
        <w:rPr>
          <w:rFonts w:ascii="Calibri" w:cs="Calibri" w:eastAsia="Calibri" w:hAnsi="Calibri"/>
          <w:sz w:val="21"/>
          <w:szCs w:val="21"/>
        </w:rPr>
        <w:t xml:space="preserve">To see what is pending without changing anything:</w:t>
      </w:r>
    </w:p>
    <w:p>
      <w:pPr>
        <w:shd w:fill="F2F5F8" w:color="auto" w:val="clear"/>
        <w:spacing w:after="140" w:before="60"/>
        <w:ind w:left="340"/>
      </w:pPr>
      <w:r>
        <w:rPr>
          <w:rFonts w:ascii="Consolas" w:cs="Consolas" w:eastAsia="Consolas" w:hAnsi="Consolas"/>
          <w:sz w:val="19"/>
          <w:szCs w:val="19"/>
        </w:rPr>
        <w:t xml:space="preserve">npm run sync -- --check</w:t>
      </w:r>
    </w:p>
    <w:p>
      <w:pPr>
        <w:pStyle w:val="Heading2"/>
        <w:spacing w:after="120" w:before="280"/>
      </w:pPr>
      <w:r>
        <w:rPr>
          <w:rFonts w:ascii="Calibri" w:cs="Calibri" w:eastAsia="Calibri" w:hAnsi="Calibri"/>
          <w:b/>
          <w:bCs/>
          <w:color w:val="1F4E79"/>
          <w:sz w:val="24"/>
          <w:szCs w:val="24"/>
        </w:rPr>
        <w:t xml:space="preserve">2.4 Every command</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706"/>
        <w:gridCol w:w="6314"/>
      </w:tblGrid>
      <w:tr>
        <w:trPr>
          <w:tblHeader/>
        </w:trPr>
        <w:tc>
          <w:tcPr>
            <w:tcW w:type="dxa" w:w="2706"/>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Command</w:t>
            </w:r>
          </w:p>
        </w:tc>
        <w:tc>
          <w:tcPr>
            <w:tcW w:type="dxa" w:w="6314"/>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What it does</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npm start</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Run the server on port 4004</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npm run watch</w:t>
            </w:r>
          </w:p>
        </w:tc>
        <w:tc>
          <w:tcPr>
            <w:tcW w:type="dxa" w:w="631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Run with automatic reload on file changes - use this while developing</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npm run sync</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Pull the latest and bring the environment back in step</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npm run deploy:local</w:t>
            </w:r>
          </w:p>
        </w:tc>
        <w:tc>
          <w:tcPr>
            <w:tcW w:type="dxa" w:w="631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Rebuild the local SQLite database from db/data</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npm test</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Run the 23 engine unit tests</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npm run build</w:t>
            </w:r>
          </w:p>
        </w:tc>
        <w:tc>
          <w:tcPr>
            <w:tcW w:type="dxa" w:w="631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Generate the SAP HANA Cloud artifacts into gen/</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npm run deploy:hana</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Deploy the database to a HANA Cloud HDI container</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npm run pipeline</w:t>
            </w:r>
          </w:p>
        </w:tc>
        <w:tc>
          <w:tcPr>
            <w:tcW w:type="dxa" w:w="631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Rebuild the entire dataset from the original spreadsheets</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npm run etl</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Pipeline stage 1 only - parse the SAP workbooks</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npm run synthesize</w:t>
            </w:r>
          </w:p>
        </w:tc>
        <w:tc>
          <w:tcPr>
            <w:tcW w:type="dxa" w:w="631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Pipeline stage 2 only - build the store network</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npm run build:ai</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Pipeline stage 3 only - run the scenario engines</w:t>
            </w:r>
          </w:p>
        </w:tc>
      </w:tr>
    </w:tbl>
    <w:p>
      <w:pPr>
        <w:spacing w:after="140"/>
      </w:pPr>
      <w:r>
        <w:t xml:space="preserve"/>
      </w:r>
    </w:p>
    <w:p>
      <w:pPr>
        <w:spacing w:after="140" w:line="276"/>
      </w:pPr>
      <w:r>
        <w:rPr>
          <w:rFonts w:ascii="Calibri" w:cs="Calibri" w:eastAsia="Calibri" w:hAnsi="Calibri"/>
          <w:sz w:val="21"/>
          <w:szCs w:val="21"/>
        </w:rPr>
        <w:t xml:space="preserve">If port 4004 is already in use, either free it or run on another port with PORT=4005 npm start.</w:t>
      </w:r>
    </w:p>
    <w:p>
      <w:r>
        <w:br w:type="page"/>
      </w:r>
    </w:p>
    <w:p>
      <w:pPr>
        <w:pStyle w:val="Heading1"/>
        <w:spacing w:after="160" w:before="380"/>
      </w:pPr>
      <w:r>
        <w:rPr>
          <w:rFonts w:ascii="Calibri" w:cs="Calibri" w:eastAsia="Calibri" w:hAnsi="Calibri"/>
          <w:b/>
          <w:bCs/>
          <w:color w:val="1F4E79"/>
          <w:sz w:val="30"/>
          <w:szCs w:val="30"/>
        </w:rPr>
        <w:t xml:space="preserve">Part Three: Walkthrough of Every Screen</w:t>
      </w:r>
    </w:p>
    <w:p>
      <w:pPr>
        <w:pBdr>
          <w:bottom w:val="single" w:color="1F4E79" w:sz="6"/>
        </w:pBdr>
        <w:spacing w:after="200" w:before="60"/>
      </w:pPr>
      <w:r>
        <w:rPr>
          <w:sz w:val="2"/>
          <w:szCs w:val="2"/>
        </w:rPr>
        <w:t xml:space="preserve"/>
      </w:r>
    </w:p>
    <w:p>
      <w:pPr>
        <w:spacing w:after="140" w:line="276"/>
      </w:pPr>
      <w:r>
        <w:rPr>
          <w:rFonts w:ascii="Calibri" w:cs="Calibri" w:eastAsia="Calibri" w:hAnsi="Calibri"/>
          <w:sz w:val="21"/>
          <w:szCs w:val="21"/>
        </w:rPr>
        <w:t xml:space="preserve">The landing page at http://localhost:4004/index.html is the launchpad. It has four sections, and this part covers each one in the order you meet it.</w:t>
      </w:r>
    </w:p>
    <w:p>
      <w:pPr>
        <w:pStyle w:val="Heading2"/>
        <w:spacing w:after="120" w:before="280"/>
      </w:pPr>
      <w:r>
        <w:rPr>
          <w:rFonts w:ascii="Calibri" w:cs="Calibri" w:eastAsia="Calibri" w:hAnsi="Calibri"/>
          <w:b/>
          <w:bCs/>
          <w:color w:val="1F4E79"/>
          <w:sz w:val="24"/>
          <w:szCs w:val="24"/>
        </w:rPr>
        <w:t xml:space="preserve">3.1 The launchpad</w:t>
      </w:r>
    </w:p>
    <w:p>
      <w:pPr>
        <w:spacing w:after="140" w:line="276"/>
      </w:pPr>
      <w:r>
        <w:rPr>
          <w:rFonts w:ascii="Calibri" w:cs="Calibri" w:eastAsia="Calibri" w:hAnsi="Calibri"/>
          <w:sz w:val="21"/>
          <w:szCs w:val="21"/>
        </w:rPr>
        <w:t xml:space="preserve">Four groups of tiles:</w:t>
      </w:r>
    </w:p>
    <w:p>
      <w:pPr>
        <w:pStyle w:val="ListParagraph"/>
        <w:numPr>
          <w:ilvl w:val="0"/>
          <w:numId w:val="2"/>
        </w:numPr>
        <w:spacing w:after="90" w:line="276"/>
      </w:pPr>
      <w:r>
        <w:rPr>
          <w:rFonts w:ascii="Calibri" w:cs="Calibri" w:eastAsia="Calibri" w:hAnsi="Calibri"/>
          <w:sz w:val="21"/>
          <w:szCs w:val="21"/>
        </w:rPr>
        <w:t xml:space="preserve">Command centre - the single overview screen</w:t>
      </w:r>
    </w:p>
    <w:p>
      <w:pPr>
        <w:pStyle w:val="ListParagraph"/>
        <w:numPr>
          <w:ilvl w:val="0"/>
          <w:numId w:val="2"/>
        </w:numPr>
        <w:spacing w:after="90" w:line="276"/>
      </w:pPr>
      <w:r>
        <w:rPr>
          <w:rFonts w:ascii="Calibri" w:cs="Calibri" w:eastAsia="Calibri" w:hAnsi="Calibri"/>
          <w:sz w:val="21"/>
          <w:szCs w:val="21"/>
        </w:rPr>
        <w:t xml:space="preserve">Scenario apps - eight tiles, one per scenario, all opening the scenario workbench</w:t>
      </w:r>
    </w:p>
    <w:p>
      <w:pPr>
        <w:pStyle w:val="ListParagraph"/>
        <w:numPr>
          <w:ilvl w:val="0"/>
          <w:numId w:val="2"/>
        </w:numPr>
        <w:spacing w:after="90" w:line="276"/>
      </w:pPr>
      <w:r>
        <w:rPr>
          <w:rFonts w:ascii="Calibri" w:cs="Calibri" w:eastAsia="Calibri" w:hAnsi="Calibri"/>
          <w:sz w:val="21"/>
          <w:szCs w:val="21"/>
        </w:rPr>
        <w:t xml:space="preserve">Services - the API explorer</w:t>
      </w:r>
    </w:p>
    <w:p>
      <w:pPr>
        <w:pStyle w:val="ListParagraph"/>
        <w:numPr>
          <w:ilvl w:val="0"/>
          <w:numId w:val="2"/>
        </w:numPr>
        <w:spacing w:after="90" w:line="276"/>
      </w:pPr>
      <w:r>
        <w:rPr>
          <w:rFonts w:ascii="Calibri" w:cs="Calibri" w:eastAsia="Calibri" w:hAnsi="Calibri"/>
          <w:sz w:val="21"/>
          <w:szCs w:val="21"/>
        </w:rPr>
        <w:t xml:space="preserve">Same scenarios as SAP Fiori elements - the same eight scenarios as standard SAP Fiori applications</w:t>
      </w:r>
    </w:p>
    <w:p>
      <w:pPr>
        <w:spacing w:after="120"/>
      </w:pPr>
      <w:r>
        <w:t xml:space="preserve"/>
      </w:r>
    </w:p>
    <w:p>
      <w:pPr>
        <w:spacing w:after="140" w:line="276"/>
      </w:pPr>
      <w:r>
        <w:rPr>
          <w:rFonts w:ascii="Calibri" w:cs="Calibri" w:eastAsia="Calibri" w:hAnsi="Calibri"/>
          <w:sz w:val="21"/>
          <w:szCs w:val="21"/>
        </w:rPr>
        <w:t xml:space="preserve">Everything except the last group is self-contained and works with no internet connection. The Fiori elements applications need the SAPUI5 runtime from ui5.sap.com; section 3.5 explains when to use which.</w:t>
      </w:r>
    </w:p>
    <w:p>
      <w:pPr>
        <w:pStyle w:val="Heading2"/>
        <w:spacing w:after="120" w:before="280"/>
      </w:pPr>
      <w:r>
        <w:rPr>
          <w:rFonts w:ascii="Calibri" w:cs="Calibri" w:eastAsia="Calibri" w:hAnsi="Calibri"/>
          <w:b/>
          <w:bCs/>
          <w:color w:val="1F4E79"/>
          <w:sz w:val="24"/>
          <w:szCs w:val="24"/>
        </w:rPr>
        <w:t xml:space="preserve">3.2 The AI Command Centre</w:t>
      </w:r>
    </w:p>
    <w:p>
      <w:pPr>
        <w:spacing w:after="140" w:line="276"/>
      </w:pPr>
      <w:r>
        <w:rPr>
          <w:rFonts w:ascii="Calibri" w:cs="Calibri" w:eastAsia="Calibri" w:hAnsi="Calibri"/>
          <w:sz w:val="21"/>
          <w:szCs w:val="21"/>
        </w:rPr>
        <w:t xml:space="preserve">Path: /command-center/index.html</w:t>
      </w:r>
    </w:p>
    <w:p>
      <w:pPr>
        <w:spacing w:after="140" w:line="276"/>
      </w:pPr>
      <w:r>
        <w:rPr>
          <w:rFonts w:ascii="Calibri" w:cs="Calibri" w:eastAsia="Calibri" w:hAnsi="Calibri"/>
          <w:sz w:val="21"/>
          <w:szCs w:val="21"/>
        </w:rPr>
        <w:t xml:space="preserve">This is the overview screen and the one to open first. It answers "what is going on across the network right now" in a single page.</w:t>
      </w:r>
    </w:p>
    <w:p>
      <w:pPr>
        <w:pStyle w:val="Heading3"/>
        <w:spacing w:after="100" w:before="200"/>
      </w:pPr>
      <w:r>
        <w:rPr>
          <w:rFonts w:ascii="Calibri" w:cs="Calibri" w:eastAsia="Calibri" w:hAnsi="Calibri"/>
          <w:b/>
          <w:bCs/>
          <w:color w:val="2E2E2E"/>
          <w:sz w:val="22"/>
          <w:szCs w:val="22"/>
        </w:rPr>
        <w:t xml:space="preserve">The controls along the top</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1984"/>
        <w:gridCol w:w="7036"/>
      </w:tblGrid>
      <w:tr>
        <w:trPr>
          <w:tblHeader/>
        </w:trPr>
        <w:tc>
          <w:tcPr>
            <w:tcW w:type="dxa" w:w="1984"/>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Control</w:t>
            </w:r>
          </w:p>
        </w:tc>
        <w:tc>
          <w:tcPr>
            <w:tcW w:type="dxa" w:w="7036"/>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What it does</w:t>
            </w:r>
          </w:p>
        </w:tc>
      </w:tr>
      <w:tr>
        <w:tc>
          <w:tcPr>
            <w:tcW w:type="dxa" w:w="198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Store dropdown</w:t>
            </w:r>
          </w:p>
        </w:tc>
        <w:tc>
          <w:tcPr>
            <w:tcW w:type="dxa" w:w="703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Scopes the whole page to one store, or shows all six. The Walldorf entry is marked "(SAP export)" because its figures are the real ones.</w:t>
            </w:r>
          </w:p>
        </w:tc>
      </w:tr>
      <w:tr>
        <w:tc>
          <w:tcPr>
            <w:tcW w:type="dxa" w:w="198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Table view</w:t>
            </w:r>
          </w:p>
        </w:tc>
        <w:tc>
          <w:tcPr>
            <w:tcW w:type="dxa" w:w="703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Replaces every chart with the numbers behind it. Useful for reading exact values, and it is the accessible equivalent of each chart.</w:t>
            </w:r>
          </w:p>
        </w:tc>
      </w:tr>
      <w:tr>
        <w:tc>
          <w:tcPr>
            <w:tcW w:type="dxa" w:w="198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Dark / Light</w:t>
            </w:r>
          </w:p>
        </w:tc>
        <w:tc>
          <w:tcPr>
            <w:tcW w:type="dxa" w:w="703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Switches theme. Charts redraw rather than just inverting colours.</w:t>
            </w:r>
          </w:p>
        </w:tc>
      </w:tr>
      <w:tr>
        <w:tc>
          <w:tcPr>
            <w:tcW w:type="dxa" w:w="198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Re-run engines</w:t>
            </w:r>
          </w:p>
        </w:tc>
        <w:tc>
          <w:tcPr>
            <w:tcW w:type="dxa" w:w="703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Re-runs every scenario engine against the current data and reloads. Takes a few seconds. Scoped to the selected store if one is chosen.</w:t>
            </w:r>
          </w:p>
        </w:tc>
      </w:tr>
    </w:tbl>
    <w:p>
      <w:pPr>
        <w:pStyle w:val="Heading3"/>
        <w:spacing w:after="100" w:before="200"/>
      </w:pPr>
      <w:r>
        <w:rPr>
          <w:rFonts w:ascii="Calibri" w:cs="Calibri" w:eastAsia="Calibri" w:hAnsi="Calibri"/>
          <w:b/>
          <w:bCs/>
          <w:color w:val="2E2E2E"/>
          <w:sz w:val="22"/>
          <w:szCs w:val="22"/>
        </w:rPr>
        <w:t xml:space="preserve">The six KPI tiles</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165"/>
        <w:gridCol w:w="6855"/>
      </w:tblGrid>
      <w:tr>
        <w:trPr>
          <w:tblHeader/>
        </w:trPr>
        <w:tc>
          <w:tcPr>
            <w:tcW w:type="dxa" w:w="216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Tile</w:t>
            </w:r>
          </w:p>
        </w:tc>
        <w:tc>
          <w:tcPr>
            <w:tcW w:type="dxa" w:w="685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What it means</w:t>
            </w:r>
          </w:p>
        </w:tc>
      </w:tr>
      <w:tr>
        <w:tc>
          <w:tcPr>
            <w:tcW w:type="dxa" w:w="216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Value at stake</w:t>
            </w:r>
          </w:p>
        </w:tc>
        <w:tc>
          <w:tcPr>
            <w:tcW w:type="dxa" w:w="685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Total euros at risk or recoverable across all open insights</w:t>
            </w:r>
          </w:p>
        </w:tc>
      </w:tr>
      <w:tr>
        <w:tc>
          <w:tcPr>
            <w:tcW w:type="dxa" w:w="216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Needs attention</w:t>
            </w:r>
          </w:p>
        </w:tc>
        <w:tc>
          <w:tcPr>
            <w:tcW w:type="dxa" w:w="685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How many of those are rated high or critical</w:t>
            </w:r>
          </w:p>
        </w:tc>
      </w:tr>
      <w:tr>
        <w:tc>
          <w:tcPr>
            <w:tcW w:type="dxa" w:w="216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Forecast accuracy</w:t>
            </w:r>
          </w:p>
        </w:tc>
        <w:tc>
          <w:tcPr>
            <w:tcW w:type="dxa" w:w="685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100% minus the store-day WAPE from the 14-day backtest. Marked "network-wide" when a store filter is active, because this metric has no store dimension.</w:t>
            </w:r>
          </w:p>
        </w:tc>
      </w:tr>
      <w:tr>
        <w:tc>
          <w:tcPr>
            <w:tcW w:type="dxa" w:w="216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Checkout exposure</w:t>
            </w:r>
          </w:p>
        </w:tc>
        <w:tc>
          <w:tcPr>
            <w:tcW w:type="dxa" w:w="685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Cancelled value flagged as anomalous. Follows the store filter, and matches the failure-pattern chart beside it.</w:t>
            </w:r>
          </w:p>
        </w:tc>
      </w:tr>
      <w:tr>
        <w:tc>
          <w:tcPr>
            <w:tcW w:type="dxa" w:w="216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Waste cost avoided</w:t>
            </w:r>
          </w:p>
        </w:tc>
        <w:tc>
          <w:tcPr>
            <w:tcW w:type="dxa" w:w="685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What acting on the markdown proposals saves. Also network-wide.</w:t>
            </w:r>
          </w:p>
        </w:tc>
      </w:tr>
      <w:tr>
        <w:tc>
          <w:tcPr>
            <w:tcW w:type="dxa" w:w="216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Trading volume</w:t>
            </w:r>
          </w:p>
        </w:tc>
        <w:tc>
          <w:tcPr>
            <w:tcW w:type="dxa" w:w="685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Gross sales and units in the loaded period</w:t>
            </w:r>
          </w:p>
        </w:tc>
      </w:tr>
    </w:tbl>
    <w:p>
      <w:pPr>
        <w:pStyle w:val="Heading3"/>
        <w:spacing w:after="100" w:before="200"/>
      </w:pPr>
      <w:r>
        <w:rPr>
          <w:rFonts w:ascii="Calibri" w:cs="Calibri" w:eastAsia="Calibri" w:hAnsi="Calibri"/>
          <w:b/>
          <w:bCs/>
          <w:color w:val="2E2E2E"/>
          <w:sz w:val="22"/>
          <w:szCs w:val="22"/>
        </w:rPr>
        <w:t xml:space="preserve">The charts</w:t>
      </w:r>
    </w:p>
    <w:p>
      <w:pPr>
        <w:spacing w:after="140" w:line="276"/>
      </w:pPr>
      <w:r>
        <w:rPr>
          <w:rFonts w:ascii="Calibri" w:cs="Calibri" w:eastAsia="Calibri" w:hAnsi="Calibri"/>
          <w:sz w:val="21"/>
          <w:szCs w:val="21"/>
        </w:rPr>
        <w:t xml:space="preserve">Value at stake by scenario ranks the six scenarios by euros at stake. A single hue is used deliberately: every bar is labelled, so colour would be decoration, and because the bars sort by value any two could end up adjacent, which no six-hue palette clears for colour-vision deficiency.</w:t>
      </w:r>
    </w:p>
    <w:p>
      <w:pPr>
        <w:spacing w:after="140" w:line="276"/>
      </w:pPr>
      <w:r>
        <w:rPr>
          <w:rFonts w:ascii="Calibri" w:cs="Calibri" w:eastAsia="Calibri" w:hAnsi="Calibri"/>
          <w:sz w:val="21"/>
          <w:szCs w:val="21"/>
        </w:rPr>
        <w:t xml:space="preserve">Checkout integrity by failure pattern breaks the cancelled value down by why the gate voided the line - RFID misread, stock variance, tag absent, price error, basket abandoned. This is the chart that answers "which failure mode is costing us most".</w:t>
      </w:r>
    </w:p>
    <w:p>
      <w:pPr>
        <w:spacing w:after="140" w:line="276"/>
      </w:pPr>
      <w:r>
        <w:rPr>
          <w:rFonts w:ascii="Calibri" w:cs="Calibri" w:eastAsia="Calibri" w:hAnsi="Calibri"/>
          <w:sz w:val="21"/>
          <w:szCs w:val="21"/>
        </w:rPr>
        <w:t xml:space="preserve">Trading pattern by hour is the most informative chart on the page. It plots units per trading hour with weekday and weekend as separate lines, averaged per day so the two are comparable. The shape is the signature of a campus store: almost nothing before 07:00, a hard peak between 13:00 and 17:00, and a weekend at roughly a fifth of a weekday. This is also the shape the demand engine learns.</w:t>
      </w:r>
    </w:p>
    <w:p>
      <w:pPr>
        <w:spacing w:after="140" w:line="276"/>
      </w:pPr>
      <w:r>
        <w:rPr>
          <w:rFonts w:ascii="Calibri" w:cs="Calibri" w:eastAsia="Calibri" w:hAnsi="Calibri"/>
          <w:sz w:val="21"/>
          <w:szCs w:val="21"/>
        </w:rPr>
        <w:t xml:space="preserve">Checkout channel mix is a donut of receipts by terminal type, with the total in the centre. Hovering a segment gives the count, the share and the average trip length.</w:t>
      </w:r>
    </w:p>
    <w:p>
      <w:pPr>
        <w:pStyle w:val="Heading3"/>
        <w:spacing w:after="100" w:before="200"/>
      </w:pPr>
      <w:r>
        <w:rPr>
          <w:rFonts w:ascii="Calibri" w:cs="Calibri" w:eastAsia="Calibri" w:hAnsi="Calibri"/>
          <w:b/>
          <w:bCs/>
          <w:color w:val="2E2E2E"/>
          <w:sz w:val="22"/>
          <w:szCs w:val="22"/>
        </w:rPr>
        <w:t xml:space="preserve">Model scorecard and insight feed</w:t>
      </w:r>
    </w:p>
    <w:p>
      <w:pPr>
        <w:spacing w:after="140" w:line="276"/>
      </w:pPr>
      <w:r>
        <w:rPr>
          <w:rFonts w:ascii="Calibri" w:cs="Calibri" w:eastAsia="Calibri" w:hAnsi="Calibri"/>
          <w:sz w:val="21"/>
          <w:szCs w:val="21"/>
        </w:rPr>
        <w:t xml:space="preserve">The scorecard lists what each engine produced on its last run: alert counts, euros at stake, forecast accuracy at both grains. The ranked insight feed below it is every scenario in one queue, ordered by euros at stake weighted by the model's confidence in its own recommendation, with the recommended action on each row.</w:t>
      </w:r>
    </w:p>
    <w:p>
      <w:pPr>
        <w:pStyle w:val="Heading2"/>
        <w:spacing w:after="120" w:before="280"/>
      </w:pPr>
      <w:r>
        <w:rPr>
          <w:rFonts w:ascii="Calibri" w:cs="Calibri" w:eastAsia="Calibri" w:hAnsi="Calibri"/>
          <w:b/>
          <w:bCs/>
          <w:color w:val="1F4E79"/>
          <w:sz w:val="24"/>
          <w:szCs w:val="24"/>
        </w:rPr>
        <w:t xml:space="preserve">3.3 The Scenario Workbench</w:t>
      </w:r>
    </w:p>
    <w:p>
      <w:pPr>
        <w:spacing w:after="140" w:line="276"/>
      </w:pPr>
      <w:r>
        <w:rPr>
          <w:rFonts w:ascii="Calibri" w:cs="Calibri" w:eastAsia="Calibri" w:hAnsi="Calibri"/>
          <w:sz w:val="21"/>
          <w:szCs w:val="21"/>
        </w:rPr>
        <w:t xml:space="preserve">Path: /scenarios/index.html</w:t>
      </w:r>
    </w:p>
    <w:p>
      <w:pPr>
        <w:spacing w:after="140" w:line="276"/>
      </w:pPr>
      <w:r>
        <w:rPr>
          <w:rFonts w:ascii="Calibri" w:cs="Calibri" w:eastAsia="Calibri" w:hAnsi="Calibri"/>
          <w:sz w:val="21"/>
          <w:szCs w:val="21"/>
        </w:rPr>
        <w:t xml:space="preserve">Where the command centre summarises, the workbench is where you work. All eight scenarios are tabs across the top, so you can move between them without going back to the launchpad.</w:t>
      </w:r>
    </w:p>
    <w:p>
      <w:pPr>
        <w:pStyle w:val="Heading3"/>
        <w:spacing w:after="100" w:before="200"/>
      </w:pPr>
      <w:r>
        <w:rPr>
          <w:rFonts w:ascii="Calibri" w:cs="Calibri" w:eastAsia="Calibri" w:hAnsi="Calibri"/>
          <w:b/>
          <w:bCs/>
          <w:color w:val="2E2E2E"/>
          <w:sz w:val="22"/>
          <w:szCs w:val="22"/>
        </w:rPr>
        <w:t xml:space="preserve">How every tab is laid out</w:t>
      </w:r>
    </w:p>
    <w:p>
      <w:pPr>
        <w:pStyle w:val="ListParagraph"/>
        <w:numPr>
          <w:ilvl w:val="0"/>
          <w:numId w:val="3"/>
        </w:numPr>
        <w:spacing w:after="90" w:line="276"/>
      </w:pPr>
      <w:r>
        <w:rPr>
          <w:rFonts w:ascii="Calibri" w:cs="Calibri" w:eastAsia="Calibri" w:hAnsi="Calibri"/>
          <w:sz w:val="21"/>
          <w:szCs w:val="21"/>
        </w:rPr>
        <w:t xml:space="preserve">A title and a short description of what the scenario does and what it keys on.</w:t>
      </w:r>
    </w:p>
    <w:p>
      <w:pPr>
        <w:pStyle w:val="ListParagraph"/>
        <w:numPr>
          <w:ilvl w:val="0"/>
          <w:numId w:val="3"/>
        </w:numPr>
        <w:spacing w:after="90" w:line="276"/>
      </w:pPr>
      <w:r>
        <w:rPr>
          <w:rFonts w:ascii="Calibri" w:cs="Calibri" w:eastAsia="Calibri" w:hAnsi="Calibri"/>
          <w:sz w:val="21"/>
          <w:szCs w:val="21"/>
        </w:rPr>
        <w:t xml:space="preserve">Three KPI tiles specific to that scenario - for example alert count, value at risk and how many are critical.</w:t>
      </w:r>
    </w:p>
    <w:p>
      <w:pPr>
        <w:pStyle w:val="ListParagraph"/>
        <w:numPr>
          <w:ilvl w:val="0"/>
          <w:numId w:val="3"/>
        </w:numPr>
        <w:spacing w:after="90" w:line="276"/>
      </w:pPr>
      <w:r>
        <w:rPr>
          <w:rFonts w:ascii="Calibri" w:cs="Calibri" w:eastAsia="Calibri" w:hAnsi="Calibri"/>
          <w:sz w:val="21"/>
          <w:szCs w:val="21"/>
        </w:rPr>
        <w:t xml:space="preserve">A sortable table. Click any column heading to sort; click again to reverse.</w:t>
      </w:r>
    </w:p>
    <w:p>
      <w:pPr>
        <w:pStyle w:val="ListParagraph"/>
        <w:numPr>
          <w:ilvl w:val="0"/>
          <w:numId w:val="3"/>
        </w:numPr>
        <w:spacing w:after="90" w:line="276"/>
      </w:pPr>
      <w:r>
        <w:rPr>
          <w:rFonts w:ascii="Calibri" w:cs="Calibri" w:eastAsia="Calibri" w:hAnsi="Calibri"/>
          <w:sz w:val="21"/>
          <w:szCs w:val="21"/>
        </w:rPr>
        <w:t xml:space="preserve">Click any row to open the detail drawer on the right.</w:t>
      </w:r>
    </w:p>
    <w:p>
      <w:pPr>
        <w:pStyle w:val="Heading3"/>
        <w:spacing w:after="100" w:before="200"/>
      </w:pPr>
      <w:r>
        <w:rPr>
          <w:rFonts w:ascii="Calibri" w:cs="Calibri" w:eastAsia="Calibri" w:hAnsi="Calibri"/>
          <w:b/>
          <w:bCs/>
          <w:color w:val="2E2E2E"/>
          <w:sz w:val="22"/>
          <w:szCs w:val="22"/>
        </w:rPr>
        <w:t xml:space="preserve">The filters, which apply to every tab</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1624"/>
        <w:gridCol w:w="7396"/>
      </w:tblGrid>
      <w:tr>
        <w:trPr>
          <w:tblHeader/>
        </w:trPr>
        <w:tc>
          <w:tcPr>
            <w:tcW w:type="dxa" w:w="1624"/>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Filter</w:t>
            </w:r>
          </w:p>
        </w:tc>
        <w:tc>
          <w:tcPr>
            <w:tcW w:type="dxa" w:w="7396"/>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What it does</w:t>
            </w:r>
          </w:p>
        </w:tc>
      </w:tr>
      <w:tr>
        <w:tc>
          <w:tcPr>
            <w:tcW w:type="dxa" w:w="162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Store</w:t>
            </w:r>
          </w:p>
        </w:tc>
        <w:tc>
          <w:tcPr>
            <w:tcW w:type="dxa" w:w="739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Scope to one store or show all six</w:t>
            </w:r>
          </w:p>
        </w:tc>
      </w:tr>
      <w:tr>
        <w:tc>
          <w:tcPr>
            <w:tcW w:type="dxa" w:w="162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Status</w:t>
            </w:r>
          </w:p>
        </w:tc>
        <w:tc>
          <w:tcPr>
            <w:tcW w:type="dxa" w:w="739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Open only by default. Switch to "Any status" to see records you have already acknowledged, resolved or dismissed.</w:t>
            </w:r>
          </w:p>
        </w:tc>
      </w:tr>
      <w:tr>
        <w:tc>
          <w:tcPr>
            <w:tcW w:type="dxa" w:w="162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Search box</w:t>
            </w:r>
          </w:p>
        </w:tc>
        <w:tc>
          <w:tcPr>
            <w:tcW w:type="dxa" w:w="739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Free text across every visible column. Filters as you type.</w:t>
            </w:r>
          </w:p>
        </w:tc>
      </w:tr>
    </w:tbl>
    <w:p>
      <w:pPr>
        <w:pStyle w:val="Heading3"/>
        <w:spacing w:after="100" w:before="200"/>
      </w:pPr>
      <w:r>
        <w:rPr>
          <w:rFonts w:ascii="Calibri" w:cs="Calibri" w:eastAsia="Calibri" w:hAnsi="Calibri"/>
          <w:b/>
          <w:bCs/>
          <w:color w:val="2E2E2E"/>
          <w:sz w:val="22"/>
          <w:szCs w:val="22"/>
        </w:rPr>
        <w:t xml:space="preserve">The detail drawer</w:t>
      </w:r>
    </w:p>
    <w:p>
      <w:pPr>
        <w:spacing w:after="140" w:line="276"/>
      </w:pPr>
      <w:r>
        <w:rPr>
          <w:rFonts w:ascii="Calibri" w:cs="Calibri" w:eastAsia="Calibri" w:hAnsi="Calibri"/>
          <w:sz w:val="21"/>
          <w:szCs w:val="21"/>
        </w:rPr>
        <w:t xml:space="preserve">Clicking a row slides in a panel showing the full record. The evidence and reasoning come first, because that is what you need to judge whether to act, followed by every field and finally the record identifier. Where the scenario has a lifecycle, the action buttons sit along the bottom.</w:t>
      </w:r>
    </w:p>
    <w:p>
      <w:pPr>
        <w:spacing w:after="140" w:line="276"/>
      </w:pPr>
      <w:r>
        <w:rPr>
          <w:rFonts w:ascii="Calibri" w:cs="Calibri" w:eastAsia="Calibri" w:hAnsi="Calibri"/>
          <w:sz w:val="21"/>
          <w:szCs w:val="21"/>
        </w:rPr>
        <w:t xml:space="preserve">This is where the system justifies itself. Opening the top checkout integrity alert shows: "Cancelled value implies EUR 31.80 per unit but the master price is EUR 0.99 (factor 32.12). Cancellation rate 95.2% against a network baseline of 95.0% for this article (7 events, 20 units)." You can see exactly why it fired and decide accordingly.</w:t>
      </w:r>
    </w:p>
    <w:p>
      <w:pPr>
        <w:pStyle w:val="Heading3"/>
        <w:spacing w:after="100" w:before="200"/>
      </w:pPr>
      <w:r>
        <w:rPr>
          <w:rFonts w:ascii="Calibri" w:cs="Calibri" w:eastAsia="Calibri" w:hAnsi="Calibri"/>
          <w:b/>
          <w:bCs/>
          <w:color w:val="2E2E2E"/>
          <w:sz w:val="22"/>
          <w:szCs w:val="22"/>
        </w:rPr>
        <w:t xml:space="preserve">The actions, and what they do</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1984"/>
        <w:gridCol w:w="2706"/>
        <w:gridCol w:w="4330"/>
      </w:tblGrid>
      <w:tr>
        <w:trPr>
          <w:tblHeader/>
        </w:trPr>
        <w:tc>
          <w:tcPr>
            <w:tcW w:type="dxa" w:w="1984"/>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Action</w:t>
            </w:r>
          </w:p>
        </w:tc>
        <w:tc>
          <w:tcPr>
            <w:tcW w:type="dxa" w:w="2706"/>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Where</w:t>
            </w:r>
          </w:p>
        </w:tc>
        <w:tc>
          <w:tcPr>
            <w:tcW w:type="dxa" w:w="433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Effect</w:t>
            </w:r>
          </w:p>
        </w:tc>
      </w:tr>
      <w:tr>
        <w:tc>
          <w:tcPr>
            <w:tcW w:type="dxa" w:w="198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Acknowledge</w:t>
            </w:r>
          </w:p>
        </w:tc>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Integrity, cold chain, insights</w:t>
            </w:r>
          </w:p>
        </w:tc>
        <w:tc>
          <w:tcPr>
            <w:tcW w:type="dxa" w:w="433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Marks as picked up and records your note</w:t>
            </w:r>
          </w:p>
        </w:tc>
      </w:tr>
      <w:tr>
        <w:tc>
          <w:tcPr>
            <w:tcW w:type="dxa" w:w="198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Resolve</w:t>
            </w:r>
          </w:p>
        </w:tc>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Integrity, cold chain</w:t>
            </w:r>
          </w:p>
        </w:tc>
        <w:tc>
          <w:tcPr>
            <w:tcW w:type="dxa" w:w="4330"/>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Closes with a resolution</w:t>
            </w:r>
          </w:p>
        </w:tc>
      </w:tr>
      <w:tr>
        <w:tc>
          <w:tcPr>
            <w:tcW w:type="dxa" w:w="198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Release order</w:t>
            </w:r>
          </w:p>
        </w:tc>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Replenishment</w:t>
            </w:r>
          </w:p>
        </w:tc>
        <w:tc>
          <w:tcPr>
            <w:tcW w:type="dxa" w:w="433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Confirms the proposed quantity and hands it to ordering</w:t>
            </w:r>
          </w:p>
        </w:tc>
      </w:tr>
      <w:tr>
        <w:tc>
          <w:tcPr>
            <w:tcW w:type="dxa" w:w="198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Apply markdown</w:t>
            </w:r>
          </w:p>
        </w:tc>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Fresh waste</w:t>
            </w:r>
          </w:p>
        </w:tc>
        <w:tc>
          <w:tcPr>
            <w:tcW w:type="dxa" w:w="4330"/>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Applies the recommended discount to the shelf labels</w:t>
            </w:r>
          </w:p>
        </w:tc>
      </w:tr>
      <w:tr>
        <w:tc>
          <w:tcPr>
            <w:tcW w:type="dxa" w:w="198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Activate</w:t>
            </w:r>
          </w:p>
        </w:tc>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Personal offers</w:t>
            </w:r>
          </w:p>
        </w:tc>
        <w:tc>
          <w:tcPr>
            <w:tcW w:type="dxa" w:w="433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Activates the offer</w:t>
            </w:r>
          </w:p>
        </w:tc>
      </w:tr>
      <w:tr>
        <w:tc>
          <w:tcPr>
            <w:tcW w:type="dxa" w:w="198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Dismiss</w:t>
            </w:r>
          </w:p>
        </w:tc>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Most tabs</w:t>
            </w:r>
          </w:p>
        </w:tc>
        <w:tc>
          <w:tcPr>
            <w:tcW w:type="dxa" w:w="4330"/>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Closes as not actionable</w:t>
            </w:r>
          </w:p>
        </w:tc>
      </w:tr>
    </w:tbl>
    <w:p>
      <w:pPr>
        <w:spacing w:after="140"/>
      </w:pPr>
      <w:r>
        <w:t xml:space="preserve"/>
      </w:r>
    </w:p>
    <w:p>
      <w:pPr>
        <w:spacing w:after="140" w:line="276"/>
      </w:pPr>
      <w:r>
        <w:rPr>
          <w:rFonts w:ascii="Calibri" w:cs="Calibri" w:eastAsia="Calibri" w:hAnsi="Calibri"/>
          <w:sz w:val="21"/>
          <w:szCs w:val="21"/>
        </w:rPr>
        <w:t xml:space="preserve">Actions only appear while a record is still open. Once it has been acted on, the drawer says so instead. Acting on a record removes it from the default view, since that filters to open items - switch Status to "Any status" to find it again.</w:t>
      </w:r>
    </w:p>
    <w:p>
      <w:pPr>
        <w:pStyle w:val="Heading2"/>
        <w:spacing w:after="120" w:before="280"/>
      </w:pPr>
      <w:r>
        <w:rPr>
          <w:rFonts w:ascii="Calibri" w:cs="Calibri" w:eastAsia="Calibri" w:hAnsi="Calibri"/>
          <w:b/>
          <w:bCs/>
          <w:color w:val="1F4E79"/>
          <w:sz w:val="24"/>
          <w:szCs w:val="24"/>
        </w:rPr>
        <w:t xml:space="preserve">3.4 The API Explorer</w:t>
      </w:r>
    </w:p>
    <w:p>
      <w:pPr>
        <w:spacing w:after="140" w:line="276"/>
      </w:pPr>
      <w:r>
        <w:rPr>
          <w:rFonts w:ascii="Calibri" w:cs="Calibri" w:eastAsia="Calibri" w:hAnsi="Calibri"/>
          <w:sz w:val="21"/>
          <w:szCs w:val="21"/>
        </w:rPr>
        <w:t xml:space="preserve">Path: /api/index.html</w:t>
      </w:r>
    </w:p>
    <w:p>
      <w:pPr>
        <w:spacing w:after="140" w:line="276"/>
      </w:pPr>
      <w:r>
        <w:rPr>
          <w:rFonts w:ascii="Calibri" w:cs="Calibri" w:eastAsia="Calibri" w:hAnsi="Calibri"/>
          <w:sz w:val="21"/>
          <w:szCs w:val="21"/>
        </w:rPr>
        <w:t xml:space="preserve">This exists because linking straight at an OData $metadata document drops raw XML on the reader, which is correct behaviour but unhelpful.</w:t>
      </w:r>
    </w:p>
    <w:p>
      <w:pPr>
        <w:spacing w:after="140" w:line="276"/>
      </w:pPr>
      <w:r>
        <w:rPr>
          <w:rFonts w:ascii="Calibri" w:cs="Calibri" w:eastAsia="Calibri" w:hAnsi="Calibri"/>
          <w:sz w:val="21"/>
          <w:szCs w:val="21"/>
        </w:rPr>
        <w:t xml:space="preserve">It lists both services with every entity, a one-line description and a live row count fetched as the page loads, so you can see at a glance how much data is behind each one. Below that is a query runner: type or edit an OData path, press Run, and the JSON response appears underneath. Six worked examples are one click away. The raw $metadata and service documents are still linked for anyone who wants them.</w:t>
      </w:r>
    </w:p>
    <w:p>
      <w:pPr>
        <w:spacing w:after="140" w:line="276"/>
      </w:pPr>
      <w:r>
        <w:rPr>
          <w:rFonts w:ascii="Calibri" w:cs="Calibri" w:eastAsia="Calibri" w:hAnsi="Calibri"/>
          <w:sz w:val="21"/>
          <w:szCs w:val="21"/>
        </w:rPr>
        <w:t xml:space="preserve">Useful for checking the data behind a screen, for demonstrating that the dashboards are reading a real service rather than a fixture, and for building queries before putting them in code.</w:t>
      </w:r>
    </w:p>
    <w:p>
      <w:pPr>
        <w:pStyle w:val="Heading2"/>
        <w:spacing w:after="120" w:before="280"/>
      </w:pPr>
      <w:r>
        <w:rPr>
          <w:rFonts w:ascii="Calibri" w:cs="Calibri" w:eastAsia="Calibri" w:hAnsi="Calibri"/>
          <w:b/>
          <w:bCs/>
          <w:color w:val="1F4E79"/>
          <w:sz w:val="24"/>
          <w:szCs w:val="24"/>
        </w:rPr>
        <w:t xml:space="preserve">3.5 The SAP Fiori elements applications</w:t>
      </w:r>
    </w:p>
    <w:p>
      <w:pPr>
        <w:spacing w:after="140" w:line="276"/>
      </w:pPr>
      <w:r>
        <w:rPr>
          <w:rFonts w:ascii="Calibri" w:cs="Calibri" w:eastAsia="Calibri" w:hAnsi="Calibri"/>
          <w:sz w:val="21"/>
          <w:szCs w:val="21"/>
        </w:rPr>
        <w:t xml:space="preserve">Paths: /checkout-integrity/webapp/index.html and seven siblings</w:t>
      </w:r>
    </w:p>
    <w:p>
      <w:pPr>
        <w:spacing w:after="140" w:line="276"/>
      </w:pPr>
      <w:r>
        <w:rPr>
          <w:rFonts w:ascii="Calibri" w:cs="Calibri" w:eastAsia="Calibri" w:hAnsi="Calibri"/>
          <w:sz w:val="21"/>
          <w:szCs w:val="21"/>
        </w:rPr>
        <w:t xml:space="preserve">The same eight scenarios again, built as standard SAP Fiori elements List Report and Object Page applications. These are annotation-driven: the user interface is defined in CDS annotations under srv/annotations rather than in application code, which is how Fiori elements is meant to be used.</w:t>
      </w:r>
    </w:p>
    <w:p>
      <w:pPr>
        <w:spacing w:after="140" w:line="276"/>
      </w:pPr>
      <w:r>
        <w:rPr>
          <w:rFonts w:ascii="Calibri" w:cs="Calibri" w:eastAsia="Calibri" w:hAnsi="Calibri"/>
          <w:sz w:val="21"/>
          <w:szCs w:val="21"/>
        </w:rPr>
        <w:t xml:space="preserve">They need the SAPUI5 runtime from ui5.sap.com. Where that is reachable - a normal laptop, SAP Business Application Studio, SAP BTP - they give you variant management, personalisation and the standard SAP interaction model for free, and they are the right answer for a BTP deployment. Where it is not reachable, they show a panel explaining what failed and linking to the same scenario in the workbench, rather than a blank page.</w:t>
      </w:r>
    </w:p>
    <w:p>
      <w:pPr>
        <w:spacing w:after="140" w:line="276"/>
      </w:pPr>
      <w:r>
        <w:rPr>
          <w:rFonts w:ascii="Calibri" w:cs="Calibri" w:eastAsia="Calibri" w:hAnsi="Calibri"/>
          <w:sz w:val="21"/>
          <w:szCs w:val="21"/>
        </w:rPr>
        <w:t xml:space="preserve">Which to use: on BTP, the Fiori elements applications. Locally or offline, or when you want everything in one screen with tabs, the workbench. Both read the same services and show the same data.</w:t>
      </w:r>
    </w:p>
    <w:p>
      <w:r>
        <w:br w:type="page"/>
      </w:r>
    </w:p>
    <w:p>
      <w:pPr>
        <w:pStyle w:val="Heading1"/>
        <w:spacing w:after="160" w:before="380"/>
      </w:pPr>
      <w:r>
        <w:rPr>
          <w:rFonts w:ascii="Calibri" w:cs="Calibri" w:eastAsia="Calibri" w:hAnsi="Calibri"/>
          <w:b/>
          <w:bCs/>
          <w:color w:val="1F4E79"/>
          <w:sz w:val="30"/>
          <w:szCs w:val="30"/>
        </w:rPr>
        <w:t xml:space="preserve">Part Four: What Each Scenario Does</w:t>
      </w:r>
    </w:p>
    <w:p>
      <w:pPr>
        <w:pBdr>
          <w:bottom w:val="single" w:color="1F4E79" w:sz="6"/>
        </w:pBdr>
        <w:spacing w:after="200" w:before="60"/>
      </w:pPr>
      <w:r>
        <w:rPr>
          <w:sz w:val="2"/>
          <w:szCs w:val="2"/>
        </w:rPr>
        <w:t xml:space="preserve"/>
      </w:r>
    </w:p>
    <w:p>
      <w:pPr>
        <w:spacing w:after="140" w:line="276"/>
      </w:pPr>
      <w:r>
        <w:rPr>
          <w:rFonts w:ascii="Calibri" w:cs="Calibri" w:eastAsia="Calibri" w:hAnsi="Calibri"/>
          <w:sz w:val="21"/>
          <w:szCs w:val="21"/>
        </w:rPr>
        <w:t xml:space="preserve">Eight tabs in the workbench. This part explains what each one is for, what it keys on, and how to read its columns.</w:t>
      </w:r>
    </w:p>
    <w:p>
      <w:pPr>
        <w:pStyle w:val="Heading2"/>
        <w:spacing w:after="120" w:before="280"/>
      </w:pPr>
      <w:r>
        <w:rPr>
          <w:rFonts w:ascii="Calibri" w:cs="Calibri" w:eastAsia="Calibri" w:hAnsi="Calibri"/>
          <w:b/>
          <w:bCs/>
          <w:color w:val="1F4E79"/>
          <w:sz w:val="24"/>
          <w:szCs w:val="24"/>
        </w:rPr>
        <w:t xml:space="preserve">4.1 Checkout Integrity</w:t>
      </w:r>
    </w:p>
    <w:p>
      <w:pPr>
        <w:spacing w:after="140" w:line="276"/>
      </w:pPr>
      <w:r>
        <w:rPr>
          <w:rFonts w:ascii="Calibri" w:cs="Calibri" w:eastAsia="Calibri" w:hAnsi="Calibri"/>
          <w:i/>
          <w:iCs/>
          <w:sz w:val="21"/>
          <w:szCs w:val="21"/>
        </w:rPr>
        <w:t xml:space="preserve">Workbench tab: Checkout Integrity</w:t>
      </w:r>
    </w:p>
    <w:p>
      <w:pPr>
        <w:spacing w:after="140" w:line="276"/>
      </w:pPr>
      <w:r>
        <w:rPr>
          <w:rFonts w:ascii="Calibri" w:cs="Calibri" w:eastAsia="Calibri" w:hAnsi="Calibri"/>
          <w:sz w:val="21"/>
          <w:szCs w:val="21"/>
        </w:rPr>
        <w:t xml:space="preserve">Finds things going wrong at the unstaffed gates. This is the scenario the data asked for, given 3,217 cancellations against 2,550 completed receipts.</w:t>
      </w:r>
    </w:p>
    <w:p>
      <w:pPr>
        <w:spacing w:after="140" w:line="276"/>
      </w:pPr>
      <w:r>
        <w:rPr>
          <w:rFonts w:ascii="Calibri" w:cs="Calibri" w:eastAsia="Calibri" w:hAnsi="Calibri"/>
          <w:sz w:val="21"/>
          <w:szCs w:val="21"/>
        </w:rPr>
        <w:t xml:space="preserve">Four independent signals are scored for every store, terminal and article: a cancellation rate well above that article's own network baseline; an article presented at an autonomous gate without an RFID tag; counted stock persistently below book stock; and a cancelled value per unit that disagrees with the master price. Each scores 0 to 100, the strongest names the pattern, and value at risk breaks ties so an expensive rare failure ranks alongside a cheap frequent one.</w:t>
      </w:r>
    </w:p>
    <w:p>
      <w:pPr>
        <w:spacing w:after="80" w:line="276"/>
      </w:pPr>
      <w:r>
        <w:rPr>
          <w:rFonts w:ascii="Calibri" w:cs="Calibri" w:eastAsia="Calibri" w:hAnsi="Calibri"/>
          <w:b/>
          <w:bCs/>
          <w:sz w:val="21"/>
          <w:szCs w:val="21"/>
        </w:rPr>
        <w:t xml:space="preserve">Reading the columns:</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345"/>
        <w:gridCol w:w="6675"/>
      </w:tblGrid>
      <w:tr>
        <w:trPr>
          <w:tblHeader/>
        </w:trPr>
        <w:tc>
          <w:tcPr>
            <w:tcW w:type="dxa" w:w="234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Column</w:t>
            </w:r>
          </w:p>
        </w:tc>
        <w:tc>
          <w:tcPr>
            <w:tcW w:type="dxa" w:w="667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Meaning</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Severity</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Critical, high, medium or low, from the combined score</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Pattern</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RFID misread, tag absent, stock variance, price error or basket abandoned</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Score</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How far from this article's own normal behaviour, 0 to 100</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At risk</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Cancelled value behind the alert</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Cancel rate</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Share of this article's movement that was voided here</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Baseline</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same rate across the whole network, for comparison</w:t>
            </w:r>
          </w:p>
        </w:tc>
      </w:tr>
    </w:tbl>
    <w:p>
      <w:pPr>
        <w:spacing w:after="120"/>
      </w:pPr>
      <w:r>
        <w:t xml:space="preserve"/>
      </w:r>
    </w:p>
    <w:p>
      <w:pPr>
        <w:spacing w:after="140" w:line="276"/>
      </w:pPr>
      <w:r>
        <w:rPr>
          <w:rFonts w:ascii="Calibri" w:cs="Calibri" w:eastAsia="Calibri" w:hAnsi="Calibri"/>
          <w:i/>
          <w:iCs/>
          <w:sz w:val="21"/>
          <w:szCs w:val="21"/>
        </w:rPr>
        <w:t xml:space="preserve">Currently 676 alerts covering EUR 17,225.77 of cancelled value.</w:t>
      </w:r>
    </w:p>
    <w:p>
      <w:pPr>
        <w:pStyle w:val="Heading2"/>
        <w:spacing w:after="120" w:before="280"/>
      </w:pPr>
      <w:r>
        <w:rPr>
          <w:rFonts w:ascii="Calibri" w:cs="Calibri" w:eastAsia="Calibri" w:hAnsi="Calibri"/>
          <w:b/>
          <w:bCs/>
          <w:color w:val="1F4E79"/>
          <w:sz w:val="24"/>
          <w:szCs w:val="24"/>
        </w:rPr>
        <w:t xml:space="preserve">4.2 Replenishment</w:t>
      </w:r>
    </w:p>
    <w:p>
      <w:pPr>
        <w:spacing w:after="140" w:line="276"/>
      </w:pPr>
      <w:r>
        <w:rPr>
          <w:rFonts w:ascii="Calibri" w:cs="Calibri" w:eastAsia="Calibri" w:hAnsi="Calibri"/>
          <w:i/>
          <w:iCs/>
          <w:sz w:val="21"/>
          <w:szCs w:val="21"/>
        </w:rPr>
        <w:t xml:space="preserve">Workbench tab: Replenishment</w:t>
      </w:r>
    </w:p>
    <w:p>
      <w:pPr>
        <w:spacing w:after="140" w:line="276"/>
      </w:pPr>
      <w:r>
        <w:rPr>
          <w:rFonts w:ascii="Calibri" w:cs="Calibri" w:eastAsia="Calibri" w:hAnsi="Calibri"/>
          <w:sz w:val="21"/>
          <w:szCs w:val="21"/>
        </w:rPr>
        <w:t xml:space="preserve">Decides what to reorder. An unstaffed store cannot notice an empty shelf, so the decision has to come from the data.</w:t>
      </w:r>
    </w:p>
    <w:p>
      <w:pPr>
        <w:spacing w:after="140" w:line="276"/>
      </w:pPr>
      <w:r>
        <w:rPr>
          <w:rFonts w:ascii="Calibri" w:cs="Calibri" w:eastAsia="Calibri" w:hAnsi="Calibri"/>
          <w:sz w:val="21"/>
          <w:szCs w:val="21"/>
        </w:rPr>
        <w:t xml:space="preserve">Takes the latest counted stock, projects demand over the supplier lead time using the forecast, and sizes safety stock from demand variability divided by supplier reliability. Urgency comes from coverage in trading hours rather than order size, because a slow mover about to go empty still loses the sale.</w:t>
      </w:r>
    </w:p>
    <w:p>
      <w:pPr>
        <w:spacing w:after="80" w:line="276"/>
      </w:pPr>
      <w:r>
        <w:rPr>
          <w:rFonts w:ascii="Calibri" w:cs="Calibri" w:eastAsia="Calibri" w:hAnsi="Calibri"/>
          <w:b/>
          <w:bCs/>
          <w:sz w:val="21"/>
          <w:szCs w:val="21"/>
        </w:rPr>
        <w:t xml:space="preserve">Reading the columns:</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345"/>
        <w:gridCol w:w="6675"/>
      </w:tblGrid>
      <w:tr>
        <w:trPr>
          <w:tblHeader/>
        </w:trPr>
        <w:tc>
          <w:tcPr>
            <w:tcW w:type="dxa" w:w="234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Column</w:t>
            </w:r>
          </w:p>
        </w:tc>
        <w:tc>
          <w:tcPr>
            <w:tcW w:type="dxa" w:w="667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Meaning</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Urgency</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Driven by how many trading hours of cover remain</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On hand</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Counted stock at the last snapshot</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Cover (h)</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Trading hours before the shelf empties at the expected rate</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Order</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Recommended quantity - lead time demand plus safety stock, less stock and orders</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Stockout risk</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Probability of running out before delivery</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Lost sales</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Expected lost margin if it does run out</w:t>
            </w:r>
          </w:p>
        </w:tc>
      </w:tr>
    </w:tbl>
    <w:p>
      <w:pPr>
        <w:spacing w:after="120"/>
      </w:pPr>
      <w:r>
        <w:t xml:space="preserve"/>
      </w:r>
    </w:p>
    <w:p>
      <w:pPr>
        <w:spacing w:after="140" w:line="276"/>
      </w:pPr>
      <w:r>
        <w:rPr>
          <w:rFonts w:ascii="Calibri" w:cs="Calibri" w:eastAsia="Calibri" w:hAnsi="Calibri"/>
          <w:i/>
          <w:iCs/>
          <w:sz w:val="21"/>
          <w:szCs w:val="21"/>
        </w:rPr>
        <w:t xml:space="preserve">Currently 198 open tasks representing EUR 351.11 of lost sales exposure.</w:t>
      </w:r>
    </w:p>
    <w:p>
      <w:pPr>
        <w:pStyle w:val="Heading2"/>
        <w:spacing w:after="120" w:before="280"/>
      </w:pPr>
      <w:r>
        <w:rPr>
          <w:rFonts w:ascii="Calibri" w:cs="Calibri" w:eastAsia="Calibri" w:hAnsi="Calibri"/>
          <w:b/>
          <w:bCs/>
          <w:color w:val="1F4E79"/>
          <w:sz w:val="24"/>
          <w:szCs w:val="24"/>
        </w:rPr>
        <w:t xml:space="preserve">4.3 Fresh Waste</w:t>
      </w:r>
    </w:p>
    <w:p>
      <w:pPr>
        <w:spacing w:after="140" w:line="276"/>
      </w:pPr>
      <w:r>
        <w:rPr>
          <w:rFonts w:ascii="Calibri" w:cs="Calibri" w:eastAsia="Calibri" w:hAnsi="Calibri"/>
          <w:i/>
          <w:iCs/>
          <w:sz w:val="21"/>
          <w:szCs w:val="21"/>
        </w:rPr>
        <w:t xml:space="preserve">Workbench tab: Fresh Waste</w:t>
      </w:r>
    </w:p>
    <w:p>
      <w:pPr>
        <w:spacing w:after="140" w:line="276"/>
      </w:pPr>
      <w:r>
        <w:rPr>
          <w:rFonts w:ascii="Calibri" w:cs="Calibri" w:eastAsia="Calibri" w:hAnsi="Calibri"/>
          <w:sz w:val="21"/>
          <w:szCs w:val="21"/>
        </w:rPr>
        <w:t xml:space="preserve">Decides how deeply to discount same-day food. Anything unsold at closing is written off, so the question is not whether to discount but how much and when.</w:t>
      </w:r>
    </w:p>
    <w:p>
      <w:pPr>
        <w:spacing w:after="140" w:line="276"/>
      </w:pPr>
      <w:r>
        <w:rPr>
          <w:rFonts w:ascii="Calibri" w:cs="Calibri" w:eastAsia="Calibri" w:hAnsi="Calibri"/>
          <w:sz w:val="21"/>
          <w:szCs w:val="21"/>
        </w:rPr>
        <w:t xml:space="preserve">Projects how much will sell at full price in the hours left before expiry, then sweeps discount depths from 10 to 50 per cent. Each is scored on expected recovered revenue minus the write-off cost of whatever still does not sell, using a demand response calibrated so a 30 per cent cut roughly doubles velocity. The best wins, and a proposal only appears when it beats doing nothing.</w:t>
      </w:r>
    </w:p>
    <w:p>
      <w:pPr>
        <w:spacing w:after="80" w:line="276"/>
      </w:pPr>
      <w:r>
        <w:rPr>
          <w:rFonts w:ascii="Calibri" w:cs="Calibri" w:eastAsia="Calibri" w:hAnsi="Calibri"/>
          <w:b/>
          <w:bCs/>
          <w:sz w:val="21"/>
          <w:szCs w:val="21"/>
        </w:rPr>
        <w:t xml:space="preserve">Reading the columns:</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345"/>
        <w:gridCol w:w="6675"/>
      </w:tblGrid>
      <w:tr>
        <w:trPr>
          <w:tblHeader/>
        </w:trPr>
        <w:tc>
          <w:tcPr>
            <w:tcW w:type="dxa" w:w="234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Column</w:t>
            </w:r>
          </w:p>
        </w:tc>
        <w:tc>
          <w:tcPr>
            <w:tcW w:type="dxa" w:w="667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Meaning</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On hand</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Units currently on the shelf</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Will sell</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Units expected to sell at full price before expiry</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At risk</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difference - what gets written off if nothing is done</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Markdown</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recommended discount</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Recovery</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Revenue expected at that discount</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Margin impact</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How much better than doing nothing. Always positive, or no proposal is made.</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Hours left</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Trading hours before write-off</w:t>
            </w:r>
          </w:p>
        </w:tc>
      </w:tr>
    </w:tbl>
    <w:p>
      <w:pPr>
        <w:spacing w:after="120"/>
      </w:pPr>
      <w:r>
        <w:t xml:space="preserve"/>
      </w:r>
    </w:p>
    <w:p>
      <w:pPr>
        <w:spacing w:after="140" w:line="276"/>
      </w:pPr>
      <w:r>
        <w:rPr>
          <w:rFonts w:ascii="Calibri" w:cs="Calibri" w:eastAsia="Calibri" w:hAnsi="Calibri"/>
          <w:i/>
          <w:iCs/>
          <w:sz w:val="21"/>
          <w:szCs w:val="21"/>
        </w:rPr>
        <w:t xml:space="preserve">Currently 146 recommendations protecting EUR 198.10 of margin and avoiding EUR 125.63 of waste cost.</w:t>
      </w:r>
    </w:p>
    <w:p>
      <w:pPr>
        <w:pStyle w:val="Heading2"/>
        <w:spacing w:after="120" w:before="280"/>
      </w:pPr>
      <w:r>
        <w:rPr>
          <w:rFonts w:ascii="Calibri" w:cs="Calibri" w:eastAsia="Calibri" w:hAnsi="Calibri"/>
          <w:b/>
          <w:bCs/>
          <w:color w:val="1F4E79"/>
          <w:sz w:val="24"/>
          <w:szCs w:val="24"/>
        </w:rPr>
        <w:t xml:space="preserve">4.4 Demand Forecast</w:t>
      </w:r>
    </w:p>
    <w:p>
      <w:pPr>
        <w:spacing w:after="140" w:line="276"/>
      </w:pPr>
      <w:r>
        <w:rPr>
          <w:rFonts w:ascii="Calibri" w:cs="Calibri" w:eastAsia="Calibri" w:hAnsi="Calibri"/>
          <w:i/>
          <w:iCs/>
          <w:sz w:val="21"/>
          <w:szCs w:val="21"/>
        </w:rPr>
        <w:t xml:space="preserve">Workbench tab: Demand Forecast</w:t>
      </w:r>
    </w:p>
    <w:p>
      <w:pPr>
        <w:spacing w:after="140" w:line="276"/>
      </w:pPr>
      <w:r>
        <w:rPr>
          <w:rFonts w:ascii="Calibri" w:cs="Calibri" w:eastAsia="Calibri" w:hAnsi="Calibri"/>
          <w:sz w:val="21"/>
          <w:szCs w:val="21"/>
        </w:rPr>
        <w:t xml:space="preserve">Predicts demand per store, article and hour, with a prediction interval. Feeds the replenishment scenario.</w:t>
      </w:r>
    </w:p>
    <w:p>
      <w:pPr>
        <w:spacing w:after="140" w:line="276"/>
      </w:pPr>
      <w:r>
        <w:rPr>
          <w:rFonts w:ascii="Calibri" w:cs="Calibri" w:eastAsia="Calibri" w:hAnsi="Calibri"/>
          <w:sz w:val="21"/>
          <w:szCs w:val="21"/>
        </w:rPr>
        <w:t xml:space="preserve">Demand here is dominated by two repeating shapes - which hour of the day, and which day of the week. The model decomposes sales into a level multiplied by an hour-of-day share and a day-of-week factor, estimates each from history, and recombines them. The level is an exponentially weighted average over recent daily totals, so it follows a trend without lurching after one busy afternoon.</w:t>
      </w:r>
    </w:p>
    <w:p>
      <w:pPr>
        <w:spacing w:after="80" w:line="276"/>
      </w:pPr>
      <w:r>
        <w:rPr>
          <w:rFonts w:ascii="Calibri" w:cs="Calibri" w:eastAsia="Calibri" w:hAnsi="Calibri"/>
          <w:b/>
          <w:bCs/>
          <w:sz w:val="21"/>
          <w:szCs w:val="21"/>
        </w:rPr>
        <w:t xml:space="preserve">Reading the columns:</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345"/>
        <w:gridCol w:w="6675"/>
      </w:tblGrid>
      <w:tr>
        <w:trPr>
          <w:tblHeader/>
        </w:trPr>
        <w:tc>
          <w:tcPr>
            <w:tcW w:type="dxa" w:w="234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Column</w:t>
            </w:r>
          </w:p>
        </w:tc>
        <w:tc>
          <w:tcPr>
            <w:tcW w:type="dxa" w:w="667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Meaning</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Hour</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hour being forecast</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Forecast</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Expected units in that hour</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Low / High</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80 per cent prediction interval</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WAPE</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Backtested error for this article - lower is better</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Model</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Which model produced it</w:t>
            </w:r>
          </w:p>
        </w:tc>
      </w:tr>
    </w:tbl>
    <w:p>
      <w:pPr>
        <w:spacing w:after="120"/>
      </w:pPr>
      <w:r>
        <w:t xml:space="preserve"/>
      </w:r>
    </w:p>
    <w:p>
      <w:pPr>
        <w:spacing w:after="140" w:line="276"/>
      </w:pPr>
      <w:r>
        <w:rPr>
          <w:rFonts w:ascii="Calibri" w:cs="Calibri" w:eastAsia="Calibri" w:hAnsi="Calibri"/>
          <w:i/>
          <w:iCs/>
          <w:sz w:val="21"/>
          <w:szCs w:val="21"/>
        </w:rPr>
        <w:t xml:space="preserve">Currently 1,996 hourly forecasts. Accuracy is discussed in section 5.2.</w:t>
      </w:r>
    </w:p>
    <w:p>
      <w:pPr>
        <w:pStyle w:val="Heading2"/>
        <w:spacing w:after="120" w:before="280"/>
      </w:pPr>
      <w:r>
        <w:rPr>
          <w:rFonts w:ascii="Calibri" w:cs="Calibri" w:eastAsia="Calibri" w:hAnsi="Calibri"/>
          <w:b/>
          <w:bCs/>
          <w:color w:val="1F4E79"/>
          <w:sz w:val="24"/>
          <w:szCs w:val="24"/>
        </w:rPr>
        <w:t xml:space="preserve">4.5 Basket Affinity</w:t>
      </w:r>
    </w:p>
    <w:p>
      <w:pPr>
        <w:spacing w:after="140" w:line="276"/>
      </w:pPr>
      <w:r>
        <w:rPr>
          <w:rFonts w:ascii="Calibri" w:cs="Calibri" w:eastAsia="Calibri" w:hAnsi="Calibri"/>
          <w:i/>
          <w:iCs/>
          <w:sz w:val="21"/>
          <w:szCs w:val="21"/>
        </w:rPr>
        <w:t xml:space="preserve">Workbench tab: Basket Affinity</w:t>
      </w:r>
    </w:p>
    <w:p>
      <w:pPr>
        <w:spacing w:after="140" w:line="276"/>
      </w:pPr>
      <w:r>
        <w:rPr>
          <w:rFonts w:ascii="Calibri" w:cs="Calibri" w:eastAsia="Calibri" w:hAnsi="Calibri"/>
          <w:sz w:val="21"/>
          <w:szCs w:val="21"/>
        </w:rPr>
        <w:t xml:space="preserve">Finds products that sell together, and flags the ones that should be moved closer.</w:t>
      </w:r>
    </w:p>
    <w:p>
      <w:pPr>
        <w:spacing w:after="140" w:line="276"/>
      </w:pPr>
      <w:r>
        <w:rPr>
          <w:rFonts w:ascii="Calibri" w:cs="Calibri" w:eastAsia="Calibri" w:hAnsi="Calibri"/>
          <w:sz w:val="21"/>
          <w:szCs w:val="21"/>
        </w:rPr>
        <w:t xml:space="preserve">Association rule mining over the reconstructed baskets, producing support, confidence and lift for each pair. In a 68 square metre shop the actionable output is placement rather than promotion, so pairs that sell together strongly but sit in different temperature zones are flagged as candidates for a secondary facing.</w:t>
      </w:r>
    </w:p>
    <w:p>
      <w:pPr>
        <w:spacing w:after="80" w:line="276"/>
      </w:pPr>
      <w:r>
        <w:rPr>
          <w:rFonts w:ascii="Calibri" w:cs="Calibri" w:eastAsia="Calibri" w:hAnsi="Calibri"/>
          <w:b/>
          <w:bCs/>
          <w:sz w:val="21"/>
          <w:szCs w:val="21"/>
        </w:rPr>
        <w:t xml:space="preserve">Reading the columns:</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345"/>
        <w:gridCol w:w="6675"/>
      </w:tblGrid>
      <w:tr>
        <w:trPr>
          <w:tblHeader/>
        </w:trPr>
        <w:tc>
          <w:tcPr>
            <w:tcW w:type="dxa" w:w="234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Column</w:t>
            </w:r>
          </w:p>
        </w:tc>
        <w:tc>
          <w:tcPr>
            <w:tcW w:type="dxa" w:w="667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Meaning</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If basket has / Also buys</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two articles in the rule</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Lift</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How much more often they sell together than chance. Above 1 is meaningful.</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Confidence</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How often the second appears when the first does</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Support</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Share of all baskets containing both</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Baskets</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How many baskets the rule is built on</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Cross zone</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Yes means they sit in different temperature zones today - the opportunity</w:t>
            </w:r>
          </w:p>
        </w:tc>
      </w:tr>
    </w:tbl>
    <w:p>
      <w:pPr>
        <w:spacing w:after="120"/>
      </w:pPr>
      <w:r>
        <w:t xml:space="preserve"/>
      </w:r>
    </w:p>
    <w:p>
      <w:pPr>
        <w:spacing w:after="140" w:line="276"/>
      </w:pPr>
      <w:r>
        <w:rPr>
          <w:rFonts w:ascii="Calibri" w:cs="Calibri" w:eastAsia="Calibri" w:hAnsi="Calibri"/>
          <w:i/>
          <w:iCs/>
          <w:sz w:val="21"/>
          <w:szCs w:val="21"/>
        </w:rPr>
        <w:t xml:space="preserve">Currently 33 rules, 26 of them cross-zone.</w:t>
      </w:r>
    </w:p>
    <w:p>
      <w:pPr>
        <w:pStyle w:val="Heading2"/>
        <w:spacing w:after="120" w:before="280"/>
      </w:pPr>
      <w:r>
        <w:rPr>
          <w:rFonts w:ascii="Calibri" w:cs="Calibri" w:eastAsia="Calibri" w:hAnsi="Calibri"/>
          <w:b/>
          <w:bCs/>
          <w:color w:val="1F4E79"/>
          <w:sz w:val="24"/>
          <w:szCs w:val="24"/>
        </w:rPr>
        <w:t xml:space="preserve">4.6 Personal Offers</w:t>
      </w:r>
    </w:p>
    <w:p>
      <w:pPr>
        <w:spacing w:after="140" w:line="276"/>
      </w:pPr>
      <w:r>
        <w:rPr>
          <w:rFonts w:ascii="Calibri" w:cs="Calibri" w:eastAsia="Calibri" w:hAnsi="Calibri"/>
          <w:i/>
          <w:iCs/>
          <w:sz w:val="21"/>
          <w:szCs w:val="21"/>
        </w:rPr>
        <w:t xml:space="preserve">Workbench tab: Personal Offers</w:t>
      </w:r>
    </w:p>
    <w:p>
      <w:pPr>
        <w:spacing w:after="140" w:line="276"/>
      </w:pPr>
      <w:r>
        <w:rPr>
          <w:rFonts w:ascii="Calibri" w:cs="Calibri" w:eastAsia="Calibri" w:hAnsi="Calibri"/>
          <w:sz w:val="21"/>
          <w:szCs w:val="21"/>
        </w:rPr>
        <w:t xml:space="preserve">Produces a next best offer per customer of the S.Mart app.</w:t>
      </w:r>
    </w:p>
    <w:p>
      <w:pPr>
        <w:spacing w:after="140" w:line="276"/>
      </w:pPr>
      <w:r>
        <w:rPr>
          <w:rFonts w:ascii="Calibri" w:cs="Calibri" w:eastAsia="Calibri" w:hAnsi="Calibri"/>
          <w:sz w:val="21"/>
          <w:szCs w:val="21"/>
        </w:rPr>
        <w:t xml:space="preserve">Because entry to an autonomous store is by QR code, every autonomous basket is attributable to a known customer. Candidates come from two directions: routine, meaning articles bought on a regular cadence and now due again, and discovery, meaning articles that co-occur strongly with what they already buy. Propensity blends purchase frequency, recency and affinity strength. Only customers who granted marketing consent are ever included, and that is enforced in the engine rather than downstream.</w:t>
      </w:r>
    </w:p>
    <w:p>
      <w:pPr>
        <w:spacing w:after="80" w:line="276"/>
      </w:pPr>
      <w:r>
        <w:rPr>
          <w:rFonts w:ascii="Calibri" w:cs="Calibri" w:eastAsia="Calibri" w:hAnsi="Calibri"/>
          <w:b/>
          <w:bCs/>
          <w:sz w:val="21"/>
          <w:szCs w:val="21"/>
        </w:rPr>
        <w:t xml:space="preserve">Reading the columns:</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345"/>
        <w:gridCol w:w="6675"/>
      </w:tblGrid>
      <w:tr>
        <w:trPr>
          <w:tblHeader/>
        </w:trPr>
        <w:tc>
          <w:tcPr>
            <w:tcW w:type="dxa" w:w="234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Column</w:t>
            </w:r>
          </w:p>
        </w:tc>
        <w:tc>
          <w:tcPr>
            <w:tcW w:type="dxa" w:w="667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Meaning</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Customer / Tier</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Who, and their loyalty tier</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Offer</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article being offered</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Propensity</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Estimated likelihood of redemption</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Discount</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Depth of the offer - deeper for discovery than for routine</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Expected</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Revenue expected, weighted by propensity</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Channel</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App push for the strongest, shelf label otherwise</w:t>
            </w:r>
          </w:p>
        </w:tc>
      </w:tr>
    </w:tbl>
    <w:p>
      <w:pPr>
        <w:spacing w:after="120"/>
      </w:pPr>
      <w:r>
        <w:t xml:space="preserve"/>
      </w:r>
    </w:p>
    <w:p>
      <w:pPr>
        <w:spacing w:after="140" w:line="276"/>
      </w:pPr>
      <w:r>
        <w:rPr>
          <w:rFonts w:ascii="Calibri" w:cs="Calibri" w:eastAsia="Calibri" w:hAnsi="Calibri"/>
          <w:i/>
          <w:iCs/>
          <w:sz w:val="21"/>
          <w:szCs w:val="21"/>
        </w:rPr>
        <w:t xml:space="preserve">Currently 842 offers with EUR 596.39 of expected revenue.</w:t>
      </w:r>
    </w:p>
    <w:p>
      <w:pPr>
        <w:pStyle w:val="Heading2"/>
        <w:spacing w:after="120" w:before="280"/>
      </w:pPr>
      <w:r>
        <w:rPr>
          <w:rFonts w:ascii="Calibri" w:cs="Calibri" w:eastAsia="Calibri" w:hAnsi="Calibri"/>
          <w:b/>
          <w:bCs/>
          <w:color w:val="1F4E79"/>
          <w:sz w:val="24"/>
          <w:szCs w:val="24"/>
        </w:rPr>
        <w:t xml:space="preserve">4.7 Cold Chain</w:t>
      </w:r>
    </w:p>
    <w:p>
      <w:pPr>
        <w:spacing w:after="140" w:line="276"/>
      </w:pPr>
      <w:r>
        <w:rPr>
          <w:rFonts w:ascii="Calibri" w:cs="Calibri" w:eastAsia="Calibri" w:hAnsi="Calibri"/>
          <w:i/>
          <w:iCs/>
          <w:sz w:val="21"/>
          <w:szCs w:val="21"/>
        </w:rPr>
        <w:t xml:space="preserve">Workbench tab: Cold Chain</w:t>
      </w:r>
    </w:p>
    <w:p>
      <w:pPr>
        <w:spacing w:after="140" w:line="276"/>
      </w:pPr>
      <w:r>
        <w:rPr>
          <w:rFonts w:ascii="Calibri" w:cs="Calibri" w:eastAsia="Calibri" w:hAnsi="Calibri"/>
          <w:sz w:val="21"/>
          <w:szCs w:val="21"/>
        </w:rPr>
        <w:t xml:space="preserve">Watches the chiller and freezer probes.</w:t>
      </w:r>
    </w:p>
    <w:p>
      <w:pPr>
        <w:spacing w:after="140" w:line="276"/>
      </w:pPr>
      <w:r>
        <w:rPr>
          <w:rFonts w:ascii="Calibri" w:cs="Calibri" w:eastAsia="Calibri" w:hAnsi="Calibri"/>
          <w:sz w:val="21"/>
          <w:szCs w:val="21"/>
        </w:rPr>
        <w:t xml:space="preserve">A single reading outside the band is noise - a door held open, a delivery being put away - so an alert only fires on a sustained excursion. Severity scales with how far outside the band, for how long, and how much stock value sits in the unit.</w:t>
      </w:r>
    </w:p>
    <w:p>
      <w:pPr>
        <w:spacing w:after="80" w:line="276"/>
      </w:pPr>
      <w:r>
        <w:rPr>
          <w:rFonts w:ascii="Calibri" w:cs="Calibri" w:eastAsia="Calibri" w:hAnsi="Calibri"/>
          <w:b/>
          <w:bCs/>
          <w:sz w:val="21"/>
          <w:szCs w:val="21"/>
        </w:rPr>
        <w:t xml:space="preserve">Reading the columns:</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345"/>
        <w:gridCol w:w="6675"/>
      </w:tblGrid>
      <w:tr>
        <w:trPr>
          <w:tblHeader/>
        </w:trPr>
        <w:tc>
          <w:tcPr>
            <w:tcW w:type="dxa" w:w="234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Column</w:t>
            </w:r>
          </w:p>
        </w:tc>
        <w:tc>
          <w:tcPr>
            <w:tcW w:type="dxa" w:w="667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Meaning</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Asset</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Which cabinet</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Measured / Target</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Actual against the target for that zone</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Breach (min)</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How long it stayed outside the tolerance band</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Stock at risk</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Value of stock exposed, scaled by duration</w:t>
            </w:r>
          </w:p>
        </w:tc>
      </w:tr>
    </w:tbl>
    <w:p>
      <w:pPr>
        <w:spacing w:after="120"/>
      </w:pPr>
      <w:r>
        <w:t xml:space="preserve"/>
      </w:r>
    </w:p>
    <w:p>
      <w:pPr>
        <w:spacing w:after="140" w:line="276"/>
      </w:pPr>
      <w:r>
        <w:rPr>
          <w:rFonts w:ascii="Calibri" w:cs="Calibri" w:eastAsia="Calibri" w:hAnsi="Calibri"/>
          <w:i/>
          <w:iCs/>
          <w:sz w:val="21"/>
          <w:szCs w:val="21"/>
        </w:rPr>
        <w:t xml:space="preserve">Currently 16 alerts covering EUR 601.44 of exposed stock.</w:t>
      </w:r>
    </w:p>
    <w:p>
      <w:pPr>
        <w:pStyle w:val="Heading2"/>
        <w:spacing w:after="120" w:before="280"/>
      </w:pPr>
      <w:r>
        <w:rPr>
          <w:rFonts w:ascii="Calibri" w:cs="Calibri" w:eastAsia="Calibri" w:hAnsi="Calibri"/>
          <w:b/>
          <w:bCs/>
          <w:color w:val="1F4E79"/>
          <w:sz w:val="24"/>
          <w:szCs w:val="24"/>
        </w:rPr>
        <w:t xml:space="preserve">4.8 Insight Feed</w:t>
      </w:r>
    </w:p>
    <w:p>
      <w:pPr>
        <w:spacing w:after="140" w:line="276"/>
      </w:pPr>
      <w:r>
        <w:rPr>
          <w:rFonts w:ascii="Calibri" w:cs="Calibri" w:eastAsia="Calibri" w:hAnsi="Calibri"/>
          <w:i/>
          <w:iCs/>
          <w:sz w:val="21"/>
          <w:szCs w:val="21"/>
        </w:rPr>
        <w:t xml:space="preserve">Workbench tab: Insight Feed</w:t>
      </w:r>
    </w:p>
    <w:p>
      <w:pPr>
        <w:spacing w:after="140" w:line="276"/>
      </w:pPr>
      <w:r>
        <w:rPr>
          <w:rFonts w:ascii="Calibri" w:cs="Calibri" w:eastAsia="Calibri" w:hAnsi="Calibri"/>
          <w:sz w:val="21"/>
          <w:szCs w:val="21"/>
        </w:rPr>
        <w:t xml:space="preserve">Every scenario in one queue.</w:t>
      </w:r>
    </w:p>
    <w:p>
      <w:pPr>
        <w:spacing w:after="140" w:line="276"/>
      </w:pPr>
      <w:r>
        <w:rPr>
          <w:rFonts w:ascii="Calibri" w:cs="Calibri" w:eastAsia="Calibri" w:hAnsi="Calibri"/>
          <w:sz w:val="21"/>
          <w:szCs w:val="21"/>
        </w:rPr>
        <w:t xml:space="preserve">Each engine ranks its own output, but a store manager does not care which engine spoke - they care what is costing the most money today. The feed ranks everything by euros at stake weighted by the model's confidence in its own recommendation. Repeat excursions on one cabinet collapse to the worst, so a single faulty chiller cannot crowd out everything else.</w:t>
      </w:r>
    </w:p>
    <w:p>
      <w:pPr>
        <w:spacing w:after="80" w:line="276"/>
      </w:pPr>
      <w:r>
        <w:rPr>
          <w:rFonts w:ascii="Calibri" w:cs="Calibri" w:eastAsia="Calibri" w:hAnsi="Calibri"/>
          <w:b/>
          <w:bCs/>
          <w:sz w:val="21"/>
          <w:szCs w:val="21"/>
        </w:rPr>
        <w:t xml:space="preserve">Reading the columns:</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345"/>
        <w:gridCol w:w="6675"/>
      </w:tblGrid>
      <w:tr>
        <w:trPr>
          <w:tblHeader/>
        </w:trPr>
        <w:tc>
          <w:tcPr>
            <w:tcW w:type="dxa" w:w="234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Column</w:t>
            </w:r>
          </w:p>
        </w:tc>
        <w:tc>
          <w:tcPr>
            <w:tcW w:type="dxa" w:w="667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Meaning</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Severity</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Critical through low</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Scenario</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Which engine produced it</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Insight</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One-line summary</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Impact</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Euros at stake</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Confidence</w:t>
            </w:r>
          </w:p>
        </w:tc>
        <w:tc>
          <w:tcPr>
            <w:tcW w:type="dxa" w:w="667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How much the model trusts its own call - shown, not hidden</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Recommended action</w:t>
            </w:r>
          </w:p>
        </w:tc>
        <w:tc>
          <w:tcPr>
            <w:tcW w:type="dxa" w:w="667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What to do about it</w:t>
            </w:r>
          </w:p>
        </w:tc>
      </w:tr>
    </w:tbl>
    <w:p>
      <w:pPr>
        <w:spacing w:after="120"/>
      </w:pPr>
      <w:r>
        <w:t xml:space="preserve"/>
      </w:r>
    </w:p>
    <w:p>
      <w:pPr>
        <w:spacing w:after="140" w:line="276"/>
      </w:pPr>
      <w:r>
        <w:rPr>
          <w:rFonts w:ascii="Calibri" w:cs="Calibri" w:eastAsia="Calibri" w:hAnsi="Calibri"/>
          <w:i/>
          <w:iCs/>
          <w:sz w:val="21"/>
          <w:szCs w:val="21"/>
        </w:rPr>
        <w:t xml:space="preserve">Currently 107 ranked insights.</w:t>
      </w:r>
    </w:p>
    <w:p>
      <w:r>
        <w:br w:type="page"/>
      </w:r>
    </w:p>
    <w:p>
      <w:pPr>
        <w:pStyle w:val="Heading1"/>
        <w:spacing w:after="160" w:before="380"/>
      </w:pPr>
      <w:r>
        <w:rPr>
          <w:rFonts w:ascii="Calibri" w:cs="Calibri" w:eastAsia="Calibri" w:hAnsi="Calibri"/>
          <w:b/>
          <w:bCs/>
          <w:color w:val="1F4E79"/>
          <w:sz w:val="30"/>
          <w:szCs w:val="30"/>
        </w:rPr>
        <w:t xml:space="preserve">Part Five: How It Works Underneath</w:t>
      </w:r>
    </w:p>
    <w:p>
      <w:pPr>
        <w:pBdr>
          <w:bottom w:val="single" w:color="1F4E79" w:sz="6"/>
        </w:pBdr>
        <w:spacing w:after="200" w:before="60"/>
      </w:pPr>
      <w:r>
        <w:rPr>
          <w:sz w:val="2"/>
          <w:szCs w:val="2"/>
        </w:rPr>
        <w:t xml:space="preserve"/>
      </w:r>
    </w:p>
    <w:p>
      <w:pPr>
        <w:pStyle w:val="Heading2"/>
        <w:spacing w:after="120" w:before="280"/>
      </w:pPr>
      <w:r>
        <w:rPr>
          <w:rFonts w:ascii="Calibri" w:cs="Calibri" w:eastAsia="Calibri" w:hAnsi="Calibri"/>
          <w:b/>
          <w:bCs/>
          <w:color w:val="1F4E79"/>
          <w:sz w:val="24"/>
          <w:szCs w:val="24"/>
        </w:rPr>
        <w:t xml:space="preserve">5.1 The three-stage pipeline</w:t>
      </w:r>
    </w:p>
    <w:p>
      <w:pPr>
        <w:spacing w:after="140" w:line="276"/>
      </w:pPr>
      <w:r>
        <w:rPr>
          <w:rFonts w:ascii="Calibri" w:cs="Calibri" w:eastAsia="Calibri" w:hAnsi="Calibri"/>
          <w:sz w:val="21"/>
          <w:szCs w:val="21"/>
        </w:rPr>
        <w:t xml:space="preserve">Everything downstream is rebuildable from the two original spreadsheets with npm run pipeline. Three stages, each runnable on its own.</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1443"/>
        <w:gridCol w:w="1984"/>
        <w:gridCol w:w="5593"/>
      </w:tblGrid>
      <w:tr>
        <w:trPr>
          <w:tblHeader/>
        </w:trPr>
        <w:tc>
          <w:tcPr>
            <w:tcW w:type="dxa" w:w="1443"/>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Stage</w:t>
            </w:r>
          </w:p>
        </w:tc>
        <w:tc>
          <w:tcPr>
            <w:tcW w:type="dxa" w:w="1984"/>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Command</w:t>
            </w:r>
          </w:p>
        </w:tc>
        <w:tc>
          <w:tcPr>
            <w:tcW w:type="dxa" w:w="5593"/>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What it does</w:t>
            </w:r>
          </w:p>
        </w:tc>
      </w:tr>
      <w:tr>
        <w:tc>
          <w:tcPr>
            <w:tcW w:type="dxa" w:w="1443"/>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1. Extract</w:t>
            </w:r>
          </w:p>
        </w:tc>
        <w:tc>
          <w:tcPr>
            <w:tcW w:type="dxa" w:w="198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npm run etl</w:t>
            </w:r>
          </w:p>
        </w:tc>
        <w:tc>
          <w:tcPr>
            <w:tcW w:type="dxa" w:w="5593"/>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Parses the SAP report sheets into tidy CSVs, handling the metadata rows above each header, the group keys printed only on the first row of a block, and the totals mixed into the data. Writes a manifest recording the reconciliation.</w:t>
            </w:r>
          </w:p>
        </w:tc>
      </w:tr>
      <w:tr>
        <w:tc>
          <w:tcPr>
            <w:tcW w:type="dxa" w:w="1443"/>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2. Synthesize</w:t>
            </w:r>
          </w:p>
        </w:tc>
        <w:tc>
          <w:tcPr>
            <w:tcW w:type="dxa" w:w="198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npm run synthesize</w:t>
            </w:r>
          </w:p>
        </w:tc>
        <w:tc>
          <w:tcPr>
            <w:tcW w:type="dxa" w:w="5593"/>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Measures the export's behaviour and builds the six-store network from it. Seeded, so it reproduces exactly.</w:t>
            </w:r>
          </w:p>
        </w:tc>
      </w:tr>
      <w:tr>
        <w:tc>
          <w:tcPr>
            <w:tcW w:type="dxa" w:w="1443"/>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3. Score</w:t>
            </w:r>
          </w:p>
        </w:tc>
        <w:tc>
          <w:tcPr>
            <w:tcW w:type="dxa" w:w="198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npm run build:ai</w:t>
            </w:r>
          </w:p>
        </w:tc>
        <w:tc>
          <w:tcPr>
            <w:tcW w:type="dxa" w:w="5593"/>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Runs all eight engines and writes their output.</w:t>
            </w:r>
          </w:p>
        </w:tc>
      </w:tr>
    </w:tbl>
    <w:p>
      <w:pPr>
        <w:spacing w:after="140"/>
      </w:pPr>
      <w:r>
        <w:t xml:space="preserve"/>
      </w:r>
    </w:p>
    <w:p>
      <w:pPr>
        <w:spacing w:after="140" w:line="276"/>
      </w:pPr>
      <w:r>
        <w:rPr>
          <w:rFonts w:ascii="Calibri" w:cs="Calibri" w:eastAsia="Calibri" w:hAnsi="Calibri"/>
          <w:sz w:val="21"/>
          <w:szCs w:val="21"/>
        </w:rPr>
        <w:t xml:space="preserve">The extraction reconciles exactly against the totals SAP printed in its own report: 6,452 units, EUR 10,588.86 gross, EUR 9,563.36 net, EUR 1,025.50 VAT. Every figure matches to the cent.</w:t>
      </w:r>
    </w:p>
    <w:p>
      <w:pPr>
        <w:spacing w:after="140" w:line="276"/>
      </w:pPr>
      <w:r>
        <w:rPr>
          <w:rFonts w:ascii="Calibri" w:cs="Calibri" w:eastAsia="Calibri" w:hAnsi="Calibri"/>
          <w:sz w:val="21"/>
          <w:szCs w:val="21"/>
        </w:rPr>
        <w:t xml:space="preserve">Stage three calls the same functions the running service calls from its recalculate action. There is no second implementation, so the seeded rows and a live re-run cannot drift apart.</w:t>
      </w:r>
    </w:p>
    <w:p>
      <w:pPr>
        <w:pStyle w:val="Heading2"/>
        <w:spacing w:after="120" w:before="280"/>
      </w:pPr>
      <w:r>
        <w:rPr>
          <w:rFonts w:ascii="Calibri" w:cs="Calibri" w:eastAsia="Calibri" w:hAnsi="Calibri"/>
          <w:b/>
          <w:bCs/>
          <w:color w:val="1F4E79"/>
          <w:sz w:val="24"/>
          <w:szCs w:val="24"/>
        </w:rPr>
        <w:t xml:space="preserve">5.2 Forecast accuracy, stated plainly</w:t>
      </w:r>
    </w:p>
    <w:p>
      <w:pPr>
        <w:spacing w:after="140" w:line="276"/>
      </w:pPr>
      <w:r>
        <w:rPr>
          <w:rFonts w:ascii="Calibri" w:cs="Calibri" w:eastAsia="Calibri" w:hAnsi="Calibri"/>
          <w:sz w:val="21"/>
          <w:szCs w:val="21"/>
        </w:rPr>
        <w:t xml:space="preserve">Accuracy is reported as WAPE rather than MAPE. Hourly demand at SKU level here is intermittent - most hours sell nothing and most non-zero hours sell one or two units - and MAPE divides by the actual, so a one-unit miss against a one-unit actual is a 100 per cent error.</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345"/>
        <w:gridCol w:w="1263"/>
        <w:gridCol w:w="5412"/>
      </w:tblGrid>
      <w:tr>
        <w:trPr>
          <w:tblHeader/>
        </w:trPr>
        <w:tc>
          <w:tcPr>
            <w:tcW w:type="dxa" w:w="2345"/>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Measure</w:t>
            </w:r>
          </w:p>
        </w:tc>
        <w:tc>
          <w:tcPr>
            <w:tcW w:type="dxa" w:w="1263"/>
            <w:shd w:fill="1F4E7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Value</w:t>
            </w:r>
          </w:p>
        </w:tc>
        <w:tc>
          <w:tcPr>
            <w:tcW w:type="dxa" w:w="5412"/>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How to read it</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WAPE, store-day</w:t>
            </w:r>
          </w:p>
        </w:tc>
        <w:tc>
          <w:tcPr>
            <w:tcW w:type="dxa" w:w="1263"/>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28.8%</w:t>
            </w:r>
          </w:p>
        </w:tc>
        <w:tc>
          <w:tcPr>
            <w:tcW w:type="dxa" w:w="5412"/>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number to judge the model by. A credible planning-grade figure.</w:t>
            </w:r>
          </w:p>
        </w:tc>
      </w:tr>
      <w:tr>
        <w:tc>
          <w:tcPr>
            <w:tcW w:type="dxa" w:w="2345"/>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WAPE, SKU-hour</w:t>
            </w:r>
          </w:p>
        </w:tc>
        <w:tc>
          <w:tcPr>
            <w:tcW w:type="dxa" w:w="1263"/>
            <w:shd w:fill="F2F5F8"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186%</w:t>
            </w:r>
          </w:p>
        </w:tc>
        <w:tc>
          <w:tcPr>
            <w:tcW w:type="dxa" w:w="5412"/>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Poor. The grain is genuinely very hard. Reported rather than hidden.</w:t>
            </w:r>
          </w:p>
        </w:tc>
      </w:tr>
      <w:tr>
        <w:tc>
          <w:tcPr>
            <w:tcW w:type="dxa" w:w="2345"/>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MAPE</w:t>
            </w:r>
          </w:p>
        </w:tc>
        <w:tc>
          <w:tcPr>
            <w:tcW w:type="dxa" w:w="1263"/>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88.6%</w:t>
            </w:r>
          </w:p>
        </w:tc>
        <w:tc>
          <w:tcPr>
            <w:tcW w:type="dxa" w:w="5412"/>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Included for reference only</w:t>
            </w:r>
          </w:p>
        </w:tc>
      </w:tr>
    </w:tbl>
    <w:p>
      <w:pPr>
        <w:spacing w:after="140"/>
      </w:pPr>
      <w:r>
        <w:t xml:space="preserve"/>
      </w:r>
    </w:p>
    <w:p>
      <w:pPr>
        <w:spacing w:after="140" w:line="276"/>
      </w:pPr>
      <w:r>
        <w:rPr>
          <w:rFonts w:ascii="Calibri" w:cs="Calibri" w:eastAsia="Calibri" w:hAnsi="Calibri"/>
          <w:sz w:val="21"/>
          <w:szCs w:val="21"/>
        </w:rPr>
        <w:t xml:space="preserve">Two measurement bugs were found and fixed while getting to these numbers, and both are worth knowing about because they are easy mistakes.</w:t>
      </w:r>
    </w:p>
    <w:p>
      <w:pPr>
        <w:spacing w:after="140" w:line="276"/>
      </w:pPr>
      <w:r>
        <w:rPr>
          <w:rFonts w:ascii="Calibri" w:cs="Calibri" w:eastAsia="Calibri" w:hAnsi="Calibri"/>
          <w:sz w:val="21"/>
          <w:szCs w:val="21"/>
        </w:rPr>
        <w:t xml:space="preserve">The level was averaging only the days an article sold. An article selling on 30 days out of 179 has 149 genuine zeros; averaging only the selling days gives the mean of a selling day rather than the mean of a day, and the model was over-predicting by roughly six times.</w:t>
      </w:r>
    </w:p>
    <w:p>
      <w:pPr>
        <w:spacing w:after="140" w:line="276"/>
      </w:pPr>
      <w:r>
        <w:rPr>
          <w:rFonts w:ascii="Calibri" w:cs="Calibri" w:eastAsia="Calibri" w:hAnsi="Calibri"/>
          <w:sz w:val="21"/>
          <w:szCs w:val="21"/>
        </w:rPr>
        <w:t xml:space="preserve">The backtest was only scoring hours that had a sale. It iterated the rows present in the sales table, so it never scored an hour where the model predicted demand and none arrived - it was skipping the questions it got wrong. Scoring the full store-by-article-by-hour grid with absent slots as true zeros made the reported numbers worse before the fixes made them better, which is exactly what should have happened.</w:t>
      </w:r>
    </w:p>
    <w:p>
      <w:pPr>
        <w:pStyle w:val="Heading2"/>
        <w:spacing w:after="120" w:before="280"/>
      </w:pPr>
      <w:r>
        <w:rPr>
          <w:rFonts w:ascii="Calibri" w:cs="Calibri" w:eastAsia="Calibri" w:hAnsi="Calibri"/>
          <w:b/>
          <w:bCs/>
          <w:color w:val="1F4E79"/>
          <w:sz w:val="24"/>
          <w:szCs w:val="24"/>
        </w:rPr>
        <w:t xml:space="preserve">5.3 The services</w:t>
      </w:r>
    </w:p>
    <w:p>
      <w:pPr>
        <w:spacing w:after="140" w:line="276"/>
      </w:pPr>
      <w:r>
        <w:rPr>
          <w:rFonts w:ascii="Calibri" w:cs="Calibri" w:eastAsia="Calibri" w:hAnsi="Calibri"/>
          <w:sz w:val="21"/>
          <w:szCs w:val="21"/>
        </w:rPr>
        <w:t xml:space="preserve">Two OData V4 services, both requiring an authenticated user.</w:t>
      </w:r>
    </w:p>
    <w:p>
      <w:pPr>
        <w:spacing w:after="140" w:line="276"/>
      </w:pPr>
      <w:r>
        <w:rPr>
          <w:rFonts w:ascii="Calibri" w:cs="Calibri" w:eastAsia="Calibri" w:hAnsi="Calibri"/>
          <w:sz w:val="21"/>
          <w:szCs w:val="21"/>
        </w:rPr>
        <w:t xml:space="preserve">AnalyticsService at /analytics exposes the operational data read-only, plus pre-aggregated views for daily sales, the hourly pattern, article performance and channel mix.</w:t>
      </w:r>
    </w:p>
    <w:p>
      <w:pPr>
        <w:spacing w:after="140" w:line="276"/>
      </w:pPr>
      <w:r>
        <w:rPr>
          <w:rFonts w:ascii="Calibri" w:cs="Calibri" w:eastAsia="Calibri" w:hAnsi="Calibri"/>
          <w:sz w:val="21"/>
          <w:szCs w:val="21"/>
        </w:rPr>
        <w:t xml:space="preserve">AIService at /ai exposes the scenario output, two aggregate views, twelve entity-bound actions for working the queues, and three unbound actions: recalculate re-runs the engines; simulateForecast forecasts one article without persisting anything; simulateMarkdown scores a candidate discount against doing nothing.</w:t>
      </w:r>
    </w:p>
    <w:p>
      <w:pPr>
        <w:shd w:fill="F2F5F8" w:color="auto" w:val="clear"/>
        <w:spacing w:after="140" w:before="60"/>
        <w:ind w:left="340"/>
      </w:pPr>
      <w:r>
        <w:rPr>
          <w:rFonts w:ascii="Consolas" w:cs="Consolas" w:eastAsia="Consolas" w:hAnsi="Consolas"/>
          <w:sz w:val="19"/>
          <w:szCs w:val="19"/>
        </w:rPr>
        <w:t xml:space="preserve">curl -u manager:manager -X POST localhost:4004/ai/simulateMarkdown \</w:t>
      </w:r>
    </w:p>
    <w:p>
      <w:pPr>
        <w:shd w:fill="F2F5F8" w:color="auto" w:val="clear"/>
        <w:spacing w:after="140" w:before="60"/>
        <w:ind w:left="340"/>
      </w:pPr>
      <w:r>
        <w:rPr>
          <w:rFonts w:ascii="Consolas" w:cs="Consolas" w:eastAsia="Consolas" w:hAnsi="Consolas"/>
          <w:sz w:val="19"/>
          <w:szCs w:val="19"/>
        </w:rPr>
        <w:t xml:space="preserve">  -H 'Content-Type: application/json' \</w:t>
      </w:r>
    </w:p>
    <w:p>
      <w:pPr>
        <w:shd w:fill="F2F5F8" w:color="auto" w:val="clear"/>
        <w:spacing w:after="140" w:before="60"/>
        <w:ind w:left="340"/>
      </w:pPr>
      <w:r>
        <w:rPr>
          <w:rFonts w:ascii="Consolas" w:cs="Consolas" w:eastAsia="Consolas" w:hAnsi="Consolas"/>
          <w:sz w:val="19"/>
          <w:szCs w:val="19"/>
        </w:rPr>
        <w:t xml:space="preserve">  -d '{"store_ID":"WDF01","article_ID":"AR00245","discountPct":30}'</w:t>
      </w:r>
    </w:p>
    <w:p>
      <w:pPr>
        <w:pStyle w:val="Heading2"/>
        <w:spacing w:after="120" w:before="280"/>
      </w:pPr>
      <w:r>
        <w:rPr>
          <w:rFonts w:ascii="Calibri" w:cs="Calibri" w:eastAsia="Calibri" w:hAnsi="Calibri"/>
          <w:b/>
          <w:bCs/>
          <w:color w:val="1F4E79"/>
          <w:sz w:val="24"/>
          <w:szCs w:val="24"/>
        </w:rPr>
        <w:t xml:space="preserve">5.4 The dataset</w:t>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706"/>
        <w:gridCol w:w="1263"/>
        <w:gridCol w:w="3608"/>
        <w:gridCol w:w="1443"/>
      </w:tblGrid>
      <w:tr>
        <w:trPr>
          <w:tblHeader/>
        </w:trPr>
        <w:tc>
          <w:tcPr>
            <w:tcW w:type="dxa" w:w="2706"/>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Entity</w:t>
            </w:r>
          </w:p>
        </w:tc>
        <w:tc>
          <w:tcPr>
            <w:tcW w:type="dxa" w:w="1263"/>
            <w:shd w:fill="1F4E7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Rows</w:t>
            </w:r>
          </w:p>
        </w:tc>
        <w:tc>
          <w:tcPr>
            <w:tcW w:type="dxa" w:w="3608"/>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Entity</w:t>
            </w:r>
          </w:p>
        </w:tc>
        <w:tc>
          <w:tcPr>
            <w:tcW w:type="dxa" w:w="1443"/>
            <w:shd w:fill="1F4E79" w:color="auto" w:val="clear"/>
            <w:tcMar>
              <w:top w:type="dxa" w:w="70"/>
              <w:left w:type="dxa" w:w="110"/>
              <w:bottom w:type="dxa" w:w="70"/>
              <w:right w:type="dxa" w:w="110"/>
            </w:tcMar>
          </w:tcPr>
          <w:p>
            <w:pPr>
              <w:spacing w:after="0" w:line="250"/>
              <w:jc w:val="right"/>
            </w:pPr>
            <w:r>
              <w:rPr>
                <w:rFonts w:ascii="Calibri" w:cs="Calibri" w:eastAsia="Calibri" w:hAnsi="Calibri"/>
                <w:b/>
                <w:bCs/>
                <w:color w:val="FFFFFF"/>
                <w:sz w:val="19"/>
                <w:szCs w:val="19"/>
              </w:rPr>
              <w:t xml:space="preserve">Rows</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HourlySales</w:t>
            </w:r>
          </w:p>
        </w:tc>
        <w:tc>
          <w:tcPr>
            <w:tcW w:type="dxa" w:w="1263"/>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27,118</w:t>
            </w:r>
          </w:p>
        </w:tc>
        <w:tc>
          <w:tcPr>
            <w:tcW w:type="dxa" w:w="3608"/>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ShrinkAlerts</w:t>
            </w:r>
          </w:p>
        </w:tc>
        <w:tc>
          <w:tcPr>
            <w:tcW w:type="dxa" w:w="1443"/>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676</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ReceiptItems</w:t>
            </w:r>
          </w:p>
        </w:tc>
        <w:tc>
          <w:tcPr>
            <w:tcW w:type="dxa" w:w="1263"/>
            <w:shd w:fill="F2F5F8"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29,054</w:t>
            </w:r>
          </w:p>
        </w:tc>
        <w:tc>
          <w:tcPr>
            <w:tcW w:type="dxa" w:w="3608"/>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ReplenishmentTasks</w:t>
            </w:r>
          </w:p>
        </w:tc>
        <w:tc>
          <w:tcPr>
            <w:tcW w:type="dxa" w:w="1443"/>
            <w:shd w:fill="F2F5F8"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198</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Receipts</w:t>
            </w:r>
          </w:p>
        </w:tc>
        <w:tc>
          <w:tcPr>
            <w:tcW w:type="dxa" w:w="1263"/>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18,401</w:t>
            </w:r>
          </w:p>
        </w:tc>
        <w:tc>
          <w:tcPr>
            <w:tcW w:type="dxa" w:w="3608"/>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MarkdownRecommendations</w:t>
            </w:r>
          </w:p>
        </w:tc>
        <w:tc>
          <w:tcPr>
            <w:tcW w:type="dxa" w:w="1443"/>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146</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InventorySnapshots</w:t>
            </w:r>
          </w:p>
        </w:tc>
        <w:tc>
          <w:tcPr>
            <w:tcW w:type="dxa" w:w="1263"/>
            <w:shd w:fill="F2F5F8"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17,640</w:t>
            </w:r>
          </w:p>
        </w:tc>
        <w:tc>
          <w:tcPr>
            <w:tcW w:type="dxa" w:w="3608"/>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DemandForecasts</w:t>
            </w:r>
          </w:p>
        </w:tc>
        <w:tc>
          <w:tcPr>
            <w:tcW w:type="dxa" w:w="1443"/>
            <w:shd w:fill="F2F5F8"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1,996</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FootfallReadings</w:t>
            </w:r>
          </w:p>
        </w:tc>
        <w:tc>
          <w:tcPr>
            <w:tcW w:type="dxa" w:w="1263"/>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9,221</w:t>
            </w:r>
          </w:p>
        </w:tc>
        <w:tc>
          <w:tcPr>
            <w:tcW w:type="dxa" w:w="3608"/>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NextBestOffers</w:t>
            </w:r>
          </w:p>
        </w:tc>
        <w:tc>
          <w:tcPr>
            <w:tcW w:type="dxa" w:w="1443"/>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842</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Cancellations</w:t>
            </w:r>
          </w:p>
        </w:tc>
        <w:tc>
          <w:tcPr>
            <w:tcW w:type="dxa" w:w="1263"/>
            <w:shd w:fill="F2F5F8"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5,411</w:t>
            </w:r>
          </w:p>
        </w:tc>
        <w:tc>
          <w:tcPr>
            <w:tcW w:type="dxa" w:w="3608"/>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BasketAffinities</w:t>
            </w:r>
          </w:p>
        </w:tc>
        <w:tc>
          <w:tcPr>
            <w:tcW w:type="dxa" w:w="1443"/>
            <w:shd w:fill="F2F5F8"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33</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ShelfSensorReadings</w:t>
            </w:r>
          </w:p>
        </w:tc>
        <w:tc>
          <w:tcPr>
            <w:tcW w:type="dxa" w:w="1263"/>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3,738</w:t>
            </w:r>
          </w:p>
        </w:tc>
        <w:tc>
          <w:tcPr>
            <w:tcW w:type="dxa" w:w="3608"/>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ColdChainAlerts</w:t>
            </w:r>
          </w:p>
        </w:tc>
        <w:tc>
          <w:tcPr>
            <w:tcW w:type="dxa" w:w="1443"/>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16</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Articles</w:t>
            </w:r>
          </w:p>
        </w:tc>
        <w:tc>
          <w:tcPr>
            <w:tcW w:type="dxa" w:w="1263"/>
            <w:shd w:fill="F2F5F8"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327</w:t>
            </w:r>
          </w:p>
        </w:tc>
        <w:tc>
          <w:tcPr>
            <w:tcW w:type="dxa" w:w="3608"/>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AIInsights</w:t>
            </w:r>
          </w:p>
        </w:tc>
        <w:tc>
          <w:tcPr>
            <w:tcW w:type="dxa" w:w="1443"/>
            <w:shd w:fill="F2F5F8" w:color="auto" w:val="clear"/>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107</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Customers</w:t>
            </w:r>
          </w:p>
        </w:tc>
        <w:tc>
          <w:tcPr>
            <w:tcW w:type="dxa" w:w="1263"/>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480</w:t>
            </w:r>
          </w:p>
        </w:tc>
        <w:tc>
          <w:tcPr>
            <w:tcW w:type="dxa" w:w="3608"/>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Stores</w:t>
            </w:r>
          </w:p>
        </w:tc>
        <w:tc>
          <w:tcPr>
            <w:tcW w:type="dxa" w:w="1443"/>
            <w:tcMar>
              <w:top w:type="dxa" w:w="70"/>
              <w:left w:type="dxa" w:w="110"/>
              <w:bottom w:type="dxa" w:w="70"/>
              <w:right w:type="dxa" w:w="110"/>
            </w:tcMar>
          </w:tcPr>
          <w:p>
            <w:pPr>
              <w:spacing w:after="0" w:line="250"/>
              <w:jc w:val="right"/>
            </w:pPr>
            <w:r>
              <w:rPr>
                <w:rFonts w:ascii="Calibri" w:cs="Calibri" w:eastAsia="Calibri" w:hAnsi="Calibri"/>
                <w:b w:val="false"/>
                <w:bCs w:val="false"/>
                <w:color w:val="000000"/>
                <w:sz w:val="19"/>
                <w:szCs w:val="19"/>
              </w:rPr>
              <w:t xml:space="preserve">6</w:t>
            </w:r>
          </w:p>
        </w:tc>
      </w:tr>
    </w:tbl>
    <w:p>
      <w:pPr>
        <w:spacing w:after="140"/>
      </w:pPr>
      <w:r>
        <w:t xml:space="preserve"/>
      </w:r>
    </w:p>
    <w:p>
      <w:pPr>
        <w:spacing w:after="140" w:line="276"/>
      </w:pPr>
      <w:r>
        <w:rPr>
          <w:rFonts w:ascii="Calibri" w:cs="Calibri" w:eastAsia="Calibri" w:hAnsi="Calibri"/>
          <w:sz w:val="21"/>
          <w:szCs w:val="21"/>
        </w:rPr>
        <w:t xml:space="preserve">Of the 27,118 hourly sales rows, 4,926 are the real Walldorf figures from the SAP export.</w:t>
      </w:r>
    </w:p>
    <w:p>
      <w:pPr>
        <w:pStyle w:val="Heading2"/>
        <w:spacing w:after="120" w:before="280"/>
      </w:pPr>
      <w:r>
        <w:rPr>
          <w:rFonts w:ascii="Calibri" w:cs="Calibri" w:eastAsia="Calibri" w:hAnsi="Calibri"/>
          <w:b/>
          <w:bCs/>
          <w:color w:val="1F4E79"/>
          <w:sz w:val="24"/>
          <w:szCs w:val="24"/>
        </w:rPr>
        <w:t xml:space="preserve">5.5 Deploying to SAP HANA Cloud</w:t>
      </w:r>
    </w:p>
    <w:p>
      <w:pPr>
        <w:spacing w:after="140" w:line="276"/>
      </w:pPr>
      <w:r>
        <w:rPr>
          <w:rFonts w:ascii="Calibri" w:cs="Calibri" w:eastAsia="Calibri" w:hAnsi="Calibri"/>
          <w:sz w:val="21"/>
          <w:szCs w:val="21"/>
        </w:rPr>
        <w:t xml:space="preserve">Nothing in the model, the services or the engines differs between local SQLite and HANA. Only the database binding changes, under the production profile.</w:t>
      </w:r>
    </w:p>
    <w:p>
      <w:pPr>
        <w:shd w:fill="F2F5F8" w:color="auto" w:val="clear"/>
        <w:spacing w:after="140" w:before="60"/>
        <w:ind w:left="340"/>
      </w:pPr>
      <w:r>
        <w:rPr>
          <w:rFonts w:ascii="Consolas" w:cs="Consolas" w:eastAsia="Consolas" w:hAnsi="Consolas"/>
          <w:sz w:val="19"/>
          <w:szCs w:val="19"/>
        </w:rPr>
        <w:t xml:space="preserve">npm run build          # generates 30 HANA tables and 25 seed loaders</w:t>
      </w:r>
    </w:p>
    <w:p>
      <w:pPr>
        <w:shd w:fill="F2F5F8" w:color="auto" w:val="clear"/>
        <w:spacing w:after="140" w:before="60"/>
        <w:ind w:left="340"/>
      </w:pPr>
      <w:r>
        <w:rPr>
          <w:rFonts w:ascii="Consolas" w:cs="Consolas" w:eastAsia="Consolas" w:hAnsi="Consolas"/>
          <w:sz w:val="19"/>
          <w:szCs w:val="19"/>
        </w:rPr>
        <w:t xml:space="preserve">cf create-service hana hdi-shared smartstore-db</w:t>
      </w:r>
    </w:p>
    <w:p>
      <w:pPr>
        <w:shd w:fill="F2F5F8" w:color="auto" w:val="clear"/>
        <w:spacing w:after="140" w:before="60"/>
        <w:ind w:left="340"/>
      </w:pPr>
      <w:r>
        <w:rPr>
          <w:rFonts w:ascii="Consolas" w:cs="Consolas" w:eastAsia="Consolas" w:hAnsi="Consolas"/>
          <w:sz w:val="19"/>
          <w:szCs w:val="19"/>
        </w:rPr>
        <w:t xml:space="preserve">npm run deploy:hana</w:t>
      </w:r>
    </w:p>
    <w:p>
      <w:pPr>
        <w:spacing w:after="140" w:line="276"/>
      </w:pPr>
      <w:r>
        <w:rPr>
          <w:rFonts w:ascii="Calibri" w:cs="Calibri" w:eastAsia="Calibri" w:hAnsi="Calibri"/>
          <w:sz w:val="21"/>
          <w:szCs w:val="21"/>
        </w:rPr>
        <w:t xml:space="preserve">For the full application, mbt build followed by cf deploy uses mta.yaml, which describes the CAP service, the HDI deployer, the static user interface, the HDI container and an XSUAA instance. Full walkthrough in docs/hana-deployment.md.</w:t>
      </w:r>
    </w:p>
    <w:p>
      <w:pPr>
        <w:spacing w:after="140" w:line="276"/>
      </w:pPr>
      <w:r>
        <w:rPr>
          <w:rFonts w:ascii="Calibri" w:cs="Calibri" w:eastAsia="Calibri" w:hAnsi="Calibri"/>
          <w:sz w:val="21"/>
          <w:szCs w:val="21"/>
        </w:rPr>
        <w:t xml:space="preserve">This has been built and verified but not deployed - there were no HANA Cloud credentials available during development, so the artifacts are known to generate correctly and the descriptors are known to be well-formed, but an actual deployment has not been executed. It is the one claim in this document resting on generated output rather than an executed step.</w:t>
      </w:r>
    </w:p>
    <w:p>
      <w:r>
        <w:br w:type="page"/>
      </w:r>
    </w:p>
    <w:p>
      <w:pPr>
        <w:pStyle w:val="Heading1"/>
        <w:spacing w:after="160" w:before="380"/>
      </w:pPr>
      <w:r>
        <w:rPr>
          <w:rFonts w:ascii="Calibri" w:cs="Calibri" w:eastAsia="Calibri" w:hAnsi="Calibri"/>
          <w:b/>
          <w:bCs/>
          <w:color w:val="1F4E79"/>
          <w:sz w:val="30"/>
          <w:szCs w:val="30"/>
        </w:rPr>
        <w:t xml:space="preserve">Part Six: Troubleshooting</w:t>
      </w:r>
    </w:p>
    <w:p>
      <w:pPr>
        <w:pBdr>
          <w:bottom w:val="single" w:color="1F4E79" w:sz="6"/>
        </w:pBdr>
        <w:spacing w:after="200" w:before="60"/>
      </w:pPr>
      <w:r>
        <w:rPr>
          <w:sz w:val="2"/>
          <w:szCs w:val="2"/>
        </w:rPr>
        <w:t xml:space="preserve"/>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706"/>
        <w:gridCol w:w="6314"/>
      </w:tblGrid>
      <w:tr>
        <w:trPr>
          <w:tblHeader/>
        </w:trPr>
        <w:tc>
          <w:tcPr>
            <w:tcW w:type="dxa" w:w="2706"/>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Symptom</w:t>
            </w:r>
          </w:p>
        </w:tc>
        <w:tc>
          <w:tcPr>
            <w:tcW w:type="dxa" w:w="6314"/>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Cause and fix</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EADDRINUSE on port 4004</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An older server is still running. kill $(lsof -ti:4004) then npm start, or use PORT=4005 npm start.</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"no such table: AIService_Something"</w:t>
            </w:r>
          </w:p>
        </w:tc>
        <w:tc>
          <w:tcPr>
            <w:tcW w:type="dxa" w:w="631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local database predates a service change. Run npm run deploy:local and restart. npm run sync now does this automatically.</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 dashboard shows old data or old behaviour</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Cached assets. The server sends no-store in development, so a normal reload is enough; if in doubt open DevTools, tick "Disable cache" and reload.</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 Fiori elements app is blank</w:t>
            </w:r>
          </w:p>
        </w:tc>
        <w:tc>
          <w:tcPr>
            <w:tcW w:type="dxa" w:w="631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It needs SAPUI5 from ui5.sap.com. Check with curl -I https://ui5.sap.com/resources/sap-ui-core.js - a 200 means reachable. If it cannot be reached, use the Scenario Workbench, which shows the same data.</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 browser login prompt appears</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Expected. Development uses mocked authentication: manager / manager.</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npm run sync refuses to run</w:t>
            </w:r>
          </w:p>
        </w:tc>
        <w:tc>
          <w:tcPr>
            <w:tcW w:type="dxa" w:w="631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You have uncommitted changes. Commit or stash them first - this is deliberate, so a pull cannot merge over your work.</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 scenario tab shows nothing</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status filter defaults to open items. Switch to "Any status" to see records already acted on.</w:t>
            </w:r>
          </w:p>
        </w:tc>
      </w:tr>
    </w:tbl>
    <w:p>
      <w:pPr>
        <w:spacing w:after="200"/>
      </w:pPr>
      <w:r>
        <w:t xml:space="preserve"/>
      </w:r>
    </w:p>
    <w:p>
      <w:pPr>
        <w:pStyle w:val="Heading2"/>
        <w:spacing w:after="120" w:before="280"/>
      </w:pPr>
      <w:r>
        <w:rPr>
          <w:rFonts w:ascii="Calibri" w:cs="Calibri" w:eastAsia="Calibri" w:hAnsi="Calibri"/>
          <w:b/>
          <w:bCs/>
          <w:color w:val="1F4E79"/>
          <w:sz w:val="24"/>
          <w:szCs w:val="24"/>
        </w:rPr>
        <w:t xml:space="preserve">6.1 Harmless messages in the browser console</w:t>
      </w:r>
    </w:p>
    <w:p>
      <w:pPr>
        <w:spacing w:after="140" w:line="276"/>
      </w:pPr>
      <w:r>
        <w:rPr>
          <w:rFonts w:ascii="Calibri" w:cs="Calibri" w:eastAsia="Calibri" w:hAnsi="Calibri"/>
          <w:sz w:val="21"/>
          <w:szCs w:val="21"/>
        </w:rPr>
        <w:t xml:space="preserve">The Fiori elements applications produce three 404s that look alarming and are not:</w:t>
      </w:r>
    </w:p>
    <w:p>
      <w:pPr>
        <w:pStyle w:val="ListParagraph"/>
        <w:numPr>
          <w:ilvl w:val="0"/>
          <w:numId w:val="2"/>
        </w:numPr>
        <w:spacing w:after="90" w:line="276"/>
      </w:pPr>
      <w:r>
        <w:rPr>
          <w:rFonts w:ascii="Calibri" w:cs="Calibri" w:eastAsia="Calibri" w:hAnsi="Calibri"/>
          <w:sz w:val="21"/>
          <w:szCs w:val="21"/>
        </w:rPr>
        <w:t xml:space="preserve">Component-preload.js - that bundle only exists in a built application; UI5 falls back to individual modules</w:t>
      </w:r>
    </w:p>
    <w:p>
      <w:pPr>
        <w:pStyle w:val="ListParagraph"/>
        <w:numPr>
          <w:ilvl w:val="0"/>
          <w:numId w:val="2"/>
        </w:numPr>
        <w:spacing w:after="90" w:line="276"/>
      </w:pPr>
      <w:r>
        <w:rPr>
          <w:rFonts w:ascii="Calibri" w:cs="Calibri" w:eastAsia="Calibri" w:hAnsi="Calibri"/>
          <w:sz w:val="21"/>
          <w:szCs w:val="21"/>
        </w:rPr>
        <w:t xml:space="preserve">/sap/bc/lrep/flex/... - the flexibility layer wants an ABAP backend; it logs "startup continues"</w:t>
      </w:r>
    </w:p>
    <w:p>
      <w:pPr>
        <w:pStyle w:val="ListParagraph"/>
        <w:numPr>
          <w:ilvl w:val="0"/>
          <w:numId w:val="2"/>
        </w:numPr>
        <w:spacing w:after="90" w:line="276"/>
      </w:pPr>
      <w:r>
        <w:rPr>
          <w:rFonts w:ascii="Calibri" w:cs="Calibri" w:eastAsia="Calibri" w:hAnsi="Calibri"/>
          <w:sz w:val="21"/>
          <w:szCs w:val="21"/>
        </w:rPr>
        <w:t xml:space="preserve">/sap/bc/ui2/flp - launchpad telemetry, with no launchpad behind it</w:t>
      </w:r>
    </w:p>
    <w:p>
      <w:pPr>
        <w:spacing w:after="120"/>
      </w:pPr>
      <w:r>
        <w:t xml:space="preserve"/>
      </w:r>
    </w:p>
    <w:p>
      <w:pPr>
        <w:spacing w:after="140" w:line="276"/>
      </w:pPr>
      <w:r>
        <w:rPr>
          <w:rFonts w:ascii="Calibri" w:cs="Calibri" w:eastAsia="Calibri" w:hAnsi="Calibri"/>
          <w:sz w:val="21"/>
          <w:szCs w:val="21"/>
        </w:rPr>
        <w:t xml:space="preserve">None of them block rendering. If an application is not working, look past these for the real error.</w:t>
      </w:r>
    </w:p>
    <w:p>
      <w:r>
        <w:br w:type="page"/>
      </w:r>
    </w:p>
    <w:p>
      <w:pPr>
        <w:pStyle w:val="Heading1"/>
        <w:spacing w:after="160" w:before="380"/>
      </w:pPr>
      <w:r>
        <w:rPr>
          <w:rFonts w:ascii="Calibri" w:cs="Calibri" w:eastAsia="Calibri" w:hAnsi="Calibri"/>
          <w:b/>
          <w:bCs/>
          <w:color w:val="1F4E79"/>
          <w:sz w:val="30"/>
          <w:szCs w:val="30"/>
        </w:rPr>
        <w:t xml:space="preserve">Appendix: Where Everything Lives</w:t>
      </w:r>
    </w:p>
    <w:p>
      <w:pPr>
        <w:pBdr>
          <w:bottom w:val="single" w:color="1F4E79" w:sz="6"/>
        </w:pBdr>
        <w:spacing w:after="200" w:before="60"/>
      </w:pPr>
      <w:r>
        <w:rPr>
          <w:sz w:val="2"/>
          <w:szCs w:val="2"/>
        </w:rPr>
        <w:t xml:space="preserve"/>
      </w:r>
    </w:p>
    <w:tbl>
      <w:tblPr>
        <w:tblW w:type="dxa" w:w="9020"/>
        <w:tblBorders>
          <w:top w:val="single" w:color="BFBFBF" w:sz="4"/>
          <w:left w:val="single" w:color="BFBFBF" w:sz="4"/>
          <w:bottom w:val="single" w:color="BFBFBF" w:sz="4"/>
          <w:right w:val="single" w:color="BFBFBF" w:sz="4"/>
          <w:insideH w:val="single" w:color="D9D9D9" w:sz="2"/>
          <w:insideV w:val="single" w:color="D9D9D9" w:sz="2"/>
        </w:tblBorders>
      </w:tblPr>
      <w:tblGrid>
        <w:gridCol w:w="2706"/>
        <w:gridCol w:w="6314"/>
      </w:tblGrid>
      <w:tr>
        <w:trPr>
          <w:tblHeader/>
        </w:trPr>
        <w:tc>
          <w:tcPr>
            <w:tcW w:type="dxa" w:w="2706"/>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Path</w:t>
            </w:r>
          </w:p>
        </w:tc>
        <w:tc>
          <w:tcPr>
            <w:tcW w:type="dxa" w:w="6314"/>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Contents</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db/schema.cds</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Operational model - stores, terminals, articles, sales, inventory, telemetry</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db/ai-schema.cds</w:t>
            </w:r>
          </w:p>
        </w:tc>
        <w:tc>
          <w:tcPr>
            <w:tcW w:type="dxa" w:w="631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Scenario output - forecasts, alerts, tasks, recommendations, insight feed</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db/data/</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25 seed CSV files, the deployable dataset</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srv/analytics-service.cds</w:t>
            </w:r>
          </w:p>
        </w:tc>
        <w:tc>
          <w:tcPr>
            <w:tcW w:type="dxa" w:w="631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Read-only analytical service and its aggregate views</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srv/ai-service.cds / .js</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AI service definition and implementation</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srv/lib/engines/</w:t>
            </w:r>
          </w:p>
        </w:tc>
        <w:tc>
          <w:tcPr>
            <w:tcW w:type="dxa" w:w="631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eight engines, as pure functions</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srv/annotations/</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Fiori elements UI definitions</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app/command-center/</w:t>
            </w:r>
          </w:p>
        </w:tc>
        <w:tc>
          <w:tcPr>
            <w:tcW w:type="dxa" w:w="631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AI Command Centre</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app/scenarios/</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Scenario Workbench, all eight tabs</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app/api/</w:t>
            </w:r>
          </w:p>
        </w:tc>
        <w:tc>
          <w:tcPr>
            <w:tcW w:type="dxa" w:w="631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API Explorer</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app/index.html</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launchpad</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app/*/webapp/</w:t>
            </w:r>
          </w:p>
        </w:tc>
        <w:tc>
          <w:tcPr>
            <w:tcW w:type="dxa" w:w="631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eight Fiori elements applications</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tools/</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three pipeline stages plus the sync helper</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test/engines.test.js</w:t>
            </w:r>
          </w:p>
        </w:tc>
        <w:tc>
          <w:tcPr>
            <w:tcW w:type="dxa" w:w="631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23 unit tests</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data/source/</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original SAP exports, unmodified</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docs/</w:t>
            </w:r>
          </w:p>
        </w:tc>
        <w:tc>
          <w:tcPr>
            <w:tcW w:type="dxa" w:w="631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This guide, the technical report, the data model and HANA deployment references</w:t>
            </w:r>
          </w:p>
        </w:tc>
      </w:tr>
      <w:tr>
        <w:tc>
          <w:tcPr>
            <w:tcW w:type="dxa" w:w="2706"/>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server.js</w:t>
            </w:r>
          </w:p>
        </w:tc>
        <w:tc>
          <w:tcPr>
            <w:tcW w:type="dxa" w:w="6314"/>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CAP bootstrap - disables asset caching outside production</w:t>
            </w:r>
          </w:p>
        </w:tc>
      </w:tr>
      <w:tr>
        <w:tc>
          <w:tcPr>
            <w:tcW w:type="dxa" w:w="2706"/>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mta.yaml / xs-security.json</w:t>
            </w:r>
          </w:p>
        </w:tc>
        <w:tc>
          <w:tcPr>
            <w:tcW w:type="dxa" w:w="6314"/>
            <w:shd w:fill="F2F5F8" w:color="auto" w:val="clear"/>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Cloud Foundry deployment and security profile</w:t>
            </w:r>
          </w:p>
        </w:tc>
      </w:tr>
    </w:tbl>
    <w:p>
      <w:pPr>
        <w:spacing w:after="240"/>
      </w:pPr>
      <w:r>
        <w:t xml:space="preserve"/>
      </w:r>
    </w:p>
    <w:p>
      <w:pPr>
        <w:spacing w:after="140" w:line="276"/>
      </w:pPr>
      <w:r>
        <w:rPr>
          <w:rFonts w:ascii="Calibri" w:cs="Calibri" w:eastAsia="Calibri" w:hAnsi="Calibri"/>
          <w:i/>
          <w:iCs/>
          <w:sz w:val="21"/>
          <w:szCs w:val="21"/>
        </w:rPr>
        <w:t xml:space="preserve">Sixteen commits, all authored by Divyansh Maurya. Twenty-three unit tests, all passing. The command centre, scenario workbench and API explorer are verified end to end in a browser; the Fiori elements applications and the HANA Cloud deployment are the two pieces verified by configuration rather than by execution.</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40"/>
      <w:jc w:val="right"/>
    </w:pPr>
    <w:r>
      <w:rPr>
        <w:rFonts w:ascii="Calibri" w:cs="Calibri" w:eastAsia="Calibri" w:hAnsi="Calibri"/>
        <w:color w:val="595959"/>
        <w:sz w:val="17"/>
        <w:szCs w:val="17"/>
      </w:rPr>
      <w:t xml:space="preserve">S.Mart Retail AI - Project Report and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Retail AI - Project Report and User Guide</dc:title>
  <dc:creator>Divyansh Maurya</dc:creator>
  <dc:description>What was built, how to run it, and what every screen does</dc:description>
  <cp:lastModifiedBy>Un-named</cp:lastModifiedBy>
  <cp:revision>1</cp:revision>
  <dcterms:created xsi:type="dcterms:W3CDTF">2026-07-29T07:07:51.701Z</dcterms:created>
  <dcterms:modified xsi:type="dcterms:W3CDTF">2026-07-29T07:07:51.702Z</dcterms:modified>
</cp:coreProperties>
</file>

<file path=docProps/custom.xml><?xml version="1.0" encoding="utf-8"?>
<Properties xmlns="http://schemas.openxmlformats.org/officeDocument/2006/custom-properties" xmlns:vt="http://schemas.openxmlformats.org/officeDocument/2006/docPropsVTypes"/>
</file>