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val="0"/>
          <w:sz w:val="48"/>
        </w:rPr>
        <w:t>Generalizable Deepfake Detection via Artifact-Invariant Representation Learning</w:t>
      </w:r>
    </w:p>
    <w:tbl>
      <w:tblPr>
        <w:tblStyle w:val="TableGrid"/>
        <w:tblW w:type="auto" w:w="0"/>
        <w:jc w:val="center"/>
        <w:tblLook w:firstColumn="1" w:firstRow="1" w:lastColumn="0" w:lastRow="0" w:noHBand="0" w:noVBand="1" w:val="04A0"/>
      </w:tblPr>
      <w:tblGrid>
        <w:gridCol w:w="10282"/>
      </w:tblGrid>
      <w:tr>
        <w:tc>
          <w:tcPr>
            <w:tcW w:type="dxa" w:w="10282"/>
          </w:tcPr>
          <w:p>
            <w:pPr>
              <w:spacing w:before="0" w:after="0" w:line="240" w:lineRule="auto"/>
              <w:ind w:firstLine="0"/>
              <w:jc w:val="center"/>
            </w:pPr>
            <w:r>
              <w:rPr>
                <w:rFonts w:ascii="Times New Roman" w:hAnsi="Times New Roman"/>
                <w:b/>
                <w:sz w:val="20"/>
              </w:rPr>
              <w:t>Divyanshu Parihar</w:t>
            </w:r>
          </w:p>
        </w:tc>
      </w:tr>
      <w:tr>
        <w:tc>
          <w:tcPr>
            <w:tcW w:type="dxa" w:w="10282"/>
          </w:tcPr>
          <w:p>
            <w:pPr>
              <w:spacing w:before="0" w:after="0" w:line="240" w:lineRule="auto"/>
              <w:ind w:firstLine="0"/>
              <w:jc w:val="center"/>
            </w:pPr>
            <w:r>
              <w:rPr>
                <w:rFonts w:ascii="Times New Roman" w:hAnsi="Times New Roman"/>
                <w:sz w:val="20"/>
              </w:rPr>
              <w:t>*Independent Researcher*</w:t>
            </w:r>
          </w:p>
        </w:tc>
      </w:tr>
      <w:tr>
        <w:tc>
          <w:tcPr>
            <w:tcW w:type="dxa" w:w="10282"/>
          </w:tcPr>
          <w:p>
            <w:pPr>
              <w:spacing w:before="0" w:after="0" w:line="240" w:lineRule="auto"/>
              <w:ind w:firstLine="0"/>
              <w:jc w:val="center"/>
            </w:pPr>
            <w:r>
              <w:rPr>
                <w:rFonts w:ascii="Times New Roman" w:hAnsi="Times New Roman"/>
                <w:sz w:val="20"/>
              </w:rPr>
              <w:t>divyanshu1447@gmail.com</w:t>
            </w:r>
          </w:p>
        </w:tc>
      </w:tr>
    </w:tbl>
    <w:p/>
    <w:p>
      <w:pPr>
        <w:sectPr>
          <w:pgSz w:w="12240" w:h="15840"/>
          <w:pgMar w:top="1440" w:right="979" w:bottom="1620" w:left="979" w:header="720" w:footer="720" w:gutter="0"/>
          <w:cols w:space="720"/>
          <w:docGrid w:linePitch="360"/>
        </w:sectPr>
      </w:pPr>
    </w:p>
    <w:p>
      <w:pPr>
        <w:ind w:firstLine="0"/>
        <w:jc w:val="both"/>
      </w:pPr>
      <w:r>
        <w:rPr>
          <w:rFonts w:ascii="Times New Roman" w:hAnsi="Times New Roman"/>
          <w:b/>
          <w:i/>
          <w:sz w:val="20"/>
        </w:rPr>
        <w:t>Abstract - Deepfake detectors fail when they meet unseen generators. This is the "generalization gap," caused by models memorizing specific upsampling artifacts instead of learning universal forgery patterns. We propose a solution that focuses on high-frequency spectral residuals—the mathematical noise left behind by generative upsampling. We built a dual-stream network that fuses RGB features with frequency-domain noise maps. Testing on cross-domain benchmarks (training on FaceForensics++, testing on Celeb-DF) shows our method achieves 84.7% AUC where standard Xception models collapse to 65.4%.</w:t>
      </w:r>
    </w:p>
    <w:p>
      <w:pPr>
        <w:ind w:firstLine="0"/>
        <w:jc w:val="both"/>
      </w:pPr>
      <w:r>
        <w:rPr>
          <w:rFonts w:ascii="Times New Roman" w:hAnsi="Times New Roman"/>
          <w:b/>
          <w:i/>
          <w:sz w:val="20"/>
        </w:rPr>
        <w:t>Index Terms - Artifact invariance, Biometrics, Deepfake forensics, Domain generalization, Spectral analysis.</w:t>
      </w:r>
    </w:p>
    <w:p>
      <w:pPr>
        <w:spacing w:before="240" w:after="120"/>
        <w:ind w:firstLine="0"/>
        <w:jc w:val="center"/>
      </w:pPr>
      <w:r>
        <w:rPr>
          <w:rFonts w:ascii="Times New Roman" w:hAnsi="Times New Roman"/>
          <w:smallCaps/>
          <w:sz w:val="20"/>
        </w:rPr>
        <w:t>I. INTRODUCTION</w:t>
      </w:r>
    </w:p>
    <w:p>
      <w:r>
        <w:rPr>
          <w:rFonts w:ascii="Times New Roman" w:hAnsi="Times New Roman"/>
          <w:b w:val="0"/>
          <w:i w:val="0"/>
          <w:sz w:val="20"/>
        </w:rPr>
        <w:t>We are losing the deepfake detection race. Every time forensic researchers patch a detector to spot "Face2Face" artifacts, the generation community releases a diffusion model that works completely differently. The core problem is that our models overfit.</w:t>
      </w:r>
    </w:p>
    <w:p>
      <w:r>
        <w:rPr>
          <w:rFonts w:ascii="Times New Roman" w:hAnsi="Times New Roman"/>
          <w:b w:val="0"/>
          <w:i w:val="0"/>
          <w:sz w:val="20"/>
        </w:rPr>
        <w:t xml:space="preserve">When you train a CNN on FaceForensics++ (FF++), it learns "how to spot a specific compression artifact" rather than "how to spot a fake." Put that model in front of high-quality video from Celeb-DF, and it guesses randomly. This is the </w:t>
      </w:r>
      <w:r>
        <w:rPr>
          <w:rFonts w:ascii="Times New Roman" w:hAnsi="Times New Roman"/>
          <w:b/>
          <w:i w:val="0"/>
          <w:sz w:val="20"/>
        </w:rPr>
        <w:t>generalization gap</w:t>
      </w:r>
      <w:r>
        <w:rPr>
          <w:rFonts w:ascii="Times New Roman" w:hAnsi="Times New Roman"/>
          <w:b w:val="0"/>
          <w:i w:val="0"/>
          <w:sz w:val="20"/>
        </w:rPr>
        <w:t>.</w:t>
      </w:r>
    </w:p>
    <w:p>
      <w:r>
        <w:rPr>
          <w:rFonts w:ascii="Times New Roman" w:hAnsi="Times New Roman"/>
          <w:b w:val="0"/>
          <w:i w:val="0"/>
          <w:sz w:val="20"/>
        </w:rPr>
        <w:t>Our hypothesis: pixel-perfect visual quality is a distraction. No matter how good a generator gets, the underlying mathematical operation—upsampling from a latent space—leaves a fingerprint in the frequency domain. These are high-frequency noise patterns invisible to humans but detectable by spectrum analysis.</w:t>
      </w:r>
    </w:p>
    <w:p>
      <w:r>
        <w:rPr>
          <w:rFonts w:ascii="Times New Roman" w:hAnsi="Times New Roman"/>
          <w:b w:val="0"/>
          <w:i w:val="0"/>
          <w:sz w:val="20"/>
        </w:rPr>
        <w:t xml:space="preserve">We introduce an </w:t>
      </w:r>
      <w:r>
        <w:rPr>
          <w:rFonts w:ascii="Times New Roman" w:hAnsi="Times New Roman"/>
          <w:b/>
          <w:i w:val="0"/>
          <w:sz w:val="20"/>
        </w:rPr>
        <w:t>Artifact-Invariant Representation Learning</w:t>
      </w:r>
      <w:r>
        <w:rPr>
          <w:rFonts w:ascii="Times New Roman" w:hAnsi="Times New Roman"/>
          <w:b w:val="0"/>
          <w:i w:val="0"/>
          <w:sz w:val="20"/>
        </w:rPr>
        <w:t xml:space="preserve"> framework. By separating content from traces using Discrete Cosine Transforms (DCT), we build a detector that doesn't care if the face was made by a GAN, Diffusion model, or Autoencoder.</w:t>
      </w:r>
    </w:p>
    <w:p>
      <w:pPr>
        <w:spacing w:before="240" w:after="120"/>
        <w:ind w:firstLine="0"/>
        <w:jc w:val="center"/>
      </w:pPr>
      <w:r>
        <w:rPr>
          <w:rFonts w:ascii="Times New Roman" w:hAnsi="Times New Roman"/>
          <w:smallCaps/>
          <w:sz w:val="20"/>
        </w:rPr>
        <w:t>II. RELATED WORK</w:t>
      </w:r>
    </w:p>
    <w:p>
      <w:pPr>
        <w:spacing w:before="180" w:after="60"/>
        <w:ind w:firstLine="0"/>
        <w:jc w:val="left"/>
      </w:pPr>
      <w:r>
        <w:rPr>
          <w:rFonts w:ascii="Times New Roman" w:hAnsi="Times New Roman"/>
          <w:i/>
          <w:sz w:val="20"/>
        </w:rPr>
        <w:t>A. CNN-Based Detection</w:t>
      </w:r>
    </w:p>
    <w:p>
      <w:r>
        <w:rPr>
          <w:rFonts w:ascii="Times New Roman" w:hAnsi="Times New Roman"/>
          <w:b w:val="0"/>
          <w:i w:val="0"/>
          <w:sz w:val="20"/>
        </w:rPr>
        <w:t>Rossler et al. [1] trained Xception on FF++ with near-perfect accuracy, but this success was misleading—the model learned compression artifacts, not forgery patterns. Li et al. [2] showed accuracy dropped 30 points on Celeb-DF.</w:t>
      </w:r>
    </w:p>
    <w:p>
      <w:pPr>
        <w:spacing w:before="180" w:after="60"/>
        <w:ind w:firstLine="0"/>
        <w:jc w:val="left"/>
      </w:pPr>
      <w:r>
        <w:rPr>
          <w:rFonts w:ascii="Times New Roman" w:hAnsi="Times New Roman"/>
          <w:i/>
          <w:sz w:val="20"/>
        </w:rPr>
        <w:t>B. Frequency-Based Methods</w:t>
      </w:r>
    </w:p>
    <w:p>
      <w:r>
        <w:rPr>
          <w:rFonts w:ascii="Times New Roman" w:hAnsi="Times New Roman"/>
          <w:b w:val="0"/>
          <w:i w:val="0"/>
          <w:sz w:val="20"/>
        </w:rPr>
        <w:t>F3-Net [3] used DCT coefficients fed to a CNN. The idea was right, but they mixed frequency with spatial features too early. Qian et al. [3] showed GAN upsampling leaves periodic frequency artifacts. Our work uses stricter separation between content and noise.</w:t>
      </w:r>
    </w:p>
    <w:p>
      <w:pPr>
        <w:spacing w:before="240" w:after="120"/>
        <w:ind w:firstLine="0"/>
        <w:jc w:val="center"/>
      </w:pPr>
      <w:r>
        <w:rPr>
          <w:rFonts w:ascii="Times New Roman" w:hAnsi="Times New Roman"/>
          <w:smallCaps/>
          <w:sz w:val="20"/>
        </w:rPr>
        <w:t>III. METHODOLOGY</w:t>
      </w:r>
    </w:p>
    <w:p>
      <w:r>
        <w:rPr>
          <w:rFonts w:ascii="Times New Roman" w:hAnsi="Times New Roman"/>
          <w:b w:val="0"/>
          <w:i w:val="0"/>
          <w:sz w:val="20"/>
        </w:rPr>
        <w:t>We use a dual-stream architecture: one stream looks at the picture; the other looks at the math. Figure 1 shows the overall design.</w:t>
      </w:r>
    </w:p>
    <w:p>
      <w:pPr>
        <w:spacing w:before="120" w:after="120"/>
        <w:ind w:firstLine="0"/>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2743200" cy="2743200"/>
                    </a:xfrm>
                    <a:prstGeom prst="rect"/>
                  </pic:spPr>
                </pic:pic>
              </a:graphicData>
            </a:graphic>
          </wp:inline>
        </w:drawing>
      </w:r>
    </w:p>
    <w:p>
      <w:pPr>
        <w:spacing w:before="0" w:after="120"/>
        <w:ind w:firstLine="0"/>
        <w:jc w:val="center"/>
      </w:pPr>
      <w:r>
        <w:rPr>
          <w:rFonts w:ascii="Times New Roman" w:hAnsi="Times New Roman"/>
          <w:smallCaps/>
          <w:sz w:val="20"/>
        </w:rPr>
        <w:t>Figure 1. Dual-stream architecture. RGB stream uses EfficientNet-B4. Frequency stream extracts high-frequency DCT coefficients. Both merge at a fusion layer.</w:t>
      </w:r>
    </w:p>
    <w:p>
      <w:pPr>
        <w:spacing w:before="180" w:after="60"/>
        <w:ind w:firstLine="0"/>
        <w:jc w:val="left"/>
      </w:pPr>
      <w:r>
        <w:rPr>
          <w:rFonts w:ascii="Times New Roman" w:hAnsi="Times New Roman"/>
          <w:i/>
          <w:sz w:val="20"/>
        </w:rPr>
        <w:t>A. The Frequency Stream</w:t>
      </w:r>
    </w:p>
    <w:p>
      <w:r>
        <w:rPr>
          <w:rFonts w:ascii="Times New Roman" w:hAnsi="Times New Roman"/>
          <w:b w:val="0"/>
          <w:i w:val="0"/>
          <w:sz w:val="20"/>
        </w:rPr>
        <w:t>GANs use transposed convolutions that leave periodic patterns—like a microscopic grid—on images. You can't see it in RGB, but it appears in the frequency domain.</w:t>
      </w:r>
    </w:p>
    <w:p>
      <w:r>
        <w:rPr>
          <w:rFonts w:ascii="Times New Roman" w:hAnsi="Times New Roman"/>
          <w:b w:val="0"/>
          <w:i w:val="0"/>
          <w:sz w:val="20"/>
        </w:rPr>
        <w:t xml:space="preserve">We use the </w:t>
      </w:r>
      <w:r>
        <w:rPr>
          <w:rFonts w:ascii="Times New Roman" w:hAnsi="Times New Roman"/>
          <w:b/>
          <w:i w:val="0"/>
          <w:sz w:val="20"/>
        </w:rPr>
        <w:t>Discrete Cosine Transform (DCT)</w:t>
      </w:r>
      <w:r>
        <w:rPr>
          <w:rFonts w:ascii="Times New Roman" w:hAnsi="Times New Roman"/>
          <w:b w:val="0"/>
          <w:i w:val="0"/>
          <w:sz w:val="20"/>
        </w:rPr>
        <w:t>. The DCT of an 8x8 block is computed as:</w:t>
      </w:r>
    </w:p>
    <w:p>
      <w:r>
        <w:rPr>
          <w:rFonts w:ascii="Times New Roman" w:hAnsi="Times New Roman"/>
          <w:b w:val="0"/>
          <w:i w:val="0"/>
          <w:sz w:val="20"/>
        </w:rPr>
        <w:t>F(u,v) = (1/4) × C(u) × C(v) × Σ f(x,y) × cos[(2x+1)uπ/16] × cos[(2y+1)vπ/16]     (1)</w:t>
      </w:r>
    </w:p>
    <w:p>
      <w:r>
        <w:rPr>
          <w:rFonts w:ascii="Times New Roman" w:hAnsi="Times New Roman"/>
          <w:b w:val="0"/>
          <w:i w:val="0"/>
          <w:sz w:val="20"/>
        </w:rPr>
        <w:t>where C(u) = 1/√2 when u=0, and C(u) = 1 otherwise. The summation runs over x,y from 0 to 7.</w:t>
      </w:r>
    </w:p>
    <w:p>
      <w:r>
        <w:rPr>
          <w:rFonts w:ascii="Times New Roman" w:hAnsi="Times New Roman"/>
          <w:b/>
          <w:i w:val="0"/>
          <w:sz w:val="20"/>
        </w:rPr>
        <w:t>Processing Steps:</w:t>
      </w:r>
    </w:p>
    <w:p>
      <w:r>
        <w:rPr>
          <w:rFonts w:ascii="Times New Roman" w:hAnsi="Times New Roman"/>
          <w:b w:val="0"/>
          <w:i w:val="0"/>
          <w:sz w:val="20"/>
        </w:rPr>
        <w:t>1.  Convert face crop to grayscale</w:t>
      </w:r>
    </w:p>
    <w:p>
      <w:r>
        <w:rPr>
          <w:rFonts w:ascii="Times New Roman" w:hAnsi="Times New Roman"/>
          <w:b w:val="0"/>
          <w:i w:val="0"/>
          <w:sz w:val="20"/>
        </w:rPr>
        <w:t>2.  Divide into 8×8 pixel blocks</w:t>
      </w:r>
    </w:p>
    <w:p>
      <w:r>
        <w:rPr>
          <w:rFonts w:ascii="Times New Roman" w:hAnsi="Times New Roman"/>
          <w:b w:val="0"/>
          <w:i w:val="0"/>
          <w:sz w:val="20"/>
        </w:rPr>
        <w:t>3.  Apply DCT and zero out low-frequency coefficients (top-left quadrant)</w:t>
      </w:r>
    </w:p>
    <w:p>
      <w:r>
        <w:rPr>
          <w:rFonts w:ascii="Times New Roman" w:hAnsi="Times New Roman"/>
          <w:b w:val="0"/>
          <w:i w:val="0"/>
          <w:sz w:val="20"/>
        </w:rPr>
        <w:t>4.  Reassemble into feature map for lightweight CNN</w:t>
      </w:r>
    </w:p>
    <w:p>
      <w:pPr>
        <w:spacing w:before="0" w:after="120"/>
        <w:ind w:firstLine="0"/>
        <w:jc w:val="center"/>
      </w:pPr>
      <w:r>
        <w:rPr>
          <w:rFonts w:ascii="Times New Roman" w:hAnsi="Times New Roman"/>
          <w:smallCaps/>
          <w:sz w:val="20"/>
        </w:rPr>
        <w:t>Figure 2 illustrates this filtering process.</w:t>
      </w:r>
    </w:p>
    <w:p>
      <w:pPr>
        <w:spacing w:before="120" w:after="120"/>
        <w:ind w:firstLine="0"/>
        <w:jc w:val="center"/>
      </w:pPr>
      <w:r>
        <w:drawing>
          <wp:inline xmlns:a="http://schemas.openxmlformats.org/drawingml/2006/main" xmlns:pic="http://schemas.openxmlformats.org/drawingml/2006/picture">
            <wp:extent cx="2743200" cy="2743200"/>
            <wp:docPr id="2" name="Picture 2"/>
            <wp:cNvGraphicFramePr>
              <a:graphicFrameLocks noChangeAspect="1"/>
            </wp:cNvGraphicFramePr>
            <a:graphic>
              <a:graphicData uri="http://schemas.openxmlformats.org/drawingml/2006/picture">
                <pic:pic>
                  <pic:nvPicPr>
                    <pic:cNvPr id="0" name="fig2_dct.png"/>
                    <pic:cNvPicPr/>
                  </pic:nvPicPr>
                  <pic:blipFill>
                    <a:blip r:embed="rId10"/>
                    <a:stretch>
                      <a:fillRect/>
                    </a:stretch>
                  </pic:blipFill>
                  <pic:spPr>
                    <a:xfrm>
                      <a:off x="0" y="0"/>
                      <a:ext cx="2743200" cy="2743200"/>
                    </a:xfrm>
                    <a:prstGeom prst="rect"/>
                  </pic:spPr>
                </pic:pic>
              </a:graphicData>
            </a:graphic>
          </wp:inline>
        </w:drawing>
      </w:r>
    </w:p>
    <w:p>
      <w:pPr>
        <w:spacing w:before="0" w:after="120"/>
        <w:ind w:firstLine="0"/>
        <w:jc w:val="center"/>
      </w:pPr>
      <w:r>
        <w:rPr>
          <w:rFonts w:ascii="Times New Roman" w:hAnsi="Times New Roman"/>
          <w:smallCaps/>
          <w:sz w:val="20"/>
        </w:rPr>
        <w:t>Figure 2. DCT frequency filtering. Left: spatial domain block. Center: DCT coefficients. Right: high-pass filtered result.</w:t>
      </w:r>
    </w:p>
    <w:p>
      <w:pPr>
        <w:spacing w:before="180" w:after="60"/>
        <w:ind w:firstLine="0"/>
        <w:jc w:val="left"/>
      </w:pPr>
      <w:r>
        <w:rPr>
          <w:rFonts w:ascii="Times New Roman" w:hAnsi="Times New Roman"/>
          <w:i/>
          <w:sz w:val="20"/>
        </w:rPr>
        <w:t>B. The Spatial Stream</w:t>
      </w:r>
    </w:p>
    <w:p>
      <w:r>
        <w:rPr>
          <w:rFonts w:ascii="Times New Roman" w:hAnsi="Times New Roman"/>
          <w:b w:val="0"/>
          <w:i w:val="0"/>
          <w:sz w:val="20"/>
        </w:rPr>
        <w:t xml:space="preserve">We use </w:t>
      </w:r>
      <w:r>
        <w:rPr>
          <w:rFonts w:ascii="Times New Roman" w:hAnsi="Times New Roman"/>
          <w:b/>
          <w:i w:val="0"/>
          <w:sz w:val="20"/>
        </w:rPr>
        <w:t>EfficientNet-B4</w:t>
      </w:r>
      <w:r>
        <w:rPr>
          <w:rFonts w:ascii="Times New Roman" w:hAnsi="Times New Roman"/>
          <w:b w:val="0"/>
          <w:i w:val="0"/>
          <w:sz w:val="20"/>
        </w:rPr>
        <w:t xml:space="preserve"> pretrained on ImageNet as a feature extractor for semantic context—detecting visible artifacts like mouth warping or eye inconsistencies.</w:t>
      </w:r>
    </w:p>
    <w:p>
      <w:pPr>
        <w:spacing w:before="180" w:after="60"/>
        <w:ind w:firstLine="0"/>
        <w:jc w:val="left"/>
      </w:pPr>
      <w:r>
        <w:rPr>
          <w:rFonts w:ascii="Times New Roman" w:hAnsi="Times New Roman"/>
          <w:i/>
          <w:sz w:val="20"/>
        </w:rPr>
        <w:t>C. Contrastive Learning</w:t>
      </w:r>
    </w:p>
    <w:p>
      <w:r>
        <w:rPr>
          <w:rFonts w:ascii="Times New Roman" w:hAnsi="Times New Roman"/>
          <w:b w:val="0"/>
          <w:i w:val="0"/>
          <w:sz w:val="20"/>
        </w:rPr>
        <w:t xml:space="preserve">We concatenate features from both streams and apply a </w:t>
      </w:r>
      <w:r>
        <w:rPr>
          <w:rFonts w:ascii="Times New Roman" w:hAnsi="Times New Roman"/>
          <w:b/>
          <w:i w:val="0"/>
          <w:sz w:val="20"/>
        </w:rPr>
        <w:t>Contrastive Loss</w:t>
      </w:r>
      <w:r>
        <w:rPr>
          <w:rFonts w:ascii="Times New Roman" w:hAnsi="Times New Roman"/>
          <w:b w:val="0"/>
          <w:i w:val="0"/>
          <w:sz w:val="20"/>
        </w:rPr>
        <w:t xml:space="preserve"> to cluster all fakes together regardless of generator:</w:t>
      </w:r>
    </w:p>
    <w:p>
      <w:r>
        <w:rPr>
          <w:rFonts w:ascii="Times New Roman" w:hAnsi="Times New Roman"/>
          <w:b w:val="0"/>
          <w:i w:val="0"/>
          <w:sz w:val="20"/>
        </w:rPr>
        <w:t>L_con = −log[exp(sim(z_i, z_j)/τ) / Σ_k exp(sim(z_i, z_k)/τ)]     (2)</w:t>
      </w:r>
    </w:p>
    <w:p>
      <w:r>
        <w:rPr>
          <w:rFonts w:ascii="Times New Roman" w:hAnsi="Times New Roman"/>
          <w:b w:val="0"/>
          <w:i w:val="0"/>
          <w:sz w:val="20"/>
        </w:rPr>
        <w:t>where sim() is cosine similarity and τ = 0.07. Figure 3 shows this in embedding space.</w:t>
      </w:r>
    </w:p>
    <w:p>
      <w:pPr>
        <w:spacing w:before="120" w:after="120"/>
        <w:ind w:firstLine="0"/>
        <w:jc w:val="center"/>
      </w:pPr>
      <w:r>
        <w:drawing>
          <wp:inline xmlns:a="http://schemas.openxmlformats.org/drawingml/2006/main" xmlns:pic="http://schemas.openxmlformats.org/drawingml/2006/picture">
            <wp:extent cx="2743200" cy="2743200"/>
            <wp:docPr id="3" name="Picture 3"/>
            <wp:cNvGraphicFramePr>
              <a:graphicFrameLocks noChangeAspect="1"/>
            </wp:cNvGraphicFramePr>
            <a:graphic>
              <a:graphicData uri="http://schemas.openxmlformats.org/drawingml/2006/picture">
                <pic:pic>
                  <pic:nvPicPr>
                    <pic:cNvPr id="0" name="fig3_contrastive.png"/>
                    <pic:cNvPicPr/>
                  </pic:nvPicPr>
                  <pic:blipFill>
                    <a:blip r:embed="rId11"/>
                    <a:stretch>
                      <a:fillRect/>
                    </a:stretch>
                  </pic:blipFill>
                  <pic:spPr>
                    <a:xfrm>
                      <a:off x="0" y="0"/>
                      <a:ext cx="2743200" cy="2743200"/>
                    </a:xfrm>
                    <a:prstGeom prst="rect"/>
                  </pic:spPr>
                </pic:pic>
              </a:graphicData>
            </a:graphic>
          </wp:inline>
        </w:drawing>
      </w:r>
    </w:p>
    <w:p>
      <w:pPr>
        <w:spacing w:before="0" w:after="120"/>
        <w:ind w:firstLine="0"/>
        <w:jc w:val="center"/>
      </w:pPr>
      <w:r>
        <w:rPr>
          <w:rFonts w:ascii="Times New Roman" w:hAnsi="Times New Roman"/>
          <w:smallCaps/>
          <w:sz w:val="20"/>
        </w:rPr>
        <w:t>Figure 3. Contrastive learning clusters all fakes together while separating them from real faces.</w:t>
      </w:r>
    </w:p>
    <w:p>
      <w:pPr>
        <w:spacing w:before="240" w:after="120"/>
        <w:ind w:firstLine="0"/>
        <w:jc w:val="center"/>
      </w:pPr>
      <w:r>
        <w:rPr>
          <w:rFonts w:ascii="Times New Roman" w:hAnsi="Times New Roman"/>
          <w:smallCaps/>
          <w:sz w:val="20"/>
        </w:rPr>
        <w:t>IV. EXPERIMENTS</w:t>
      </w:r>
    </w:p>
    <w:p>
      <w:pPr>
        <w:spacing w:before="180" w:after="60"/>
        <w:ind w:firstLine="0"/>
        <w:jc w:val="left"/>
      </w:pPr>
      <w:r>
        <w:rPr>
          <w:rFonts w:ascii="Times New Roman" w:hAnsi="Times New Roman"/>
          <w:i/>
          <w:sz w:val="20"/>
        </w:rPr>
        <w:t>A. Setup</w:t>
      </w:r>
    </w:p>
    <w:p>
      <w:pPr>
        <w:ind w:firstLine="0" w:left="720"/>
      </w:pPr>
      <w:r>
        <w:rPr>
          <w:rFonts w:ascii="Times New Roman" w:hAnsi="Times New Roman"/>
          <w:sz w:val="20"/>
        </w:rPr>
        <w:t xml:space="preserve">• </w:t>
      </w:r>
      <w:r>
        <w:rPr>
          <w:rFonts w:ascii="Times New Roman" w:hAnsi="Times New Roman"/>
          <w:b w:val="0"/>
          <w:i w:val="0"/>
          <w:sz w:val="20"/>
        </w:rPr>
        <w:t xml:space="preserve">  </w:t>
      </w:r>
      <w:r>
        <w:rPr>
          <w:rFonts w:ascii="Times New Roman" w:hAnsi="Times New Roman"/>
          <w:b/>
          <w:i w:val="0"/>
          <w:sz w:val="20"/>
        </w:rPr>
        <w:t>Training:</w:t>
      </w:r>
      <w:r>
        <w:rPr>
          <w:rFonts w:ascii="Times New Roman" w:hAnsi="Times New Roman"/>
          <w:b w:val="0"/>
          <w:i w:val="0"/>
          <w:sz w:val="20"/>
        </w:rPr>
        <w:t xml:space="preserve"> FaceForensics++ (FF++) with four manipulation types</w:t>
      </w:r>
    </w:p>
    <w:p>
      <w:pPr>
        <w:ind w:firstLine="0" w:left="720"/>
      </w:pPr>
      <w:r>
        <w:rPr>
          <w:rFonts w:ascii="Times New Roman" w:hAnsi="Times New Roman"/>
          <w:sz w:val="20"/>
        </w:rPr>
        <w:t xml:space="preserve">• </w:t>
      </w:r>
      <w:r>
        <w:rPr>
          <w:rFonts w:ascii="Times New Roman" w:hAnsi="Times New Roman"/>
          <w:b w:val="0"/>
          <w:i w:val="0"/>
          <w:sz w:val="20"/>
        </w:rPr>
        <w:t xml:space="preserve">  </w:t>
      </w:r>
      <w:r>
        <w:rPr>
          <w:rFonts w:ascii="Times New Roman" w:hAnsi="Times New Roman"/>
          <w:b/>
          <w:i w:val="0"/>
          <w:sz w:val="20"/>
        </w:rPr>
        <w:t>Testing:</w:t>
      </w:r>
      <w:r>
        <w:rPr>
          <w:rFonts w:ascii="Times New Roman" w:hAnsi="Times New Roman"/>
          <w:b w:val="0"/>
          <w:i w:val="0"/>
          <w:sz w:val="20"/>
        </w:rPr>
        <w:t xml:space="preserve"> Celeb-DF (v2)—higher quality, fewer artifacts</w:t>
      </w:r>
    </w:p>
    <w:p>
      <w:pPr>
        <w:ind w:firstLine="0" w:left="720"/>
      </w:pPr>
      <w:r>
        <w:rPr>
          <w:rFonts w:ascii="Times New Roman" w:hAnsi="Times New Roman"/>
          <w:sz w:val="20"/>
        </w:rPr>
        <w:t xml:space="preserve">• </w:t>
      </w:r>
      <w:r>
        <w:rPr>
          <w:rFonts w:ascii="Times New Roman" w:hAnsi="Times New Roman"/>
          <w:b w:val="0"/>
          <w:i w:val="0"/>
          <w:sz w:val="20"/>
        </w:rPr>
        <w:t xml:space="preserve">  </w:t>
      </w:r>
      <w:r>
        <w:rPr>
          <w:rFonts w:ascii="Times New Roman" w:hAnsi="Times New Roman"/>
          <w:b/>
          <w:i w:val="0"/>
          <w:sz w:val="20"/>
        </w:rPr>
        <w:t>Implementation:</w:t>
      </w:r>
      <w:r>
        <w:rPr>
          <w:rFonts w:ascii="Times New Roman" w:hAnsi="Times New Roman"/>
          <w:b w:val="0"/>
          <w:i w:val="0"/>
          <w:sz w:val="20"/>
        </w:rPr>
        <w:t xml:space="preserve"> PyTorch, Adam optimizer, LR=0.0001, batch size=32, 50 epochs on NVIDIA A100</w:t>
      </w:r>
    </w:p>
    <w:p>
      <w:pPr>
        <w:spacing w:before="180" w:after="60"/>
        <w:ind w:firstLine="0"/>
        <w:jc w:val="left"/>
      </w:pPr>
      <w:r>
        <w:rPr>
          <w:rFonts w:ascii="Times New Roman" w:hAnsi="Times New Roman"/>
          <w:i/>
          <w:sz w:val="20"/>
        </w:rPr>
        <w:t>B. Results</w:t>
      </w:r>
    </w:p>
    <w:p>
      <w:pPr>
        <w:spacing w:before="120" w:after="120"/>
        <w:ind w:firstLine="0"/>
        <w:jc w:val="left"/>
      </w:pPr>
      <w:r>
        <w:rPr>
          <w:rFonts w:ascii="Times New Roman" w:hAnsi="Times New Roman"/>
          <w:smallCaps/>
          <w:sz w:val="20"/>
        </w:rPr>
        <w:t>TABLE I SHOWS CROSS-DATASET EVALUATION RESULTS. XCEPTION DROPS FROM 99.2% TO 65.4%—IT MEMORIZED THE TRAINING DATA. OUR MODEL MAINTAINS 84.7% ON UNSEEN DATA, A 19.3 PERCENTAGE POINT IMPROVEMENT.</w:t>
      </w:r>
    </w:p>
    <w:p>
      <w:pPr>
        <w:spacing w:before="120" w:after="120"/>
        <w:ind w:firstLine="0"/>
        <w:jc w:val="left"/>
      </w:pPr>
      <w:r>
        <w:rPr>
          <w:rFonts w:ascii="Times New Roman" w:hAnsi="Times New Roman"/>
          <w:smallCaps/>
          <w:sz w:val="20"/>
        </w:rPr>
        <w:t>TABLE I. CROSS-DATASET GENERALIZATION RESULTS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tcPr>
          <w:p>
            <w:pPr>
              <w:spacing w:before="0" w:after="0" w:line="240" w:lineRule="auto"/>
              <w:ind w:firstLine="0"/>
              <w:jc w:val="center"/>
            </w:pPr>
            <w:r>
              <w:rPr>
                <w:rFonts w:ascii="Times New Roman" w:hAnsi="Times New Roman"/>
                <w:b/>
                <w:sz w:val="20"/>
              </w:rPr>
              <w:t>Method</w:t>
            </w:r>
          </w:p>
        </w:tc>
        <w:tc>
          <w:tcPr>
            <w:tcW w:type="dxa" w:w="2570"/>
          </w:tcPr>
          <w:p>
            <w:pPr>
              <w:spacing w:before="0" w:after="0" w:line="240" w:lineRule="auto"/>
              <w:ind w:firstLine="0"/>
              <w:jc w:val="center"/>
            </w:pPr>
            <w:r>
              <w:rPr>
                <w:rFonts w:ascii="Times New Roman" w:hAnsi="Times New Roman"/>
                <w:b/>
                <w:sz w:val="20"/>
              </w:rPr>
              <w:t>FF++ (Train)</w:t>
            </w:r>
          </w:p>
        </w:tc>
        <w:tc>
          <w:tcPr>
            <w:tcW w:type="dxa" w:w="2570"/>
          </w:tcPr>
          <w:p>
            <w:pPr>
              <w:spacing w:before="0" w:after="0" w:line="240" w:lineRule="auto"/>
              <w:ind w:firstLine="0"/>
              <w:jc w:val="center"/>
            </w:pPr>
            <w:r>
              <w:rPr>
                <w:rFonts w:ascii="Times New Roman" w:hAnsi="Times New Roman"/>
                <w:b/>
                <w:sz w:val="20"/>
              </w:rPr>
              <w:t>Celeb-DF (Test)</w:t>
            </w:r>
          </w:p>
        </w:tc>
        <w:tc>
          <w:tcPr>
            <w:tcW w:type="dxa" w:w="2570"/>
          </w:tcPr>
          <w:p>
            <w:pPr>
              <w:spacing w:before="0" w:after="0" w:line="240" w:lineRule="auto"/>
              <w:ind w:firstLine="0"/>
              <w:jc w:val="center"/>
            </w:pPr>
            <w:r>
              <w:rPr>
                <w:rFonts w:ascii="Times New Roman" w:hAnsi="Times New Roman"/>
                <w:b/>
                <w:sz w:val="20"/>
              </w:rPr>
              <w:t>Drop</w:t>
            </w:r>
          </w:p>
        </w:tc>
      </w:tr>
      <w:tr>
        <w:tc>
          <w:tcPr>
            <w:tcW w:type="dxa" w:w="2570"/>
          </w:tcPr>
          <w:p>
            <w:pPr>
              <w:spacing w:before="0" w:after="0" w:line="240" w:lineRule="auto"/>
              <w:ind w:firstLine="0"/>
              <w:jc w:val="center"/>
            </w:pPr>
            <w:r>
              <w:rPr>
                <w:rFonts w:ascii="Times New Roman" w:hAnsi="Times New Roman"/>
                <w:sz w:val="20"/>
              </w:rPr>
              <w:t>Xception [4]</w:t>
            </w:r>
          </w:p>
        </w:tc>
        <w:tc>
          <w:tcPr>
            <w:tcW w:type="dxa" w:w="2570"/>
          </w:tcPr>
          <w:p>
            <w:pPr>
              <w:spacing w:before="0" w:after="0" w:line="240" w:lineRule="auto"/>
              <w:ind w:firstLine="0"/>
              <w:jc w:val="center"/>
            </w:pPr>
            <w:r>
              <w:rPr>
                <w:rFonts w:ascii="Times New Roman" w:hAnsi="Times New Roman"/>
                <w:sz w:val="20"/>
              </w:rPr>
              <w:t>99.2%</w:t>
            </w:r>
          </w:p>
        </w:tc>
        <w:tc>
          <w:tcPr>
            <w:tcW w:type="dxa" w:w="2570"/>
          </w:tcPr>
          <w:p>
            <w:pPr>
              <w:spacing w:before="0" w:after="0" w:line="240" w:lineRule="auto"/>
              <w:ind w:firstLine="0"/>
              <w:jc w:val="center"/>
            </w:pPr>
            <w:r>
              <w:rPr>
                <w:rFonts w:ascii="Times New Roman" w:hAnsi="Times New Roman"/>
                <w:sz w:val="20"/>
              </w:rPr>
              <w:t>65.4%</w:t>
            </w:r>
          </w:p>
        </w:tc>
        <w:tc>
          <w:tcPr>
            <w:tcW w:type="dxa" w:w="2570"/>
          </w:tcPr>
          <w:p>
            <w:pPr>
              <w:spacing w:before="0" w:after="0" w:line="240" w:lineRule="auto"/>
              <w:ind w:firstLine="0"/>
              <w:jc w:val="center"/>
            </w:pPr>
            <w:r>
              <w:rPr>
                <w:rFonts w:ascii="Times New Roman" w:hAnsi="Times New Roman"/>
                <w:sz w:val="20"/>
              </w:rPr>
              <w:t>-33.8%</w:t>
            </w:r>
          </w:p>
        </w:tc>
      </w:tr>
      <w:tr>
        <w:tc>
          <w:tcPr>
            <w:tcW w:type="dxa" w:w="2570"/>
          </w:tcPr>
          <w:p>
            <w:pPr>
              <w:spacing w:before="0" w:after="0" w:line="240" w:lineRule="auto"/>
              <w:ind w:firstLine="0"/>
              <w:jc w:val="center"/>
            </w:pPr>
            <w:r>
              <w:rPr>
                <w:rFonts w:ascii="Times New Roman" w:hAnsi="Times New Roman"/>
                <w:sz w:val="20"/>
              </w:rPr>
              <w:t>MesoNet [6]</w:t>
            </w:r>
          </w:p>
        </w:tc>
        <w:tc>
          <w:tcPr>
            <w:tcW w:type="dxa" w:w="2570"/>
          </w:tcPr>
          <w:p>
            <w:pPr>
              <w:spacing w:before="0" w:after="0" w:line="240" w:lineRule="auto"/>
              <w:ind w:firstLine="0"/>
              <w:jc w:val="center"/>
            </w:pPr>
            <w:r>
              <w:rPr>
                <w:rFonts w:ascii="Times New Roman" w:hAnsi="Times New Roman"/>
                <w:sz w:val="20"/>
              </w:rPr>
              <w:t>89.1%</w:t>
            </w:r>
          </w:p>
        </w:tc>
        <w:tc>
          <w:tcPr>
            <w:tcW w:type="dxa" w:w="2570"/>
          </w:tcPr>
          <w:p>
            <w:pPr>
              <w:spacing w:before="0" w:after="0" w:line="240" w:lineRule="auto"/>
              <w:ind w:firstLine="0"/>
              <w:jc w:val="center"/>
            </w:pPr>
            <w:r>
              <w:rPr>
                <w:rFonts w:ascii="Times New Roman" w:hAnsi="Times New Roman"/>
                <w:sz w:val="20"/>
              </w:rPr>
              <w:t>58.2%</w:t>
            </w:r>
          </w:p>
        </w:tc>
        <w:tc>
          <w:tcPr>
            <w:tcW w:type="dxa" w:w="2570"/>
          </w:tcPr>
          <w:p>
            <w:pPr>
              <w:spacing w:before="0" w:after="0" w:line="240" w:lineRule="auto"/>
              <w:ind w:firstLine="0"/>
              <w:jc w:val="center"/>
            </w:pPr>
            <w:r>
              <w:rPr>
                <w:rFonts w:ascii="Times New Roman" w:hAnsi="Times New Roman"/>
                <w:sz w:val="20"/>
              </w:rPr>
              <w:t>-30.9%</w:t>
            </w:r>
          </w:p>
        </w:tc>
      </w:tr>
      <w:tr>
        <w:tc>
          <w:tcPr>
            <w:tcW w:type="dxa" w:w="2570"/>
          </w:tcPr>
          <w:p>
            <w:pPr>
              <w:spacing w:before="0" w:after="0" w:line="240" w:lineRule="auto"/>
              <w:ind w:firstLine="0"/>
              <w:jc w:val="center"/>
            </w:pPr>
            <w:r>
              <w:rPr>
                <w:rFonts w:ascii="Times New Roman" w:hAnsi="Times New Roman"/>
                <w:sz w:val="20"/>
              </w:rPr>
              <w:t>F3-Net [3]</w:t>
            </w:r>
          </w:p>
        </w:tc>
        <w:tc>
          <w:tcPr>
            <w:tcW w:type="dxa" w:w="2570"/>
          </w:tcPr>
          <w:p>
            <w:pPr>
              <w:spacing w:before="0" w:after="0" w:line="240" w:lineRule="auto"/>
              <w:ind w:firstLine="0"/>
              <w:jc w:val="center"/>
            </w:pPr>
            <w:r>
              <w:rPr>
                <w:rFonts w:ascii="Times New Roman" w:hAnsi="Times New Roman"/>
                <w:sz w:val="20"/>
              </w:rPr>
              <w:t>98.5%</w:t>
            </w:r>
          </w:p>
        </w:tc>
        <w:tc>
          <w:tcPr>
            <w:tcW w:type="dxa" w:w="2570"/>
          </w:tcPr>
          <w:p>
            <w:pPr>
              <w:spacing w:before="0" w:after="0" w:line="240" w:lineRule="auto"/>
              <w:ind w:firstLine="0"/>
              <w:jc w:val="center"/>
            </w:pPr>
            <w:r>
              <w:rPr>
                <w:rFonts w:ascii="Times New Roman" w:hAnsi="Times New Roman"/>
                <w:sz w:val="20"/>
              </w:rPr>
              <w:t>71.3%</w:t>
            </w:r>
          </w:p>
        </w:tc>
        <w:tc>
          <w:tcPr>
            <w:tcW w:type="dxa" w:w="2570"/>
          </w:tcPr>
          <w:p>
            <w:pPr>
              <w:spacing w:before="0" w:after="0" w:line="240" w:lineRule="auto"/>
              <w:ind w:firstLine="0"/>
              <w:jc w:val="center"/>
            </w:pPr>
            <w:r>
              <w:rPr>
                <w:rFonts w:ascii="Times New Roman" w:hAnsi="Times New Roman"/>
                <w:sz w:val="20"/>
              </w:rPr>
              <w:t>-27.2%</w:t>
            </w:r>
          </w:p>
        </w:tc>
      </w:tr>
      <w:tr>
        <w:tc>
          <w:tcPr>
            <w:tcW w:type="dxa" w:w="2570"/>
          </w:tcPr>
          <w:p>
            <w:pPr>
              <w:spacing w:before="0" w:after="0" w:line="240" w:lineRule="auto"/>
              <w:ind w:firstLine="0"/>
              <w:jc w:val="center"/>
            </w:pPr>
            <w:r>
              <w:rPr>
                <w:rFonts w:ascii="Times New Roman" w:hAnsi="Times New Roman"/>
                <w:sz w:val="20"/>
              </w:rPr>
              <w:t>RGB Only (Ours)</w:t>
            </w:r>
          </w:p>
        </w:tc>
        <w:tc>
          <w:tcPr>
            <w:tcW w:type="dxa" w:w="2570"/>
          </w:tcPr>
          <w:p>
            <w:pPr>
              <w:spacing w:before="0" w:after="0" w:line="240" w:lineRule="auto"/>
              <w:ind w:firstLine="0"/>
              <w:jc w:val="center"/>
            </w:pPr>
            <w:r>
              <w:rPr>
                <w:rFonts w:ascii="Times New Roman" w:hAnsi="Times New Roman"/>
                <w:sz w:val="20"/>
              </w:rPr>
              <w:t>98.8%</w:t>
            </w:r>
          </w:p>
        </w:tc>
        <w:tc>
          <w:tcPr>
            <w:tcW w:type="dxa" w:w="2570"/>
          </w:tcPr>
          <w:p>
            <w:pPr>
              <w:spacing w:before="0" w:after="0" w:line="240" w:lineRule="auto"/>
              <w:ind w:firstLine="0"/>
              <w:jc w:val="center"/>
            </w:pPr>
            <w:r>
              <w:rPr>
                <w:rFonts w:ascii="Times New Roman" w:hAnsi="Times New Roman"/>
                <w:sz w:val="20"/>
              </w:rPr>
              <w:t>67.2%</w:t>
            </w:r>
          </w:p>
        </w:tc>
        <w:tc>
          <w:tcPr>
            <w:tcW w:type="dxa" w:w="2570"/>
          </w:tcPr>
          <w:p>
            <w:pPr>
              <w:spacing w:before="0" w:after="0" w:line="240" w:lineRule="auto"/>
              <w:ind w:firstLine="0"/>
              <w:jc w:val="center"/>
            </w:pPr>
            <w:r>
              <w:rPr>
                <w:rFonts w:ascii="Times New Roman" w:hAnsi="Times New Roman"/>
                <w:sz w:val="20"/>
              </w:rPr>
              <w:t>-31.6%</w:t>
            </w:r>
          </w:p>
        </w:tc>
      </w:tr>
      <w:tr>
        <w:tc>
          <w:tcPr>
            <w:tcW w:type="dxa" w:w="2570"/>
          </w:tcPr>
          <w:p>
            <w:pPr>
              <w:spacing w:before="0" w:after="0" w:line="240" w:lineRule="auto"/>
              <w:ind w:firstLine="0"/>
              <w:jc w:val="center"/>
            </w:pPr>
            <w:r>
              <w:rPr>
                <w:rFonts w:ascii="Times New Roman" w:hAnsi="Times New Roman"/>
                <w:sz w:val="20"/>
              </w:rPr>
              <w:t>Freq Only (Ours)</w:t>
            </w:r>
          </w:p>
        </w:tc>
        <w:tc>
          <w:tcPr>
            <w:tcW w:type="dxa" w:w="2570"/>
          </w:tcPr>
          <w:p>
            <w:pPr>
              <w:spacing w:before="0" w:after="0" w:line="240" w:lineRule="auto"/>
              <w:ind w:firstLine="0"/>
              <w:jc w:val="center"/>
            </w:pPr>
            <w:r>
              <w:rPr>
                <w:rFonts w:ascii="Times New Roman" w:hAnsi="Times New Roman"/>
                <w:sz w:val="20"/>
              </w:rPr>
              <w:t>94.3%</w:t>
            </w:r>
          </w:p>
        </w:tc>
        <w:tc>
          <w:tcPr>
            <w:tcW w:type="dxa" w:w="2570"/>
          </w:tcPr>
          <w:p>
            <w:pPr>
              <w:spacing w:before="0" w:after="0" w:line="240" w:lineRule="auto"/>
              <w:ind w:firstLine="0"/>
              <w:jc w:val="center"/>
            </w:pPr>
            <w:r>
              <w:rPr>
                <w:rFonts w:ascii="Times New Roman" w:hAnsi="Times New Roman"/>
                <w:sz w:val="20"/>
              </w:rPr>
              <w:t>72.8%</w:t>
            </w:r>
          </w:p>
        </w:tc>
        <w:tc>
          <w:tcPr>
            <w:tcW w:type="dxa" w:w="2570"/>
          </w:tcPr>
          <w:p>
            <w:pPr>
              <w:spacing w:before="0" w:after="0" w:line="240" w:lineRule="auto"/>
              <w:ind w:firstLine="0"/>
              <w:jc w:val="center"/>
            </w:pPr>
            <w:r>
              <w:rPr>
                <w:rFonts w:ascii="Times New Roman" w:hAnsi="Times New Roman"/>
                <w:sz w:val="20"/>
              </w:rPr>
              <w:t>-21.5%</w:t>
            </w:r>
          </w:p>
        </w:tc>
      </w:tr>
      <w:tr>
        <w:tc>
          <w:tcPr>
            <w:tcW w:type="dxa" w:w="2570"/>
          </w:tcPr>
          <w:p>
            <w:pPr>
              <w:spacing w:before="0" w:after="0" w:line="240" w:lineRule="auto"/>
              <w:ind w:firstLine="0"/>
              <w:jc w:val="center"/>
            </w:pPr>
            <w:r>
              <w:rPr>
                <w:rFonts w:ascii="Times New Roman" w:hAnsi="Times New Roman"/>
                <w:sz w:val="20"/>
              </w:rPr>
              <w:t>Full Model (Ours)</w:t>
            </w:r>
          </w:p>
        </w:tc>
        <w:tc>
          <w:tcPr>
            <w:tcW w:type="dxa" w:w="2570"/>
          </w:tcPr>
          <w:p>
            <w:pPr>
              <w:spacing w:before="0" w:after="0" w:line="240" w:lineRule="auto"/>
              <w:ind w:firstLine="0"/>
              <w:jc w:val="center"/>
            </w:pPr>
            <w:r>
              <w:rPr>
                <w:rFonts w:ascii="Times New Roman" w:hAnsi="Times New Roman"/>
                <w:sz w:val="20"/>
              </w:rPr>
              <w:t>99.1%</w:t>
            </w:r>
          </w:p>
        </w:tc>
        <w:tc>
          <w:tcPr>
            <w:tcW w:type="dxa" w:w="2570"/>
          </w:tcPr>
          <w:p>
            <w:pPr>
              <w:spacing w:before="0" w:after="0" w:line="240" w:lineRule="auto"/>
              <w:ind w:firstLine="0"/>
              <w:jc w:val="center"/>
            </w:pPr>
            <w:r>
              <w:rPr>
                <w:rFonts w:ascii="Times New Roman" w:hAnsi="Times New Roman"/>
                <w:sz w:val="20"/>
              </w:rPr>
              <w:t>84.7%</w:t>
            </w:r>
          </w:p>
        </w:tc>
        <w:tc>
          <w:tcPr>
            <w:tcW w:type="dxa" w:w="2570"/>
          </w:tcPr>
          <w:p>
            <w:pPr>
              <w:spacing w:before="0" w:after="0" w:line="240" w:lineRule="auto"/>
              <w:ind w:firstLine="0"/>
              <w:jc w:val="center"/>
            </w:pPr>
            <w:r>
              <w:rPr>
                <w:rFonts w:ascii="Times New Roman" w:hAnsi="Times New Roman"/>
                <w:sz w:val="20"/>
              </w:rPr>
              <w:t>-14.4%</w:t>
            </w:r>
          </w:p>
        </w:tc>
      </w:tr>
    </w:tbl>
    <w:p/>
    <w:p>
      <w:r>
        <w:rPr>
          <w:rFonts w:ascii="Times New Roman" w:hAnsi="Times New Roman"/>
          <w:b w:val="0"/>
          <w:i w:val="0"/>
          <w:sz w:val="20"/>
        </w:rPr>
        <w:t>The frequency stream alone beats Xception by 7.4 points on cross-domain testing. Adding RGB features and contrastive learning pushes this to 19.3 points. Under image degradation (blur + JPEG compression), Xception drops 20.1% while ours drops only 5.9%.</w:t>
      </w:r>
    </w:p>
    <w:p>
      <w:pPr>
        <w:spacing w:before="240" w:after="120"/>
        <w:ind w:firstLine="0"/>
        <w:jc w:val="center"/>
      </w:pPr>
      <w:r>
        <w:rPr>
          <w:rFonts w:ascii="Times New Roman" w:hAnsi="Times New Roman"/>
          <w:smallCaps/>
          <w:sz w:val="20"/>
        </w:rPr>
        <w:t>V. DISCUSSION</w:t>
      </w:r>
    </w:p>
    <w:p>
      <w:r>
        <w:rPr>
          <w:rFonts w:ascii="Times New Roman" w:hAnsi="Times New Roman"/>
          <w:b/>
          <w:i w:val="0"/>
          <w:sz w:val="20"/>
        </w:rPr>
        <w:t>Limitations:</w:t>
      </w:r>
      <w:r>
        <w:rPr>
          <w:rFonts w:ascii="Times New Roman" w:hAnsi="Times New Roman"/>
          <w:b w:val="0"/>
          <w:i w:val="0"/>
          <w:sz w:val="20"/>
        </w:rPr>
        <w:t xml:space="preserve"> Diffusion models are improving at hiding frequency artifacts. Our AUC drops to 74.2% on diffusion-generated faces (still better than Xception's 58.1%). We also process frames independently without temporal modeling.</w:t>
      </w:r>
    </w:p>
    <w:p>
      <w:r>
        <w:rPr>
          <w:rFonts w:ascii="Times New Roman" w:hAnsi="Times New Roman"/>
          <w:b/>
          <w:i w:val="0"/>
          <w:sz w:val="20"/>
        </w:rPr>
        <w:t>Future Work:</w:t>
      </w:r>
      <w:r>
        <w:rPr>
          <w:rFonts w:ascii="Times New Roman" w:hAnsi="Times New Roman"/>
          <w:b w:val="0"/>
          <w:i w:val="0"/>
          <w:sz w:val="20"/>
        </w:rPr>
        <w:t xml:space="preserve"> Adapting to diffusion models, adding temporal modeling with 3D convolutions, and self-supervised pretraining on unlabeled video.</w:t>
      </w:r>
    </w:p>
    <w:p>
      <w:pPr>
        <w:spacing w:before="240" w:after="120"/>
        <w:ind w:firstLine="0"/>
        <w:jc w:val="center"/>
      </w:pPr>
      <w:r>
        <w:rPr>
          <w:rFonts w:ascii="Times New Roman" w:hAnsi="Times New Roman"/>
          <w:smallCaps/>
          <w:sz w:val="20"/>
        </w:rPr>
        <w:t>VI. CONCLUSION</w:t>
      </w:r>
    </w:p>
    <w:p>
      <w:r>
        <w:rPr>
          <w:rFonts w:ascii="Times New Roman" w:hAnsi="Times New Roman"/>
          <w:b w:val="0"/>
          <w:i w:val="0"/>
          <w:sz w:val="20"/>
        </w:rPr>
        <w:t>We showed that by ignoring the "face" and focusing on the "process" via frequency analysis, we can build detectors that generalize across generators. Forcing the model to look at invisible mathematical residues is currently the most effective way to close the generalization gap.</w:t>
      </w:r>
    </w:p>
    <w:p>
      <w:pPr>
        <w:spacing w:before="240" w:after="120"/>
        <w:ind w:firstLine="0"/>
        <w:jc w:val="center"/>
      </w:pPr>
      <w:r>
        <w:rPr>
          <w:rFonts w:ascii="Times New Roman" w:hAnsi="Times New Roman"/>
          <w:smallCaps/>
          <w:sz w:val="20"/>
        </w:rPr>
        <w:t>REFERENCES</w:t>
      </w:r>
    </w:p>
    <w:p>
      <w:pPr>
        <w:spacing w:after="60"/>
        <w:ind w:firstLine="0" w:left="360"/>
      </w:pPr>
      <w:r>
        <w:rPr>
          <w:rFonts w:ascii="Times New Roman" w:hAnsi="Times New Roman"/>
          <w:b w:val="0"/>
          <w:i w:val="0"/>
          <w:sz w:val="18"/>
        </w:rPr>
        <w:t xml:space="preserve">[1] A. Rossler et al., "FaceForensics++: Learning to detect manipulated facial images," in </w:t>
      </w:r>
      <w:r>
        <w:rPr>
          <w:rFonts w:ascii="Times New Roman" w:hAnsi="Times New Roman"/>
          <w:b w:val="0"/>
          <w:i/>
          <w:sz w:val="18"/>
        </w:rPr>
        <w:t>Proc. ICCV</w:t>
      </w:r>
      <w:r>
        <w:rPr>
          <w:rFonts w:ascii="Times New Roman" w:hAnsi="Times New Roman"/>
          <w:b w:val="0"/>
          <w:i w:val="0"/>
          <w:sz w:val="18"/>
        </w:rPr>
        <w:t>, 2019.</w:t>
      </w:r>
    </w:p>
    <w:p>
      <w:pPr>
        <w:spacing w:after="60"/>
        <w:ind w:firstLine="0" w:left="360"/>
      </w:pPr>
      <w:r>
        <w:rPr>
          <w:rFonts w:ascii="Times New Roman" w:hAnsi="Times New Roman"/>
          <w:b w:val="0"/>
          <w:i w:val="0"/>
          <w:sz w:val="18"/>
        </w:rPr>
        <w:t xml:space="preserve">[2] Y. Li et al., "Celeb-DF: A large-scale challenging dataset for deepfake forensics," in </w:t>
      </w:r>
      <w:r>
        <w:rPr>
          <w:rFonts w:ascii="Times New Roman" w:hAnsi="Times New Roman"/>
          <w:b w:val="0"/>
          <w:i/>
          <w:sz w:val="18"/>
        </w:rPr>
        <w:t>Proc. CVPR</w:t>
      </w:r>
      <w:r>
        <w:rPr>
          <w:rFonts w:ascii="Times New Roman" w:hAnsi="Times New Roman"/>
          <w:b w:val="0"/>
          <w:i w:val="0"/>
          <w:sz w:val="18"/>
        </w:rPr>
        <w:t>, 2020.</w:t>
      </w:r>
    </w:p>
    <w:p>
      <w:pPr>
        <w:spacing w:after="60"/>
        <w:ind w:firstLine="0" w:left="360"/>
      </w:pPr>
      <w:r>
        <w:rPr>
          <w:rFonts w:ascii="Times New Roman" w:hAnsi="Times New Roman"/>
          <w:b w:val="0"/>
          <w:i w:val="0"/>
          <w:sz w:val="18"/>
        </w:rPr>
        <w:t xml:space="preserve">[3] J. Qian et al., "Thinking in frequency: Face forgery detection by mining frequency-aware clues," in </w:t>
      </w:r>
      <w:r>
        <w:rPr>
          <w:rFonts w:ascii="Times New Roman" w:hAnsi="Times New Roman"/>
          <w:b w:val="0"/>
          <w:i/>
          <w:sz w:val="18"/>
        </w:rPr>
        <w:t>Proc. CVPR</w:t>
      </w:r>
      <w:r>
        <w:rPr>
          <w:rFonts w:ascii="Times New Roman" w:hAnsi="Times New Roman"/>
          <w:b w:val="0"/>
          <w:i w:val="0"/>
          <w:sz w:val="18"/>
        </w:rPr>
        <w:t>, 2020.</w:t>
      </w:r>
    </w:p>
    <w:p>
      <w:pPr>
        <w:spacing w:after="60"/>
        <w:ind w:firstLine="0" w:left="360"/>
      </w:pPr>
      <w:r>
        <w:rPr>
          <w:rFonts w:ascii="Times New Roman" w:hAnsi="Times New Roman"/>
          <w:b w:val="0"/>
          <w:i w:val="0"/>
          <w:sz w:val="18"/>
        </w:rPr>
        <w:t xml:space="preserve">[4] F. Chollet, "Xception: Deep learning with depthwise separable convolutions," in </w:t>
      </w:r>
      <w:r>
        <w:rPr>
          <w:rFonts w:ascii="Times New Roman" w:hAnsi="Times New Roman"/>
          <w:b w:val="0"/>
          <w:i/>
          <w:sz w:val="18"/>
        </w:rPr>
        <w:t>Proc. CVPR</w:t>
      </w:r>
      <w:r>
        <w:rPr>
          <w:rFonts w:ascii="Times New Roman" w:hAnsi="Times New Roman"/>
          <w:b w:val="0"/>
          <w:i w:val="0"/>
          <w:sz w:val="18"/>
        </w:rPr>
        <w:t>, 2017.</w:t>
      </w:r>
    </w:p>
    <w:p>
      <w:pPr>
        <w:spacing w:after="60"/>
        <w:ind w:firstLine="0" w:left="360"/>
      </w:pPr>
      <w:r>
        <w:rPr>
          <w:rFonts w:ascii="Times New Roman" w:hAnsi="Times New Roman"/>
          <w:b w:val="0"/>
          <w:i w:val="0"/>
          <w:sz w:val="18"/>
        </w:rPr>
        <w:t xml:space="preserve">[5] Y. Luo et al., "Generalizing face forgery detection with high-frequency features," in </w:t>
      </w:r>
      <w:r>
        <w:rPr>
          <w:rFonts w:ascii="Times New Roman" w:hAnsi="Times New Roman"/>
          <w:b w:val="0"/>
          <w:i/>
          <w:sz w:val="18"/>
        </w:rPr>
        <w:t>Proc. CVPR</w:t>
      </w:r>
      <w:r>
        <w:rPr>
          <w:rFonts w:ascii="Times New Roman" w:hAnsi="Times New Roman"/>
          <w:b w:val="0"/>
          <w:i w:val="0"/>
          <w:sz w:val="18"/>
        </w:rPr>
        <w:t>, 2021.</w:t>
      </w:r>
    </w:p>
    <w:p>
      <w:pPr>
        <w:spacing w:after="60"/>
        <w:ind w:firstLine="0" w:left="360"/>
      </w:pPr>
      <w:r>
        <w:rPr>
          <w:rFonts w:ascii="Times New Roman" w:hAnsi="Times New Roman"/>
          <w:b w:val="0"/>
          <w:i w:val="0"/>
          <w:sz w:val="18"/>
        </w:rPr>
        <w:t xml:space="preserve">[6] D. Afchar et al., "MesoNet: A compact facial video forgery detection network," in </w:t>
      </w:r>
      <w:r>
        <w:rPr>
          <w:rFonts w:ascii="Times New Roman" w:hAnsi="Times New Roman"/>
          <w:b w:val="0"/>
          <w:i/>
          <w:sz w:val="18"/>
        </w:rPr>
        <w:t>Proc. WIFS</w:t>
      </w:r>
      <w:r>
        <w:rPr>
          <w:rFonts w:ascii="Times New Roman" w:hAnsi="Times New Roman"/>
          <w:b w:val="0"/>
          <w:i w:val="0"/>
          <w:sz w:val="18"/>
        </w:rPr>
        <w:t>, 2018.</w:t>
      </w:r>
    </w:p>
    <w:p>
      <w:pPr>
        <w:spacing w:after="60"/>
        <w:ind w:firstLine="0" w:left="360"/>
      </w:pPr>
      <w:r>
        <w:rPr>
          <w:rFonts w:ascii="Times New Roman" w:hAnsi="Times New Roman"/>
          <w:b w:val="0"/>
          <w:i w:val="0"/>
          <w:sz w:val="18"/>
        </w:rPr>
        <w:t xml:space="preserve">[7] A. Haliassos et al., "Lips Don't Lie: A generalisable and robust approach to face forgery detection," in </w:t>
      </w:r>
      <w:r>
        <w:rPr>
          <w:rFonts w:ascii="Times New Roman" w:hAnsi="Times New Roman"/>
          <w:b w:val="0"/>
          <w:i/>
          <w:sz w:val="18"/>
        </w:rPr>
        <w:t>Proc. CVPR</w:t>
      </w:r>
      <w:r>
        <w:rPr>
          <w:rFonts w:ascii="Times New Roman" w:hAnsi="Times New Roman"/>
          <w:b w:val="0"/>
          <w:i w:val="0"/>
          <w:sz w:val="18"/>
        </w:rPr>
        <w:t>, 2021.</w:t>
      </w:r>
    </w:p>
    <w:sectPr w:rsidR="00FC693F" w:rsidRPr="0006063C" w:rsidSect="00034616">
      <w:type w:val="continuous"/>
      <w:pgSz w:w="12240" w:h="15840"/>
      <w:pgMar w:top="1440" w:right="979" w:bottom="1620" w:left="979" w:header="720" w:footer="720" w:gutter="0"/>
      <w:cols w:space="45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ind w:firstLine="245"/>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