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200"/>
      </w:pPr>
    </w:p>
    <w:p>
      <w:pPr>
        <w:spacing w:after="240"/>
        <w:jc w:val="center"/>
      </w:pPr>
      <w:r>
        <w:rPr>
          <w:rFonts w:ascii="Times New Roman" w:cs="Times New Roman" w:eastAsia="Times New Roman" w:hAnsi="Times New Roman"/>
          <w:b/>
          <w:bCs/>
          <w:sz w:val="40"/>
          <w:szCs w:val="40"/>
        </w:rPr>
        <w:t xml:space="preserve">A Conceptual Report on CSV Parsing, Data Cleaning, and Visualization in Python</w:t>
      </w:r>
    </w:p>
    <w:p>
      <w:pPr>
        <w:spacing w:after="1000"/>
        <w:jc w:val="center"/>
      </w:pPr>
      <w:r>
        <w:rPr>
          <w:rFonts w:ascii="Times New Roman" w:cs="Times New Roman" w:eastAsia="Times New Roman" w:hAnsi="Times New Roman"/>
          <w:i/>
          <w:iCs/>
          <w:sz w:val="28"/>
          <w:szCs w:val="28"/>
        </w:rPr>
        <w:t xml:space="preserve">Software/ML Domain Taskphase — Tasks 1 to 5</w:t>
      </w:r>
    </w:p>
    <w:p>
      <w:pPr>
        <w:spacing w:after="160"/>
        <w:jc w:val="center"/>
      </w:pPr>
      <w:r>
        <w:rPr>
          <w:rFonts w:ascii="Times New Roman" w:cs="Times New Roman" w:eastAsia="Times New Roman" w:hAnsi="Times New Roman"/>
          <w:b/>
          <w:bCs/>
          <w:sz w:val="24"/>
          <w:szCs w:val="24"/>
        </w:rPr>
        <w:t xml:space="preserve">Participant Name: </w:t>
      </w:r>
      <w:r>
        <w:rPr>
          <w:rFonts w:ascii="Times New Roman" w:cs="Times New Roman" w:eastAsia="Times New Roman" w:hAnsi="Times New Roman"/>
          <w:sz w:val="24"/>
          <w:szCs w:val="24"/>
        </w:rPr>
        <w:t xml:space="preserve">Penta Divyanshu</w:t>
      </w:r>
    </w:p>
    <w:p>
      <w:pPr>
        <w:spacing w:after="160"/>
        <w:jc w:val="center"/>
      </w:pPr>
      <w:r>
        <w:rPr>
          <w:rFonts w:ascii="Times New Roman" w:cs="Times New Roman" w:eastAsia="Times New Roman" w:hAnsi="Times New Roman"/>
          <w:b/>
          <w:bCs/>
          <w:sz w:val="24"/>
          <w:szCs w:val="24"/>
        </w:rPr>
        <w:t xml:space="preserve">Student ID: </w:t>
      </w:r>
      <w:r>
        <w:rPr>
          <w:rFonts w:ascii="Times New Roman" w:cs="Times New Roman" w:eastAsia="Times New Roman" w:hAnsi="Times New Roman"/>
          <w:sz w:val="24"/>
          <w:szCs w:val="24"/>
        </w:rPr>
        <w:t xml:space="preserve">251090051426</w:t>
      </w:r>
    </w:p>
    <w:p>
      <w:pPr>
        <w:spacing w:after="160"/>
        <w:jc w:val="center"/>
      </w:pPr>
      <w:r>
        <w:rPr>
          <w:rFonts w:ascii="Times New Roman" w:cs="Times New Roman" w:eastAsia="Times New Roman" w:hAnsi="Times New Roman"/>
          <w:b/>
          <w:bCs/>
          <w:sz w:val="24"/>
          <w:szCs w:val="24"/>
        </w:rPr>
        <w:t xml:space="preserve">Domain: </w:t>
      </w:r>
      <w:r>
        <w:rPr>
          <w:rFonts w:ascii="Times New Roman" w:cs="Times New Roman" w:eastAsia="Times New Roman" w:hAnsi="Times New Roman"/>
          <w:sz w:val="24"/>
          <w:szCs w:val="24"/>
        </w:rPr>
        <w:t xml:space="preserve">Software / ML</w:t>
      </w:r>
    </w:p>
    <w:p>
      <w:pPr>
        <w:spacing w:after="160"/>
        <w:jc w:val="center"/>
      </w:pPr>
      <w:r>
        <w:rPr>
          <w:rFonts w:ascii="Times New Roman" w:cs="Times New Roman" w:eastAsia="Times New Roman" w:hAnsi="Times New Roman"/>
          <w:b/>
          <w:bCs/>
          <w:sz w:val="24"/>
          <w:szCs w:val="24"/>
        </w:rPr>
        <w:t xml:space="preserve">Repository: </w:t>
      </w:r>
      <w:hyperlink w:history="1" r:id="rId_in1ehnfswtyeo0ixdorv">
        <w:r>
          <w:rPr>
            <w:rStyle w:val="Hyperlink"/>
            <w:rFonts w:ascii="Times New Roman" w:cs="Times New Roman" w:eastAsia="Times New Roman" w:hAnsi="Times New Roman"/>
            <w:sz w:val="24"/>
            <w:szCs w:val="24"/>
          </w:rPr>
          <w:t xml:space="preserve">https://github.com/divyanshu1888/Synergy_TP</w:t>
        </w:r>
      </w:hyperlink>
      <w:r>
        <w:rPr>
          <w:rFonts w:ascii="Times New Roman" w:cs="Times New Roman" w:eastAsia="Times New Roman" w:hAnsi="Times New Roman"/>
          <w:sz w:val="24"/>
          <w:szCs w:val="24"/>
        </w:rPr>
        <w:t xml:space="preserve">  (branch: main)</w:t>
      </w:r>
    </w:p>
    <w:p>
      <w:pPr>
        <w:spacing w:after="160"/>
        <w:jc w:val="center"/>
      </w:pPr>
      <w:r>
        <w:rPr>
          <w:rFonts w:ascii="Times New Roman" w:cs="Times New Roman" w:eastAsia="Times New Roman" w:hAnsi="Times New Roman"/>
          <w:b/>
          <w:bCs/>
          <w:sz w:val="24"/>
          <w:szCs w:val="24"/>
        </w:rPr>
        <w:t xml:space="preserve">Submission Date: </w:t>
      </w:r>
      <w:r>
        <w:rPr>
          <w:rFonts w:ascii="Times New Roman" w:cs="Times New Roman" w:eastAsia="Times New Roman" w:hAnsi="Times New Roman"/>
          <w:sz w:val="24"/>
          <w:szCs w:val="24"/>
        </w:rPr>
        <w:t xml:space="preserve">June 28, 2026</w:t>
      </w:r>
    </w:p>
    <w:p>
      <w:pPr>
        <w:sectPr>
          <w:pgSz w:w="11906" w:h="16838" w:orient="portrait"/>
          <w:pgMar w:top="1440" w:right="1440" w:bottom="1440" w:left="1440" w:header="708" w:footer="708" w:gutter="0"/>
          <w:pgNumType/>
          <w:docGrid w:linePitch="360"/>
        </w:sectPr>
      </w:pPr>
    </w:p>
    <w:p>
      <w:pPr>
        <w:pStyle w:val="Heading1"/>
      </w:pPr>
      <w:r>
        <w:rPr>
          <w:rFonts w:ascii="Times New Roman" w:cs="Times New Roman" w:eastAsia="Times New Roman" w:hAnsi="Times New Roman"/>
          <w:b/>
          <w:bCs/>
          <w:color w:val="000000"/>
          <w:sz w:val="32"/>
          <w:szCs w:val="32"/>
        </w:rPr>
        <w:t xml:space="preserve">Abstract</w:t>
      </w:r>
    </w:p>
    <w:p>
      <w:pPr>
        <w:spacing w:after="120" w:line="360" w:lineRule="auto"/>
        <w:jc w:val="both"/>
      </w:pPr>
      <w:r>
        <w:rPr>
          <w:rFonts w:ascii="Times New Roman" w:cs="Times New Roman" w:eastAsia="Times New Roman" w:hAnsi="Times New Roman"/>
          <w:b w:val="false"/>
          <w:bCs w:val="false"/>
          <w:i w:val="false"/>
          <w:iCs w:val="false"/>
          <w:color w:val="000000"/>
          <w:sz w:val="24"/>
          <w:szCs w:val="24"/>
        </w:rPr>
        <w:t xml:space="preserve">This report presents the theoretical foundation behind Tasks 1 to 5 of the Software/ML domain taskphase, completed inside the </w:t>
      </w:r>
      <w:r>
        <w:rPr>
          <w:rFonts w:ascii="Times New Roman" w:cs="Times New Roman" w:eastAsia="Times New Roman" w:hAnsi="Times New Roman"/>
          <w:b w:val="false"/>
          <w:bCs w:val="false"/>
          <w:i/>
          <w:iCs/>
          <w:color w:val="000000"/>
          <w:sz w:val="24"/>
          <w:szCs w:val="24"/>
        </w:rPr>
        <w:t xml:space="preserve">Synergy_TP</w:t>
      </w:r>
      <w:r>
        <w:rPr>
          <w:rFonts w:ascii="Times New Roman" w:cs="Times New Roman" w:eastAsia="Times New Roman" w:hAnsi="Times New Roman"/>
          <w:b w:val="false"/>
          <w:bCs w:val="false"/>
          <w:i w:val="false"/>
          <w:iCs w:val="false"/>
          <w:color w:val="000000"/>
          <w:sz w:val="24"/>
          <w:szCs w:val="24"/>
        </w:rPr>
        <w:t xml:space="preserve"> repository. Rather than walking through the submitted code, it explains the reasoning behind each stage of the workflow: building a reproducible Python environment under Git version control, applying core Python constructs such as functions, dictionaries, file handling, and exceptions, and assembling a small but complete data pipeline. The pipeline begins with parsing a CSV file both manually and with pandas, continues through systematic cleaning of a deliberately messy dataset, and ends with three labelled Matplotlib visualisations. Emphasis is placed throughout on why a particular tool, cleaning rule, or plot type was chosen, and what it reveals about the data, rather than on line-by-line implementation detail.</w:t>
      </w:r>
    </w:p>
    <w:p>
      <w:pPr>
        <w:pStyle w:val="Heading1"/>
      </w:pPr>
      <w:r>
        <w:rPr>
          <w:rFonts w:ascii="Times New Roman" w:cs="Times New Roman" w:eastAsia="Times New Roman" w:hAnsi="Times New Roman"/>
          <w:b/>
          <w:bCs/>
          <w:color w:val="000000"/>
          <w:sz w:val="32"/>
          <w:szCs w:val="32"/>
        </w:rPr>
        <w:t xml:space="preserve">Introduction</w:t>
      </w:r>
    </w:p>
    <w:p>
      <w:pPr>
        <w:spacing w:after="120" w:line="360" w:lineRule="auto"/>
        <w:jc w:val="both"/>
      </w:pPr>
      <w:r>
        <w:rPr>
          <w:rFonts w:ascii="Times New Roman" w:cs="Times New Roman" w:eastAsia="Times New Roman" w:hAnsi="Times New Roman"/>
          <w:b w:val="false"/>
          <w:bCs w:val="false"/>
          <w:i w:val="false"/>
          <w:iCs w:val="false"/>
          <w:color w:val="000000"/>
          <w:sz w:val="24"/>
          <w:szCs w:val="24"/>
        </w:rPr>
        <w:t xml:space="preserve">The Software/ML domain taskphase is structured as a progression: each task builds the tools needed for the next. Task 1 establishes the working environment and version-control habits the rest of the project depends on. Task 2 revisits core Python so that later tasks can be written confidently. Tasks 3 to 5 form a single connected pipeline — a CSV file is parsed, cleaned, validated, and finally visualised. This report does not re-describe the code submitted for these tasks. Instead, it explains the concepts that make the code make sense: why CSV parsing needs care, why cleaning decisions must be justified rather than applied blindly, and why a plot is only useful if it is labelled and reproducible. Table 1 summarises the focus and the main concept taken from each task before the later sections discuss them in more depth.</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300"/>
        <w:gridCol w:w="3700"/>
        <w:gridCol w:w="4026"/>
      </w:tblGrid>
      <w:tr>
        <w:trPr>
          <w:tblHeader/>
        </w:trPr>
        <w:tc>
          <w:tcPr>
            <w:tcW w:type="dxa" w:w="1300"/>
            <w:tcBorders>
              <w:top w:val="single" w:color="8C8C8C" w:sz="4"/>
              <w:left w:val="single" w:color="8C8C8C" w:sz="4"/>
              <w:bottom w:val="single" w:color="8C8C8C" w:sz="4"/>
              <w:right w:val="single" w:color="8C8C8C" w:sz="4"/>
            </w:tcBorders>
            <w:shd w:fill="DCE9F7" w:val="clear"/>
            <w:tcMar>
              <w:top w:type="dxa" w:w="80"/>
              <w:left w:type="dxa" w:w="120"/>
              <w:bottom w:type="dxa" w:w="80"/>
              <w:right w:type="dxa" w:w="120"/>
            </w:tcMar>
            <w:vAlign w:val="center"/>
          </w:tcPr>
          <w:p>
            <w:pPr>
              <w:jc w:val="left"/>
            </w:pPr>
            <w:r>
              <w:rPr>
                <w:rFonts w:ascii="Times New Roman" w:cs="Times New Roman" w:eastAsia="Times New Roman" w:hAnsi="Times New Roman"/>
                <w:b/>
                <w:bCs/>
                <w:sz w:val="22"/>
                <w:szCs w:val="22"/>
              </w:rPr>
              <w:t xml:space="preserve">Task</w:t>
            </w:r>
          </w:p>
        </w:tc>
        <w:tc>
          <w:tcPr>
            <w:tcW w:type="dxa" w:w="3700"/>
            <w:tcBorders>
              <w:top w:val="single" w:color="8C8C8C" w:sz="4"/>
              <w:left w:val="single" w:color="8C8C8C" w:sz="4"/>
              <w:bottom w:val="single" w:color="8C8C8C" w:sz="4"/>
              <w:right w:val="single" w:color="8C8C8C" w:sz="4"/>
            </w:tcBorders>
            <w:shd w:fill="DCE9F7" w:val="clear"/>
            <w:tcMar>
              <w:top w:type="dxa" w:w="80"/>
              <w:left w:type="dxa" w:w="120"/>
              <w:bottom w:type="dxa" w:w="80"/>
              <w:right w:type="dxa" w:w="120"/>
            </w:tcMar>
            <w:vAlign w:val="center"/>
          </w:tcPr>
          <w:p>
            <w:pPr>
              <w:jc w:val="left"/>
            </w:pPr>
            <w:r>
              <w:rPr>
                <w:rFonts w:ascii="Times New Roman" w:cs="Times New Roman" w:eastAsia="Times New Roman" w:hAnsi="Times New Roman"/>
                <w:b/>
                <w:bCs/>
                <w:sz w:val="22"/>
                <w:szCs w:val="22"/>
              </w:rPr>
              <w:t xml:space="preserve">Focus</w:t>
            </w:r>
          </w:p>
        </w:tc>
        <w:tc>
          <w:tcPr>
            <w:tcW w:type="dxa" w:w="4026"/>
            <w:tcBorders>
              <w:top w:val="single" w:color="8C8C8C" w:sz="4"/>
              <w:left w:val="single" w:color="8C8C8C" w:sz="4"/>
              <w:bottom w:val="single" w:color="8C8C8C" w:sz="4"/>
              <w:right w:val="single" w:color="8C8C8C" w:sz="4"/>
            </w:tcBorders>
            <w:shd w:fill="DCE9F7" w:val="clear"/>
            <w:tcMar>
              <w:top w:type="dxa" w:w="80"/>
              <w:left w:type="dxa" w:w="120"/>
              <w:bottom w:type="dxa" w:w="80"/>
              <w:right w:type="dxa" w:w="120"/>
            </w:tcMar>
            <w:vAlign w:val="center"/>
          </w:tcPr>
          <w:p>
            <w:pPr>
              <w:jc w:val="left"/>
            </w:pPr>
            <w:r>
              <w:rPr>
                <w:rFonts w:ascii="Times New Roman" w:cs="Times New Roman" w:eastAsia="Times New Roman" w:hAnsi="Times New Roman"/>
                <w:b/>
                <w:bCs/>
                <w:sz w:val="22"/>
                <w:szCs w:val="22"/>
              </w:rPr>
              <w:t xml:space="preserve">Main Concept Learned</w:t>
            </w:r>
          </w:p>
        </w:tc>
      </w:tr>
      <w:tr>
        <w:tc>
          <w:tcPr>
            <w:tcW w:type="dxa" w:w="1300"/>
            <w:tcBorders>
              <w:top w:val="single" w:color="8C8C8C" w:sz="4"/>
              <w:left w:val="single" w:color="8C8C8C" w:sz="4"/>
              <w:bottom w:val="single" w:color="8C8C8C" w:sz="4"/>
              <w:right w:val="single" w:color="8C8C8C" w:sz="4"/>
            </w:tcBorders>
            <w:tcMar>
              <w:top w:type="dxa" w:w="80"/>
              <w:left w:type="dxa" w:w="120"/>
              <w:bottom w:type="dxa" w:w="80"/>
              <w:right w:type="dxa" w:w="120"/>
            </w:tcMar>
            <w:vAlign w:val="center"/>
          </w:tcPr>
          <w:p>
            <w:pPr>
              <w:spacing w:line="276" w:lineRule="auto"/>
              <w:jc w:val="left"/>
            </w:pPr>
            <w:r>
              <w:rPr>
                <w:rFonts w:ascii="Times New Roman" w:cs="Times New Roman" w:eastAsia="Times New Roman" w:hAnsi="Times New Roman"/>
                <w:b w:val="false"/>
                <w:bCs w:val="false"/>
                <w:i w:val="false"/>
                <w:iCs w:val="false"/>
                <w:color w:val="000000"/>
                <w:sz w:val="21"/>
                <w:szCs w:val="21"/>
              </w:rPr>
              <w:t xml:space="preserve">Task 1</w:t>
            </w:r>
          </w:p>
        </w:tc>
        <w:tc>
          <w:tcPr>
            <w:tcW w:type="dxa" w:w="3700"/>
            <w:tcBorders>
              <w:top w:val="single" w:color="8C8C8C" w:sz="4"/>
              <w:left w:val="single" w:color="8C8C8C" w:sz="4"/>
              <w:bottom w:val="single" w:color="8C8C8C" w:sz="4"/>
              <w:right w:val="single" w:color="8C8C8C" w:sz="4"/>
            </w:tcBorders>
            <w:tcMar>
              <w:top w:type="dxa" w:w="80"/>
              <w:left w:type="dxa" w:w="120"/>
              <w:bottom w:type="dxa" w:w="80"/>
              <w:right w:type="dxa" w:w="120"/>
            </w:tcMar>
            <w:vAlign w:val="center"/>
          </w:tcPr>
          <w:p>
            <w:pPr>
              <w:spacing w:line="276" w:lineRule="auto"/>
              <w:jc w:val="left"/>
            </w:pPr>
            <w:r>
              <w:rPr>
                <w:rFonts w:ascii="Times New Roman" w:cs="Times New Roman" w:eastAsia="Times New Roman" w:hAnsi="Times New Roman"/>
                <w:b w:val="false"/>
                <w:bCs w:val="false"/>
                <w:i w:val="false"/>
                <w:iCs w:val="false"/>
                <w:color w:val="000000"/>
                <w:sz w:val="21"/>
                <w:szCs w:val="21"/>
              </w:rPr>
              <w:t xml:space="preserve">Git, GitHub, virtual environments, Linux basics</w:t>
            </w:r>
          </w:p>
        </w:tc>
        <w:tc>
          <w:tcPr>
            <w:tcW w:type="dxa" w:w="4026"/>
            <w:tcBorders>
              <w:top w:val="single" w:color="8C8C8C" w:sz="4"/>
              <w:left w:val="single" w:color="8C8C8C" w:sz="4"/>
              <w:bottom w:val="single" w:color="8C8C8C" w:sz="4"/>
              <w:right w:val="single" w:color="8C8C8C" w:sz="4"/>
            </w:tcBorders>
            <w:tcMar>
              <w:top w:type="dxa" w:w="80"/>
              <w:left w:type="dxa" w:w="120"/>
              <w:bottom w:type="dxa" w:w="80"/>
              <w:right w:type="dxa" w:w="120"/>
            </w:tcMar>
            <w:vAlign w:val="center"/>
          </w:tcPr>
          <w:p>
            <w:pPr>
              <w:spacing w:line="276" w:lineRule="auto"/>
              <w:jc w:val="left"/>
            </w:pPr>
            <w:r>
              <w:rPr>
                <w:rFonts w:ascii="Times New Roman" w:cs="Times New Roman" w:eastAsia="Times New Roman" w:hAnsi="Times New Roman"/>
                <w:b w:val="false"/>
                <w:bCs w:val="false"/>
                <w:i w:val="false"/>
                <w:iCs w:val="false"/>
                <w:color w:val="000000"/>
                <w:sz w:val="21"/>
                <w:szCs w:val="21"/>
              </w:rPr>
              <w:t xml:space="preserve">Reproducible environments and version-controlled history</w:t>
            </w:r>
          </w:p>
        </w:tc>
      </w:tr>
      <w:tr>
        <w:tc>
          <w:tcPr>
            <w:tcW w:type="dxa" w:w="1300"/>
            <w:tcBorders>
              <w:top w:val="single" w:color="8C8C8C" w:sz="4"/>
              <w:left w:val="single" w:color="8C8C8C" w:sz="4"/>
              <w:bottom w:val="single" w:color="8C8C8C" w:sz="4"/>
              <w:right w:val="single" w:color="8C8C8C" w:sz="4"/>
            </w:tcBorders>
            <w:tcMar>
              <w:top w:type="dxa" w:w="80"/>
              <w:left w:type="dxa" w:w="120"/>
              <w:bottom w:type="dxa" w:w="80"/>
              <w:right w:type="dxa" w:w="120"/>
            </w:tcMar>
            <w:vAlign w:val="center"/>
          </w:tcPr>
          <w:p>
            <w:pPr>
              <w:spacing w:line="276" w:lineRule="auto"/>
              <w:jc w:val="left"/>
            </w:pPr>
            <w:r>
              <w:rPr>
                <w:rFonts w:ascii="Times New Roman" w:cs="Times New Roman" w:eastAsia="Times New Roman" w:hAnsi="Times New Roman"/>
                <w:b w:val="false"/>
                <w:bCs w:val="false"/>
                <w:i w:val="false"/>
                <w:iCs w:val="false"/>
                <w:color w:val="000000"/>
                <w:sz w:val="21"/>
                <w:szCs w:val="21"/>
              </w:rPr>
              <w:t xml:space="preserve">Task 2</w:t>
            </w:r>
          </w:p>
        </w:tc>
        <w:tc>
          <w:tcPr>
            <w:tcW w:type="dxa" w:w="3700"/>
            <w:tcBorders>
              <w:top w:val="single" w:color="8C8C8C" w:sz="4"/>
              <w:left w:val="single" w:color="8C8C8C" w:sz="4"/>
              <w:bottom w:val="single" w:color="8C8C8C" w:sz="4"/>
              <w:right w:val="single" w:color="8C8C8C" w:sz="4"/>
            </w:tcBorders>
            <w:tcMar>
              <w:top w:type="dxa" w:w="80"/>
              <w:left w:type="dxa" w:w="120"/>
              <w:bottom w:type="dxa" w:w="80"/>
              <w:right w:type="dxa" w:w="120"/>
            </w:tcMar>
            <w:vAlign w:val="center"/>
          </w:tcPr>
          <w:p>
            <w:pPr>
              <w:spacing w:line="276" w:lineRule="auto"/>
              <w:jc w:val="left"/>
            </w:pPr>
            <w:r>
              <w:rPr>
                <w:rFonts w:ascii="Times New Roman" w:cs="Times New Roman" w:eastAsia="Times New Roman" w:hAnsi="Times New Roman"/>
                <w:b w:val="false"/>
                <w:bCs w:val="false"/>
                <w:i w:val="false"/>
                <w:iCs w:val="false"/>
                <w:color w:val="000000"/>
                <w:sz w:val="21"/>
                <w:szCs w:val="21"/>
              </w:rPr>
              <w:t xml:space="preserve">Python recap: functions, dicts, file I/O, exceptions, type hints</w:t>
            </w:r>
          </w:p>
        </w:tc>
        <w:tc>
          <w:tcPr>
            <w:tcW w:type="dxa" w:w="4026"/>
            <w:tcBorders>
              <w:top w:val="single" w:color="8C8C8C" w:sz="4"/>
              <w:left w:val="single" w:color="8C8C8C" w:sz="4"/>
              <w:bottom w:val="single" w:color="8C8C8C" w:sz="4"/>
              <w:right w:val="single" w:color="8C8C8C" w:sz="4"/>
            </w:tcBorders>
            <w:tcMar>
              <w:top w:type="dxa" w:w="80"/>
              <w:left w:type="dxa" w:w="120"/>
              <w:bottom w:type="dxa" w:w="80"/>
              <w:right w:type="dxa" w:w="120"/>
            </w:tcMar>
            <w:vAlign w:val="center"/>
          </w:tcPr>
          <w:p>
            <w:pPr>
              <w:spacing w:line="276" w:lineRule="auto"/>
              <w:jc w:val="left"/>
            </w:pPr>
            <w:r>
              <w:rPr>
                <w:rFonts w:ascii="Times New Roman" w:cs="Times New Roman" w:eastAsia="Times New Roman" w:hAnsi="Times New Roman"/>
                <w:b w:val="false"/>
                <w:bCs w:val="false"/>
                <w:i w:val="false"/>
                <w:iCs w:val="false"/>
                <w:color w:val="000000"/>
                <w:sz w:val="21"/>
                <w:szCs w:val="21"/>
              </w:rPr>
              <w:t xml:space="preserve">Core building blocks reused throughout the pipeline</w:t>
            </w:r>
          </w:p>
        </w:tc>
      </w:tr>
      <w:tr>
        <w:tc>
          <w:tcPr>
            <w:tcW w:type="dxa" w:w="1300"/>
            <w:tcBorders>
              <w:top w:val="single" w:color="8C8C8C" w:sz="4"/>
              <w:left w:val="single" w:color="8C8C8C" w:sz="4"/>
              <w:bottom w:val="single" w:color="8C8C8C" w:sz="4"/>
              <w:right w:val="single" w:color="8C8C8C" w:sz="4"/>
            </w:tcBorders>
            <w:tcMar>
              <w:top w:type="dxa" w:w="80"/>
              <w:left w:type="dxa" w:w="120"/>
              <w:bottom w:type="dxa" w:w="80"/>
              <w:right w:type="dxa" w:w="120"/>
            </w:tcMar>
            <w:vAlign w:val="center"/>
          </w:tcPr>
          <w:p>
            <w:pPr>
              <w:spacing w:line="276" w:lineRule="auto"/>
              <w:jc w:val="left"/>
            </w:pPr>
            <w:r>
              <w:rPr>
                <w:rFonts w:ascii="Times New Roman" w:cs="Times New Roman" w:eastAsia="Times New Roman" w:hAnsi="Times New Roman"/>
                <w:b w:val="false"/>
                <w:bCs w:val="false"/>
                <w:i w:val="false"/>
                <w:iCs w:val="false"/>
                <w:color w:val="000000"/>
                <w:sz w:val="21"/>
                <w:szCs w:val="21"/>
              </w:rPr>
              <w:t xml:space="preserve">Task 3</w:t>
            </w:r>
          </w:p>
        </w:tc>
        <w:tc>
          <w:tcPr>
            <w:tcW w:type="dxa" w:w="3700"/>
            <w:tcBorders>
              <w:top w:val="single" w:color="8C8C8C" w:sz="4"/>
              <w:left w:val="single" w:color="8C8C8C" w:sz="4"/>
              <w:bottom w:val="single" w:color="8C8C8C" w:sz="4"/>
              <w:right w:val="single" w:color="8C8C8C" w:sz="4"/>
            </w:tcBorders>
            <w:tcMar>
              <w:top w:type="dxa" w:w="80"/>
              <w:left w:type="dxa" w:w="120"/>
              <w:bottom w:type="dxa" w:w="80"/>
              <w:right w:type="dxa" w:w="120"/>
            </w:tcMar>
            <w:vAlign w:val="center"/>
          </w:tcPr>
          <w:p>
            <w:pPr>
              <w:spacing w:line="276" w:lineRule="auto"/>
              <w:jc w:val="left"/>
            </w:pPr>
            <w:r>
              <w:rPr>
                <w:rFonts w:ascii="Times New Roman" w:cs="Times New Roman" w:eastAsia="Times New Roman" w:hAnsi="Times New Roman"/>
                <w:b w:val="false"/>
                <w:bCs w:val="false"/>
                <w:i w:val="false"/>
                <w:iCs w:val="false"/>
                <w:color w:val="000000"/>
                <w:sz w:val="21"/>
                <w:szCs w:val="21"/>
              </w:rPr>
              <w:t xml:space="preserve">Manual CSV parser vs </w:t>
            </w:r>
            <w:r>
              <w:rPr>
                <w:rFonts w:ascii="Times New Roman" w:cs="Times New Roman" w:eastAsia="Times New Roman" w:hAnsi="Times New Roman"/>
                <w:b w:val="false"/>
                <w:bCs w:val="false"/>
                <w:i/>
                <w:iCs/>
                <w:color w:val="000000"/>
                <w:sz w:val="21"/>
                <w:szCs w:val="21"/>
              </w:rPr>
              <w:t xml:space="preserve">pandas.read_csv()</w:t>
            </w:r>
          </w:p>
        </w:tc>
        <w:tc>
          <w:tcPr>
            <w:tcW w:type="dxa" w:w="4026"/>
            <w:tcBorders>
              <w:top w:val="single" w:color="8C8C8C" w:sz="4"/>
              <w:left w:val="single" w:color="8C8C8C" w:sz="4"/>
              <w:bottom w:val="single" w:color="8C8C8C" w:sz="4"/>
              <w:right w:val="single" w:color="8C8C8C" w:sz="4"/>
            </w:tcBorders>
            <w:tcMar>
              <w:top w:type="dxa" w:w="80"/>
              <w:left w:type="dxa" w:w="120"/>
              <w:bottom w:type="dxa" w:w="80"/>
              <w:right w:type="dxa" w:w="120"/>
            </w:tcMar>
            <w:vAlign w:val="center"/>
          </w:tcPr>
          <w:p>
            <w:pPr>
              <w:spacing w:line="276" w:lineRule="auto"/>
              <w:jc w:val="left"/>
            </w:pPr>
            <w:r>
              <w:rPr>
                <w:rFonts w:ascii="Times New Roman" w:cs="Times New Roman" w:eastAsia="Times New Roman" w:hAnsi="Times New Roman"/>
                <w:b w:val="false"/>
                <w:bCs w:val="false"/>
                <w:i w:val="false"/>
                <w:iCs w:val="false"/>
                <w:color w:val="000000"/>
                <w:sz w:val="21"/>
                <w:szCs w:val="21"/>
              </w:rPr>
              <w:t xml:space="preserve">How raw text becomes structured data; what a library automates</w:t>
            </w:r>
          </w:p>
        </w:tc>
      </w:tr>
      <w:tr>
        <w:tc>
          <w:tcPr>
            <w:tcW w:type="dxa" w:w="1300"/>
            <w:tcBorders>
              <w:top w:val="single" w:color="8C8C8C" w:sz="4"/>
              <w:left w:val="single" w:color="8C8C8C" w:sz="4"/>
              <w:bottom w:val="single" w:color="8C8C8C" w:sz="4"/>
              <w:right w:val="single" w:color="8C8C8C" w:sz="4"/>
            </w:tcBorders>
            <w:tcMar>
              <w:top w:type="dxa" w:w="80"/>
              <w:left w:type="dxa" w:w="120"/>
              <w:bottom w:type="dxa" w:w="80"/>
              <w:right w:type="dxa" w:w="120"/>
            </w:tcMar>
            <w:vAlign w:val="center"/>
          </w:tcPr>
          <w:p>
            <w:pPr>
              <w:spacing w:line="276" w:lineRule="auto"/>
              <w:jc w:val="left"/>
            </w:pPr>
            <w:r>
              <w:rPr>
                <w:rFonts w:ascii="Times New Roman" w:cs="Times New Roman" w:eastAsia="Times New Roman" w:hAnsi="Times New Roman"/>
                <w:b w:val="false"/>
                <w:bCs w:val="false"/>
                <w:i w:val="false"/>
                <w:iCs w:val="false"/>
                <w:color w:val="000000"/>
                <w:sz w:val="21"/>
                <w:szCs w:val="21"/>
              </w:rPr>
              <w:t xml:space="preserve">Task 4</w:t>
            </w:r>
          </w:p>
        </w:tc>
        <w:tc>
          <w:tcPr>
            <w:tcW w:type="dxa" w:w="3700"/>
            <w:tcBorders>
              <w:top w:val="single" w:color="8C8C8C" w:sz="4"/>
              <w:left w:val="single" w:color="8C8C8C" w:sz="4"/>
              <w:bottom w:val="single" w:color="8C8C8C" w:sz="4"/>
              <w:right w:val="single" w:color="8C8C8C" w:sz="4"/>
            </w:tcBorders>
            <w:tcMar>
              <w:top w:type="dxa" w:w="80"/>
              <w:left w:type="dxa" w:w="120"/>
              <w:bottom w:type="dxa" w:w="80"/>
              <w:right w:type="dxa" w:w="120"/>
            </w:tcMar>
            <w:vAlign w:val="center"/>
          </w:tcPr>
          <w:p>
            <w:pPr>
              <w:spacing w:line="276" w:lineRule="auto"/>
              <w:jc w:val="left"/>
            </w:pPr>
            <w:r>
              <w:rPr>
                <w:rFonts w:ascii="Times New Roman" w:cs="Times New Roman" w:eastAsia="Times New Roman" w:hAnsi="Times New Roman"/>
                <w:b w:val="false"/>
                <w:bCs w:val="false"/>
                <w:i w:val="false"/>
                <w:iCs w:val="false"/>
                <w:color w:val="000000"/>
                <w:sz w:val="21"/>
                <w:szCs w:val="21"/>
              </w:rPr>
              <w:t xml:space="preserve">Cleaning a messy CSV with pandas</w:t>
            </w:r>
          </w:p>
        </w:tc>
        <w:tc>
          <w:tcPr>
            <w:tcW w:type="dxa" w:w="4026"/>
            <w:tcBorders>
              <w:top w:val="single" w:color="8C8C8C" w:sz="4"/>
              <w:left w:val="single" w:color="8C8C8C" w:sz="4"/>
              <w:bottom w:val="single" w:color="8C8C8C" w:sz="4"/>
              <w:right w:val="single" w:color="8C8C8C" w:sz="4"/>
            </w:tcBorders>
            <w:tcMar>
              <w:top w:type="dxa" w:w="80"/>
              <w:left w:type="dxa" w:w="120"/>
              <w:bottom w:type="dxa" w:w="80"/>
              <w:right w:type="dxa" w:w="120"/>
            </w:tcMar>
            <w:vAlign w:val="center"/>
          </w:tcPr>
          <w:p>
            <w:pPr>
              <w:spacing w:line="276" w:lineRule="auto"/>
              <w:jc w:val="left"/>
            </w:pPr>
            <w:r>
              <w:rPr>
                <w:rFonts w:ascii="Times New Roman" w:cs="Times New Roman" w:eastAsia="Times New Roman" w:hAnsi="Times New Roman"/>
                <w:b w:val="false"/>
                <w:bCs w:val="false"/>
                <w:i w:val="false"/>
                <w:iCs w:val="false"/>
                <w:color w:val="000000"/>
                <w:sz w:val="21"/>
                <w:szCs w:val="21"/>
              </w:rPr>
              <w:t xml:space="preserve">Documented, rule-based cleaning and post-cleaning validation</w:t>
            </w:r>
          </w:p>
        </w:tc>
      </w:tr>
      <w:tr>
        <w:tc>
          <w:tcPr>
            <w:tcW w:type="dxa" w:w="1300"/>
            <w:tcBorders>
              <w:top w:val="single" w:color="8C8C8C" w:sz="4"/>
              <w:left w:val="single" w:color="8C8C8C" w:sz="4"/>
              <w:bottom w:val="single" w:color="8C8C8C" w:sz="4"/>
              <w:right w:val="single" w:color="8C8C8C" w:sz="4"/>
            </w:tcBorders>
            <w:tcMar>
              <w:top w:type="dxa" w:w="80"/>
              <w:left w:type="dxa" w:w="120"/>
              <w:bottom w:type="dxa" w:w="80"/>
              <w:right w:type="dxa" w:w="120"/>
            </w:tcMar>
            <w:vAlign w:val="center"/>
          </w:tcPr>
          <w:p>
            <w:pPr>
              <w:spacing w:line="276" w:lineRule="auto"/>
              <w:jc w:val="left"/>
            </w:pPr>
            <w:r>
              <w:rPr>
                <w:rFonts w:ascii="Times New Roman" w:cs="Times New Roman" w:eastAsia="Times New Roman" w:hAnsi="Times New Roman"/>
                <w:b w:val="false"/>
                <w:bCs w:val="false"/>
                <w:i w:val="false"/>
                <w:iCs w:val="false"/>
                <w:color w:val="000000"/>
                <w:sz w:val="21"/>
                <w:szCs w:val="21"/>
              </w:rPr>
              <w:t xml:space="preserve">Task 5</w:t>
            </w:r>
          </w:p>
        </w:tc>
        <w:tc>
          <w:tcPr>
            <w:tcW w:type="dxa" w:w="3700"/>
            <w:tcBorders>
              <w:top w:val="single" w:color="8C8C8C" w:sz="4"/>
              <w:left w:val="single" w:color="8C8C8C" w:sz="4"/>
              <w:bottom w:val="single" w:color="8C8C8C" w:sz="4"/>
              <w:right w:val="single" w:color="8C8C8C" w:sz="4"/>
            </w:tcBorders>
            <w:tcMar>
              <w:top w:type="dxa" w:w="80"/>
              <w:left w:type="dxa" w:w="120"/>
              <w:bottom w:type="dxa" w:w="80"/>
              <w:right w:type="dxa" w:w="120"/>
            </w:tcMar>
            <w:vAlign w:val="center"/>
          </w:tcPr>
          <w:p>
            <w:pPr>
              <w:spacing w:line="276" w:lineRule="auto"/>
              <w:jc w:val="left"/>
            </w:pPr>
            <w:r>
              <w:rPr>
                <w:rFonts w:ascii="Times New Roman" w:cs="Times New Roman" w:eastAsia="Times New Roman" w:hAnsi="Times New Roman"/>
                <w:b w:val="false"/>
                <w:bCs w:val="false"/>
                <w:i w:val="false"/>
                <w:iCs w:val="false"/>
                <w:color w:val="000000"/>
                <w:sz w:val="21"/>
                <w:szCs w:val="21"/>
              </w:rPr>
              <w:t xml:space="preserve">Matplotlib visualisation of cleaned data</w:t>
            </w:r>
          </w:p>
        </w:tc>
        <w:tc>
          <w:tcPr>
            <w:tcW w:type="dxa" w:w="4026"/>
            <w:tcBorders>
              <w:top w:val="single" w:color="8C8C8C" w:sz="4"/>
              <w:left w:val="single" w:color="8C8C8C" w:sz="4"/>
              <w:bottom w:val="single" w:color="8C8C8C" w:sz="4"/>
              <w:right w:val="single" w:color="8C8C8C" w:sz="4"/>
            </w:tcBorders>
            <w:tcMar>
              <w:top w:type="dxa" w:w="80"/>
              <w:left w:type="dxa" w:w="120"/>
              <w:bottom w:type="dxa" w:w="80"/>
              <w:right w:type="dxa" w:w="120"/>
            </w:tcMar>
            <w:vAlign w:val="center"/>
          </w:tcPr>
          <w:p>
            <w:pPr>
              <w:spacing w:line="276" w:lineRule="auto"/>
              <w:jc w:val="left"/>
            </w:pPr>
            <w:r>
              <w:rPr>
                <w:rFonts w:ascii="Times New Roman" w:cs="Times New Roman" w:eastAsia="Times New Roman" w:hAnsi="Times New Roman"/>
                <w:b w:val="false"/>
                <w:bCs w:val="false"/>
                <w:i w:val="false"/>
                <w:iCs w:val="false"/>
                <w:color w:val="000000"/>
                <w:sz w:val="21"/>
                <w:szCs w:val="21"/>
              </w:rPr>
              <w:t xml:space="preserve">Choosing the right chart and making it self-explanatory</w:t>
            </w:r>
          </w:p>
        </w:tc>
      </w:tr>
    </w:tbl>
    <w:p>
      <w:pPr>
        <w:spacing w:after="200" w:before="80"/>
        <w:jc w:val="center"/>
      </w:pPr>
      <w:r>
        <w:rPr>
          <w:rFonts w:ascii="Times New Roman" w:cs="Times New Roman" w:eastAsia="Times New Roman" w:hAnsi="Times New Roman"/>
          <w:i/>
          <w:iCs/>
          <w:color w:val="000000"/>
          <w:sz w:val="20"/>
          <w:szCs w:val="20"/>
        </w:rPr>
        <w:t xml:space="preserve">Table 1: Summary of Tasks 1–5 and the main concept learned from each.</w:t>
      </w:r>
    </w:p>
    <w:p>
      <w:pPr>
        <w:pStyle w:val="Heading1"/>
      </w:pPr>
      <w:r>
        <w:rPr>
          <w:rFonts w:ascii="Times New Roman" w:cs="Times New Roman" w:eastAsia="Times New Roman" w:hAnsi="Times New Roman"/>
          <w:b/>
          <w:bCs/>
          <w:color w:val="000000"/>
          <w:sz w:val="32"/>
          <w:szCs w:val="32"/>
        </w:rPr>
        <w:t xml:space="preserve">Development Environment and Version Control</w:t>
      </w:r>
    </w:p>
    <w:p>
      <w:pPr>
        <w:spacing w:after="120" w:line="360" w:lineRule="auto"/>
        <w:jc w:val="both"/>
      </w:pPr>
      <w:r>
        <w:rPr>
          <w:rFonts w:ascii="Times New Roman" w:cs="Times New Roman" w:eastAsia="Times New Roman" w:hAnsi="Times New Roman"/>
          <w:b w:val="false"/>
          <w:bCs w:val="false"/>
          <w:i w:val="false"/>
          <w:iCs w:val="false"/>
          <w:color w:val="000000"/>
          <w:sz w:val="24"/>
          <w:szCs w:val="24"/>
        </w:rPr>
        <w:t xml:space="preserve">Git and GitHub provide the version-control backbone of the project. Git records every change as a commit — a small, named snapshot of the repository — so that the exact state of the code at submission time can be identified by a single commit hash, as required by the submission instructions. This matters more than it might seem: without commit history, there is no reliable way to prove which version of the code actually produced a given output file. Branches exist so that work can be developed in isolation before being merged into a shared line of history (</w:t>
      </w:r>
      <w:r>
        <w:rPr>
          <w:rFonts w:ascii="Times New Roman" w:cs="Times New Roman" w:eastAsia="Times New Roman" w:hAnsi="Times New Roman"/>
          <w:b w:val="false"/>
          <w:bCs w:val="false"/>
          <w:i/>
          <w:iCs/>
          <w:color w:val="000000"/>
          <w:sz w:val="24"/>
          <w:szCs w:val="24"/>
        </w:rPr>
        <w:t xml:space="preserve">main</w:t>
      </w:r>
      <w:r>
        <w:rPr>
          <w:rFonts w:ascii="Times New Roman" w:cs="Times New Roman" w:eastAsia="Times New Roman" w:hAnsi="Times New Roman"/>
          <w:b w:val="false"/>
          <w:bCs w:val="false"/>
          <w:i w:val="false"/>
          <w:iCs w:val="false"/>
          <w:color w:val="000000"/>
          <w:sz w:val="24"/>
          <w:szCs w:val="24"/>
        </w:rPr>
        <w:t xml:space="preserve">); this project used a single </w:t>
      </w:r>
      <w:r>
        <w:rPr>
          <w:rFonts w:ascii="Times New Roman" w:cs="Times New Roman" w:eastAsia="Times New Roman" w:hAnsi="Times New Roman"/>
          <w:b w:val="false"/>
          <w:bCs w:val="false"/>
          <w:i/>
          <w:iCs/>
          <w:color w:val="000000"/>
          <w:sz w:val="24"/>
          <w:szCs w:val="24"/>
        </w:rPr>
        <w:t xml:space="preserve">main</w:t>
      </w:r>
      <w:r>
        <w:rPr>
          <w:rFonts w:ascii="Times New Roman" w:cs="Times New Roman" w:eastAsia="Times New Roman" w:hAnsi="Times New Roman"/>
          <w:b w:val="false"/>
          <w:bCs w:val="false"/>
          <w:i w:val="false"/>
          <w:iCs w:val="false"/>
          <w:color w:val="000000"/>
          <w:sz w:val="24"/>
          <w:szCs w:val="24"/>
        </w:rPr>
        <w:t xml:space="preserve"> branch throughout, which is reasonable for a solo, linear taskphase but would become important once multiple people, or multiple experimental approaches, needed to coexist.</w:t>
      </w:r>
    </w:p>
    <w:p>
      <w:pPr>
        <w:spacing w:after="120" w:line="360" w:lineRule="auto"/>
        <w:jc w:val="both"/>
      </w:pPr>
      <w:r>
        <w:rPr>
          <w:rFonts w:ascii="Times New Roman" w:cs="Times New Roman" w:eastAsia="Times New Roman" w:hAnsi="Times New Roman"/>
          <w:b w:val="false"/>
          <w:bCs w:val="false"/>
          <w:i w:val="false"/>
          <w:iCs w:val="false"/>
          <w:color w:val="000000"/>
          <w:sz w:val="24"/>
          <w:szCs w:val="24"/>
        </w:rPr>
        <w:t xml:space="preserve">Repository hygiene was maintained by giving every task its own folder (</w:t>
      </w:r>
      <w:r>
        <w:rPr>
          <w:rFonts w:ascii="Times New Roman" w:cs="Times New Roman" w:eastAsia="Times New Roman" w:hAnsi="Times New Roman"/>
          <w:b w:val="false"/>
          <w:bCs w:val="false"/>
          <w:i/>
          <w:iCs/>
          <w:color w:val="000000"/>
          <w:sz w:val="24"/>
          <w:szCs w:val="24"/>
        </w:rPr>
        <w:t xml:space="preserve">task_1</w:t>
      </w:r>
      <w:r>
        <w:rPr>
          <w:rFonts w:ascii="Times New Roman" w:cs="Times New Roman" w:eastAsia="Times New Roman" w:hAnsi="Times New Roman"/>
          <w:b w:val="false"/>
          <w:bCs w:val="false"/>
          <w:i w:val="false"/>
          <w:iCs w:val="false"/>
          <w:color w:val="000000"/>
          <w:sz w:val="24"/>
          <w:szCs w:val="24"/>
        </w:rPr>
        <w:t xml:space="preserve"> through </w:t>
      </w:r>
      <w:r>
        <w:rPr>
          <w:rFonts w:ascii="Times New Roman" w:cs="Times New Roman" w:eastAsia="Times New Roman" w:hAnsi="Times New Roman"/>
          <w:b w:val="false"/>
          <w:bCs w:val="false"/>
          <w:i/>
          <w:iCs/>
          <w:color w:val="000000"/>
          <w:sz w:val="24"/>
          <w:szCs w:val="24"/>
        </w:rPr>
        <w:t xml:space="preserve">task_5</w:t>
      </w:r>
      <w:r>
        <w:rPr>
          <w:rFonts w:ascii="Times New Roman" w:cs="Times New Roman" w:eastAsia="Times New Roman" w:hAnsi="Times New Roman"/>
          <w:b w:val="false"/>
          <w:bCs w:val="false"/>
          <w:i w:val="false"/>
          <w:iCs w:val="false"/>
          <w:color w:val="000000"/>
          <w:sz w:val="24"/>
          <w:szCs w:val="24"/>
        </w:rPr>
        <w:t xml:space="preserve">), each with its own README describing how to run it. This keeps tasks independent and reviewable: a reader can evaluate Task 4 without first needing to understand Task 3. A Python virtual environment (</w:t>
      </w:r>
      <w:r>
        <w:rPr>
          <w:rFonts w:ascii="Times New Roman" w:cs="Times New Roman" w:eastAsia="Times New Roman" w:hAnsi="Times New Roman"/>
          <w:b w:val="false"/>
          <w:bCs w:val="false"/>
          <w:i/>
          <w:iCs/>
          <w:color w:val="000000"/>
          <w:sz w:val="24"/>
          <w:szCs w:val="24"/>
        </w:rPr>
        <w:t xml:space="preserve">venv</w:t>
      </w:r>
      <w:r>
        <w:rPr>
          <w:rFonts w:ascii="Times New Roman" w:cs="Times New Roman" w:eastAsia="Times New Roman" w:hAnsi="Times New Roman"/>
          <w:b w:val="false"/>
          <w:bCs w:val="false"/>
          <w:i w:val="false"/>
          <w:iCs w:val="false"/>
          <w:color w:val="000000"/>
          <w:sz w:val="24"/>
          <w:szCs w:val="24"/>
        </w:rPr>
        <w:t xml:space="preserve">) isolates the project's dependencies from the system-wide Python installation, so that installing pandas or matplotlib for this project cannot silently break, or be broken by, an unrelated project. </w:t>
      </w:r>
      <w:r>
        <w:rPr>
          <w:rFonts w:ascii="Times New Roman" w:cs="Times New Roman" w:eastAsia="Times New Roman" w:hAnsi="Times New Roman"/>
          <w:b w:val="false"/>
          <w:bCs w:val="false"/>
          <w:i/>
          <w:iCs/>
          <w:color w:val="000000"/>
          <w:sz w:val="24"/>
          <w:szCs w:val="24"/>
        </w:rPr>
        <w:t xml:space="preserve">requirements.txt</w:t>
      </w:r>
      <w:r>
        <w:rPr>
          <w:rFonts w:ascii="Times New Roman" w:cs="Times New Roman" w:eastAsia="Times New Roman" w:hAnsi="Times New Roman"/>
          <w:b w:val="false"/>
          <w:bCs w:val="false"/>
          <w:i w:val="false"/>
          <w:iCs w:val="false"/>
          <w:color w:val="000000"/>
          <w:sz w:val="24"/>
          <w:szCs w:val="24"/>
        </w:rPr>
        <w:t xml:space="preserve"> records exactly which packages — and, in Task 1's case, which exact versions, generated with </w:t>
      </w:r>
      <w:r>
        <w:rPr>
          <w:rFonts w:ascii="Times New Roman" w:cs="Times New Roman" w:eastAsia="Times New Roman" w:hAnsi="Times New Roman"/>
          <w:b w:val="false"/>
          <w:bCs w:val="false"/>
          <w:i/>
          <w:iCs/>
          <w:color w:val="000000"/>
          <w:sz w:val="24"/>
          <w:szCs w:val="24"/>
        </w:rPr>
        <w:t xml:space="preserve">pip freeze</w:t>
      </w:r>
      <w:r>
        <w:rPr>
          <w:rFonts w:ascii="Times New Roman" w:cs="Times New Roman" w:eastAsia="Times New Roman" w:hAnsi="Times New Roman"/>
          <w:b w:val="false"/>
          <w:bCs w:val="false"/>
          <w:i w:val="false"/>
          <w:iCs w:val="false"/>
          <w:color w:val="000000"/>
          <w:sz w:val="24"/>
          <w:szCs w:val="24"/>
        </w:rPr>
        <w:t xml:space="preserve"> — are needed, so a reviewer can recreate the same environment with one command instead of guessing. Finally, </w:t>
      </w:r>
      <w:r>
        <w:rPr>
          <w:rFonts w:ascii="Times New Roman" w:cs="Times New Roman" w:eastAsia="Times New Roman" w:hAnsi="Times New Roman"/>
          <w:b w:val="false"/>
          <w:bCs w:val="false"/>
          <w:i/>
          <w:iCs/>
          <w:color w:val="000000"/>
          <w:sz w:val="24"/>
          <w:szCs w:val="24"/>
        </w:rPr>
        <w:t xml:space="preserve">.gitignore</w:t>
      </w:r>
      <w:r>
        <w:rPr>
          <w:rFonts w:ascii="Times New Roman" w:cs="Times New Roman" w:eastAsia="Times New Roman" w:hAnsi="Times New Roman"/>
          <w:b w:val="false"/>
          <w:bCs w:val="false"/>
          <w:i w:val="false"/>
          <w:iCs w:val="false"/>
          <w:color w:val="000000"/>
          <w:sz w:val="24"/>
          <w:szCs w:val="24"/>
        </w:rPr>
        <w:t xml:space="preserve"> excludes machine-specific or regenerable files, such as the </w:t>
      </w:r>
      <w:r>
        <w:rPr>
          <w:rFonts w:ascii="Times New Roman" w:cs="Times New Roman" w:eastAsia="Times New Roman" w:hAnsi="Times New Roman"/>
          <w:b w:val="false"/>
          <w:bCs w:val="false"/>
          <w:i/>
          <w:iCs/>
          <w:color w:val="000000"/>
          <w:sz w:val="24"/>
          <w:szCs w:val="24"/>
        </w:rPr>
        <w:t xml:space="preserve">venv/</w:t>
      </w:r>
      <w:r>
        <w:rPr>
          <w:rFonts w:ascii="Times New Roman" w:cs="Times New Roman" w:eastAsia="Times New Roman" w:hAnsi="Times New Roman"/>
          <w:b w:val="false"/>
          <w:bCs w:val="false"/>
          <w:i w:val="false"/>
          <w:iCs w:val="false"/>
          <w:color w:val="000000"/>
          <w:sz w:val="24"/>
          <w:szCs w:val="24"/>
        </w:rPr>
        <w:t xml:space="preserve"> folder itself, Python's </w:t>
      </w:r>
      <w:r>
        <w:rPr>
          <w:rFonts w:ascii="Times New Roman" w:cs="Times New Roman" w:eastAsia="Times New Roman" w:hAnsi="Times New Roman"/>
          <w:b w:val="false"/>
          <w:bCs w:val="false"/>
          <w:i/>
          <w:iCs/>
          <w:color w:val="000000"/>
          <w:sz w:val="24"/>
          <w:szCs w:val="24"/>
        </w:rPr>
        <w:t xml:space="preserve">__pycache__</w:t>
      </w:r>
      <w:r>
        <w:rPr>
          <w:rFonts w:ascii="Times New Roman" w:cs="Times New Roman" w:eastAsia="Times New Roman" w:hAnsi="Times New Roman"/>
          <w:b w:val="false"/>
          <w:bCs w:val="false"/>
          <w:i w:val="false"/>
          <w:iCs w:val="false"/>
          <w:color w:val="000000"/>
          <w:sz w:val="24"/>
          <w:szCs w:val="24"/>
        </w:rPr>
        <w:t xml:space="preserve"> bytecode cache, and OS files like </w:t>
      </w:r>
      <w:r>
        <w:rPr>
          <w:rFonts w:ascii="Times New Roman" w:cs="Times New Roman" w:eastAsia="Times New Roman" w:hAnsi="Times New Roman"/>
          <w:b w:val="false"/>
          <w:bCs w:val="false"/>
          <w:i/>
          <w:iCs/>
          <w:color w:val="000000"/>
          <w:sz w:val="24"/>
          <w:szCs w:val="24"/>
        </w:rPr>
        <w:t xml:space="preserve">Thumbs.db</w:t>
      </w:r>
      <w:r>
        <w:rPr>
          <w:rFonts w:ascii="Times New Roman" w:cs="Times New Roman" w:eastAsia="Times New Roman" w:hAnsi="Times New Roman"/>
          <w:b w:val="false"/>
          <w:bCs w:val="false"/>
          <w:i w:val="false"/>
          <w:iCs w:val="false"/>
          <w:color w:val="000000"/>
          <w:sz w:val="24"/>
          <w:szCs w:val="24"/>
        </w:rPr>
        <w:t xml:space="preserve">, keeping the repository focused on source code rather than local build artefacts.</w:t>
      </w:r>
    </w:p>
    <w:p>
      <w:pPr>
        <w:pStyle w:val="Heading1"/>
      </w:pPr>
      <w:r>
        <w:rPr>
          <w:rFonts w:ascii="Times New Roman" w:cs="Times New Roman" w:eastAsia="Times New Roman" w:hAnsi="Times New Roman"/>
          <w:b/>
          <w:bCs/>
          <w:color w:val="000000"/>
          <w:sz w:val="32"/>
          <w:szCs w:val="32"/>
        </w:rPr>
        <w:t xml:space="preserve">Python and File Handling Concepts</w:t>
      </w:r>
    </w:p>
    <w:p>
      <w:pPr>
        <w:spacing w:after="120" w:line="360" w:lineRule="auto"/>
        <w:jc w:val="both"/>
      </w:pPr>
      <w:r>
        <w:rPr>
          <w:rFonts w:ascii="Times New Roman" w:cs="Times New Roman" w:eastAsia="Times New Roman" w:hAnsi="Times New Roman"/>
          <w:b w:val="false"/>
          <w:bCs w:val="false"/>
          <w:i w:val="false"/>
          <w:iCs w:val="false"/>
          <w:color w:val="000000"/>
          <w:sz w:val="24"/>
          <w:szCs w:val="24"/>
        </w:rPr>
        <w:t xml:space="preserve">Several Python constructs recur across Tasks 2 to 5 because they map naturally onto tabular data. A dictionary is a natural fit for one CSV row: each column name becomes a key and each cell becomes a value, mirroring how a row is just a set of named fields, and a list of such dictionaries mirrors the whole table. Functions break the pipeline into named, independently testable steps — </w:t>
      </w:r>
      <w:r>
        <w:rPr>
          <w:rFonts w:ascii="Times New Roman" w:cs="Times New Roman" w:eastAsia="Times New Roman" w:hAnsi="Times New Roman"/>
          <w:b w:val="false"/>
          <w:bCs w:val="false"/>
          <w:i/>
          <w:iCs/>
          <w:color w:val="000000"/>
          <w:sz w:val="24"/>
          <w:szCs w:val="24"/>
        </w:rPr>
        <w:t xml:space="preserve">read_csv_manual</w:t>
      </w:r>
      <w:r>
        <w:rPr>
          <w:rFonts w:ascii="Times New Roman" w:cs="Times New Roman" w:eastAsia="Times New Roman" w:hAnsi="Times New Roman"/>
          <w:b w:val="false"/>
          <w:bCs w:val="false"/>
          <w:i w:val="false"/>
          <w:iCs w:val="false"/>
          <w:color w:val="000000"/>
          <w:sz w:val="24"/>
          <w:szCs w:val="24"/>
        </w:rPr>
        <w:t xml:space="preserve">, </w:t>
      </w:r>
      <w:r>
        <w:rPr>
          <w:rFonts w:ascii="Times New Roman" w:cs="Times New Roman" w:eastAsia="Times New Roman" w:hAnsi="Times New Roman"/>
          <w:b w:val="false"/>
          <w:bCs w:val="false"/>
          <w:i/>
          <w:iCs/>
          <w:color w:val="000000"/>
          <w:sz w:val="24"/>
          <w:szCs w:val="24"/>
        </w:rPr>
        <w:t xml:space="preserve">convert_types</w:t>
      </w:r>
      <w:r>
        <w:rPr>
          <w:rFonts w:ascii="Times New Roman" w:cs="Times New Roman" w:eastAsia="Times New Roman" w:hAnsi="Times New Roman"/>
          <w:b w:val="false"/>
          <w:bCs w:val="false"/>
          <w:i w:val="false"/>
          <w:iCs w:val="false"/>
          <w:color w:val="000000"/>
          <w:sz w:val="24"/>
          <w:szCs w:val="24"/>
        </w:rPr>
        <w:t xml:space="preserve">, </w:t>
      </w:r>
      <w:r>
        <w:rPr>
          <w:rFonts w:ascii="Times New Roman" w:cs="Times New Roman" w:eastAsia="Times New Roman" w:hAnsi="Times New Roman"/>
          <w:b w:val="false"/>
          <w:bCs w:val="false"/>
          <w:i/>
          <w:iCs/>
          <w:color w:val="000000"/>
          <w:sz w:val="24"/>
          <w:szCs w:val="24"/>
        </w:rPr>
        <w:t xml:space="preserve">calculate_summary</w:t>
      </w:r>
      <w:r>
        <w:rPr>
          <w:rFonts w:ascii="Times New Roman" w:cs="Times New Roman" w:eastAsia="Times New Roman" w:hAnsi="Times New Roman"/>
          <w:b w:val="false"/>
          <w:bCs w:val="false"/>
          <w:i w:val="false"/>
          <w:iCs w:val="false"/>
          <w:color w:val="000000"/>
          <w:sz w:val="24"/>
          <w:szCs w:val="24"/>
        </w:rPr>
        <w:t xml:space="preserve">, and so on — instead of one long script; this also made it possible to specify exactly which functions each task required, since a well-named function documents what it does without needing comments.</w:t>
      </w:r>
    </w:p>
    <w:p>
      <w:pPr>
        <w:spacing w:after="120" w:line="360" w:lineRule="auto"/>
        <w:jc w:val="both"/>
      </w:pPr>
      <w:r>
        <w:rPr>
          <w:rFonts w:ascii="Times New Roman" w:cs="Times New Roman" w:eastAsia="Times New Roman" w:hAnsi="Times New Roman"/>
          <w:b w:val="false"/>
          <w:bCs w:val="false"/>
          <w:i w:val="false"/>
          <w:iCs w:val="false"/>
          <w:color w:val="000000"/>
          <w:sz w:val="24"/>
          <w:szCs w:val="24"/>
        </w:rPr>
        <w:t xml:space="preserve">File I/O throughout the tasks uses the </w:t>
      </w:r>
      <w:r>
        <w:rPr>
          <w:rFonts w:ascii="Times New Roman" w:cs="Times New Roman" w:eastAsia="Times New Roman" w:hAnsi="Times New Roman"/>
          <w:b w:val="false"/>
          <w:bCs w:val="false"/>
          <w:i/>
          <w:iCs/>
          <w:color w:val="000000"/>
          <w:sz w:val="24"/>
          <w:szCs w:val="24"/>
        </w:rPr>
        <w:t xml:space="preserve">with open(...) as f:</w:t>
      </w:r>
      <w:r>
        <w:rPr>
          <w:rFonts w:ascii="Times New Roman" w:cs="Times New Roman" w:eastAsia="Times New Roman" w:hAnsi="Times New Roman"/>
          <w:b w:val="false"/>
          <w:bCs w:val="false"/>
          <w:i w:val="false"/>
          <w:iCs w:val="false"/>
          <w:color w:val="000000"/>
          <w:sz w:val="24"/>
          <w:szCs w:val="24"/>
        </w:rPr>
        <w:t xml:space="preserve"> pattern. This context-manager form guarantees the file is closed even if an error occurs while reading it, which matters once exception handling enters the picture: several functions catch </w:t>
      </w:r>
      <w:r>
        <w:rPr>
          <w:rFonts w:ascii="Times New Roman" w:cs="Times New Roman" w:eastAsia="Times New Roman" w:hAnsi="Times New Roman"/>
          <w:b w:val="false"/>
          <w:bCs w:val="false"/>
          <w:i/>
          <w:iCs/>
          <w:color w:val="000000"/>
          <w:sz w:val="24"/>
          <w:szCs w:val="24"/>
        </w:rPr>
        <w:t xml:space="preserve">ValueError</w:t>
      </w:r>
      <w:r>
        <w:rPr>
          <w:rFonts w:ascii="Times New Roman" w:cs="Times New Roman" w:eastAsia="Times New Roman" w:hAnsi="Times New Roman"/>
          <w:b w:val="false"/>
          <w:bCs w:val="false"/>
          <w:i w:val="false"/>
          <w:iCs w:val="false"/>
          <w:color w:val="000000"/>
          <w:sz w:val="24"/>
          <w:szCs w:val="24"/>
        </w:rPr>
        <w:t xml:space="preserve"> or </w:t>
      </w:r>
      <w:r>
        <w:rPr>
          <w:rFonts w:ascii="Times New Roman" w:cs="Times New Roman" w:eastAsia="Times New Roman" w:hAnsi="Times New Roman"/>
          <w:b w:val="false"/>
          <w:bCs w:val="false"/>
          <w:i/>
          <w:iCs/>
          <w:color w:val="000000"/>
          <w:sz w:val="24"/>
          <w:szCs w:val="24"/>
        </w:rPr>
        <w:t xml:space="preserve">KeyError</w:t>
      </w:r>
      <w:r>
        <w:rPr>
          <w:rFonts w:ascii="Times New Roman" w:cs="Times New Roman" w:eastAsia="Times New Roman" w:hAnsi="Times New Roman"/>
          <w:b w:val="false"/>
          <w:bCs w:val="false"/>
          <w:i w:val="false"/>
          <w:iCs w:val="false"/>
          <w:color w:val="000000"/>
          <w:sz w:val="24"/>
          <w:szCs w:val="24"/>
        </w:rPr>
        <w:t xml:space="preserve"> around type conversion — for example, when a score field is not a valid integer — and skip the offending row with a warning instead of letting the whole program crash. This is a deliberate trade-off, favouring a program that completes with a clearly logged skip over one that halts entirely on the first bad row. Type hints such as </w:t>
      </w:r>
      <w:r>
        <w:rPr>
          <w:rFonts w:ascii="Times New Roman" w:cs="Times New Roman" w:eastAsia="Times New Roman" w:hAnsi="Times New Roman"/>
          <w:b w:val="false"/>
          <w:bCs w:val="false"/>
          <w:i/>
          <w:iCs/>
          <w:color w:val="000000"/>
          <w:sz w:val="24"/>
          <w:szCs w:val="24"/>
        </w:rPr>
        <w:t xml:space="preserve">file_path: str</w:t>
      </w:r>
      <w:r>
        <w:rPr>
          <w:rFonts w:ascii="Times New Roman" w:cs="Times New Roman" w:eastAsia="Times New Roman" w:hAnsi="Times New Roman"/>
          <w:b w:val="false"/>
          <w:bCs w:val="false"/>
          <w:i w:val="false"/>
          <w:iCs w:val="false"/>
          <w:color w:val="000000"/>
          <w:sz w:val="24"/>
          <w:szCs w:val="24"/>
        </w:rPr>
        <w:t xml:space="preserve"> and </w:t>
      </w:r>
      <w:r>
        <w:rPr>
          <w:rFonts w:ascii="Times New Roman" w:cs="Times New Roman" w:eastAsia="Times New Roman" w:hAnsi="Times New Roman"/>
          <w:b w:val="false"/>
          <w:bCs w:val="false"/>
          <w:i/>
          <w:iCs/>
          <w:color w:val="000000"/>
          <w:sz w:val="24"/>
          <w:szCs w:val="24"/>
        </w:rPr>
        <w:t xml:space="preserve">-&gt; list[dict]</w:t>
      </w:r>
      <w:r>
        <w:rPr>
          <w:rFonts w:ascii="Times New Roman" w:cs="Times New Roman" w:eastAsia="Times New Roman" w:hAnsi="Times New Roman"/>
          <w:b w:val="false"/>
          <w:bCs w:val="false"/>
          <w:i w:val="false"/>
          <w:iCs w:val="false"/>
          <w:color w:val="000000"/>
          <w:sz w:val="24"/>
          <w:szCs w:val="24"/>
        </w:rPr>
        <w:t xml:space="preserve"> do not change how the code runs; Python does not enforce them at runtime. Their value is documentation and tooling: a reader, or an IDE, can see what a function expects and returns without reading its body.</w:t>
      </w:r>
    </w:p>
    <w:p>
      <w:pPr>
        <w:pStyle w:val="Heading1"/>
      </w:pPr>
      <w:r>
        <w:rPr>
          <w:rFonts w:ascii="Times New Roman" w:cs="Times New Roman" w:eastAsia="Times New Roman" w:hAnsi="Times New Roman"/>
          <w:b/>
          <w:bCs/>
          <w:color w:val="000000"/>
          <w:sz w:val="32"/>
          <w:szCs w:val="32"/>
        </w:rPr>
        <w:t xml:space="preserve">CSV Parsing and Pandas</w:t>
      </w:r>
    </w:p>
    <w:p>
      <w:pPr>
        <w:spacing w:after="120" w:line="360" w:lineRule="auto"/>
        <w:jc w:val="both"/>
      </w:pPr>
      <w:r>
        <w:rPr>
          <w:rFonts w:ascii="Times New Roman" w:cs="Times New Roman" w:eastAsia="Times New Roman" w:hAnsi="Times New Roman"/>
          <w:b w:val="false"/>
          <w:bCs w:val="false"/>
          <w:i w:val="false"/>
          <w:iCs w:val="false"/>
          <w:color w:val="000000"/>
          <w:sz w:val="24"/>
          <w:szCs w:val="24"/>
        </w:rPr>
        <w:t xml:space="preserve">A CSV file is plain text: a header line naming the columns, followed by one line per record, with fields separated by commas. Every value is, at the level of the raw text, a string — there is no built-in distinction between the number 8 and the text "8" until something decides to convert it. Task 3 makes this explicit by building a parser by hand: it reads the file line by line, splits the header and each row on commas, and pairs them into a dictionary, skipping blank lines and any row whose number of fields does not match the header. Only after this structural parsing does a separate step, </w:t>
      </w:r>
      <w:r>
        <w:rPr>
          <w:rFonts w:ascii="Times New Roman" w:cs="Times New Roman" w:eastAsia="Times New Roman" w:hAnsi="Times New Roman"/>
          <w:b w:val="false"/>
          <w:bCs w:val="false"/>
          <w:i/>
          <w:iCs/>
          <w:color w:val="000000"/>
          <w:sz w:val="24"/>
          <w:szCs w:val="24"/>
        </w:rPr>
        <w:t xml:space="preserve">convert_types</w:t>
      </w:r>
      <w:r>
        <w:rPr>
          <w:rFonts w:ascii="Times New Roman" w:cs="Times New Roman" w:eastAsia="Times New Roman" w:hAnsi="Times New Roman"/>
          <w:b w:val="false"/>
          <w:bCs w:val="false"/>
          <w:i w:val="false"/>
          <w:iCs w:val="false"/>
          <w:color w:val="000000"/>
          <w:sz w:val="24"/>
          <w:szCs w:val="24"/>
        </w:rPr>
        <w:t xml:space="preserve">, decide that the score column should become an integer and that the submitted column should become a boolean.</w:t>
      </w:r>
    </w:p>
    <w:p>
      <w:pPr>
        <w:spacing w:after="120" w:line="360" w:lineRule="auto"/>
        <w:jc w:val="both"/>
      </w:pPr>
      <w:r>
        <w:rPr>
          <w:rFonts w:ascii="Times New Roman" w:cs="Times New Roman" w:eastAsia="Times New Roman" w:hAnsi="Times New Roman"/>
          <w:b w:val="false"/>
          <w:bCs w:val="false"/>
          <w:i w:val="false"/>
          <w:iCs w:val="false"/>
          <w:color w:val="000000"/>
          <w:sz w:val="24"/>
          <w:szCs w:val="24"/>
        </w:rPr>
        <w:t xml:space="preserve">pandas' </w:t>
      </w:r>
      <w:r>
        <w:rPr>
          <w:rFonts w:ascii="Times New Roman" w:cs="Times New Roman" w:eastAsia="Times New Roman" w:hAnsi="Times New Roman"/>
          <w:b w:val="false"/>
          <w:bCs w:val="false"/>
          <w:i/>
          <w:iCs/>
          <w:color w:val="000000"/>
          <w:sz w:val="24"/>
          <w:szCs w:val="24"/>
        </w:rPr>
        <w:t xml:space="preserve">read_csv()</w:t>
      </w:r>
      <w:r>
        <w:rPr>
          <w:rFonts w:ascii="Times New Roman" w:cs="Times New Roman" w:eastAsia="Times New Roman" w:hAnsi="Times New Roman"/>
          <w:b w:val="false"/>
          <w:bCs w:val="false"/>
          <w:i w:val="false"/>
          <w:iCs w:val="false"/>
          <w:color w:val="000000"/>
          <w:sz w:val="24"/>
          <w:szCs w:val="24"/>
        </w:rPr>
        <w:t xml:space="preserve"> performs the same structural parsing and type inference automatically, and replaces explicit loops with vectorised operations such as </w:t>
      </w:r>
      <w:r>
        <w:rPr>
          <w:rFonts w:ascii="Times New Roman" w:cs="Times New Roman" w:eastAsia="Times New Roman" w:hAnsi="Times New Roman"/>
          <w:b w:val="false"/>
          <w:bCs w:val="false"/>
          <w:i/>
          <w:iCs/>
          <w:color w:val="000000"/>
          <w:sz w:val="24"/>
          <w:szCs w:val="24"/>
        </w:rPr>
        <w:t xml:space="preserve">groupby</w:t>
      </w:r>
      <w:r>
        <w:rPr>
          <w:rFonts w:ascii="Times New Roman" w:cs="Times New Roman" w:eastAsia="Times New Roman" w:hAnsi="Times New Roman"/>
          <w:b w:val="false"/>
          <w:bCs w:val="false"/>
          <w:i w:val="false"/>
          <w:iCs w:val="false"/>
          <w:color w:val="000000"/>
          <w:sz w:val="24"/>
          <w:szCs w:val="24"/>
        </w:rPr>
        <w:t xml:space="preserve"> and </w:t>
      </w:r>
      <w:r>
        <w:rPr>
          <w:rFonts w:ascii="Times New Roman" w:cs="Times New Roman" w:eastAsia="Times New Roman" w:hAnsi="Times New Roman"/>
          <w:b w:val="false"/>
          <w:bCs w:val="false"/>
          <w:i/>
          <w:iCs/>
          <w:color w:val="000000"/>
          <w:sz w:val="24"/>
          <w:szCs w:val="24"/>
        </w:rPr>
        <w:t xml:space="preserve">mean</w:t>
      </w:r>
      <w:r>
        <w:rPr>
          <w:rFonts w:ascii="Times New Roman" w:cs="Times New Roman" w:eastAsia="Times New Roman" w:hAnsi="Times New Roman"/>
          <w:b w:val="false"/>
          <w:bCs w:val="false"/>
          <w:i w:val="false"/>
          <w:iCs w:val="false"/>
          <w:color w:val="000000"/>
          <w:sz w:val="24"/>
          <w:szCs w:val="24"/>
        </w:rPr>
        <w:t xml:space="preserve">. Building the manual version first, and then reproducing the same nine summary statistics with pandas, served as a way to check that the manual implementation was not just superficially working but actually correct: in this project, every statistic — totals, averages, the highest and lowest scorers, and the per-domain averages — matched exactly between the two implementations. This is also the practical argument for preferring a library like pandas in real work: the manual parser is valuable for understanding what is happening underneath, but it does not handle quoted commas, multi-line fields, or large files efficiently, all of which pandas handles by default.</w:t>
      </w:r>
    </w:p>
    <w:p>
      <w:pPr>
        <w:pStyle w:val="Heading1"/>
      </w:pPr>
      <w:r>
        <w:rPr>
          <w:rFonts w:ascii="Times New Roman" w:cs="Times New Roman" w:eastAsia="Times New Roman" w:hAnsi="Times New Roman"/>
          <w:b/>
          <w:bCs/>
          <w:color w:val="000000"/>
          <w:sz w:val="32"/>
          <w:szCs w:val="32"/>
        </w:rPr>
        <w:t xml:space="preserve">Data Cleaning</w:t>
      </w:r>
    </w:p>
    <w:p>
      <w:pPr>
        <w:spacing w:after="120" w:line="360" w:lineRule="auto"/>
        <w:jc w:val="both"/>
      </w:pPr>
      <w:r>
        <w:rPr>
          <w:rFonts w:ascii="Times New Roman" w:cs="Times New Roman" w:eastAsia="Times New Roman" w:hAnsi="Times New Roman"/>
          <w:b w:val="false"/>
          <w:bCs w:val="false"/>
          <w:i w:val="false"/>
          <w:iCs w:val="false"/>
          <w:color w:val="000000"/>
          <w:sz w:val="24"/>
          <w:szCs w:val="24"/>
        </w:rPr>
        <w:t xml:space="preserve">Task 4's input file was deliberately messy in several independent ways, and each needed its own rule rather than a single blanket fix. Categorical values were inconsistent ("ml", "ML", and "MACHINE LEARNING" all mean the same domain) and were mapped to one canonical label per domain. Numeric fields were recorded in mixed units or as words instead of digits — heights as "170 cm" or "1.62 m", weights as "65 kg" or "55kg", scores and study hours occasionally spelled out ("nine", "two") — so each column needed its own conversion function before it could be treated as a number at all. One row (student S005) was an exact duplicate and was dropped outright, since keeping it would silently double-count that student in every later average.</w:t>
      </w:r>
    </w:p>
    <w:p>
      <w:pPr>
        <w:spacing w:after="120" w:line="360" w:lineRule="auto"/>
        <w:jc w:val="both"/>
      </w:pPr>
      <w:r>
        <w:rPr>
          <w:rFonts w:ascii="Times New Roman" w:cs="Times New Roman" w:eastAsia="Times New Roman" w:hAnsi="Times New Roman"/>
          <w:b w:val="false"/>
          <w:bCs w:val="false"/>
          <w:i w:val="false"/>
          <w:iCs w:val="false"/>
          <w:color w:val="000000"/>
          <w:sz w:val="24"/>
          <w:szCs w:val="24"/>
        </w:rPr>
        <w:t xml:space="preserve">Two further situations needed an explicit, documented choice rather than a default. First, some attendance values fell outside the only sensible range for a percentage — a recorded −10% and a recorded 105% — and were treated as invalid and replaced, since deleting the row would also discard that student's otherwise-valid score and study-hours data. Second, several cells were genuinely missing. Both the invalid attendance values and the missing numeric values were filled using each column's median rather than its mean, because a median is far less sensitive to the small number of extreme or invalid values already present in this dataset, and because filling rather than dropping preserved every student's other recorded fields. Table 2 records each issue alongside the rule applied to it.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2700"/>
        <w:gridCol w:w="3926"/>
      </w:tblGrid>
      <w:tr>
        <w:trPr>
          <w:tblHeader/>
        </w:trPr>
        <w:tc>
          <w:tcPr>
            <w:tcW w:type="dxa" w:w="2400"/>
            <w:tcBorders>
              <w:top w:val="single" w:color="8C8C8C" w:sz="4"/>
              <w:left w:val="single" w:color="8C8C8C" w:sz="4"/>
              <w:bottom w:val="single" w:color="8C8C8C" w:sz="4"/>
              <w:right w:val="single" w:color="8C8C8C" w:sz="4"/>
            </w:tcBorders>
            <w:shd w:fill="DCE9F7" w:val="clear"/>
            <w:tcMar>
              <w:top w:type="dxa" w:w="80"/>
              <w:left w:type="dxa" w:w="120"/>
              <w:bottom w:type="dxa" w:w="80"/>
              <w:right w:type="dxa" w:w="120"/>
            </w:tcMar>
            <w:vAlign w:val="center"/>
          </w:tcPr>
          <w:p>
            <w:pPr>
              <w:jc w:val="left"/>
            </w:pPr>
            <w:r>
              <w:rPr>
                <w:rFonts w:ascii="Times New Roman" w:cs="Times New Roman" w:eastAsia="Times New Roman" w:hAnsi="Times New Roman"/>
                <w:b/>
                <w:bCs/>
                <w:sz w:val="22"/>
                <w:szCs w:val="22"/>
              </w:rPr>
              <w:t xml:space="preserve">Data Issue</w:t>
            </w:r>
          </w:p>
        </w:tc>
        <w:tc>
          <w:tcPr>
            <w:tcW w:type="dxa" w:w="2700"/>
            <w:tcBorders>
              <w:top w:val="single" w:color="8C8C8C" w:sz="4"/>
              <w:left w:val="single" w:color="8C8C8C" w:sz="4"/>
              <w:bottom w:val="single" w:color="8C8C8C" w:sz="4"/>
              <w:right w:val="single" w:color="8C8C8C" w:sz="4"/>
            </w:tcBorders>
            <w:shd w:fill="DCE9F7" w:val="clear"/>
            <w:tcMar>
              <w:top w:type="dxa" w:w="80"/>
              <w:left w:type="dxa" w:w="120"/>
              <w:bottom w:type="dxa" w:w="80"/>
              <w:right w:type="dxa" w:w="120"/>
            </w:tcMar>
            <w:vAlign w:val="center"/>
          </w:tcPr>
          <w:p>
            <w:pPr>
              <w:jc w:val="left"/>
            </w:pPr>
            <w:r>
              <w:rPr>
                <w:rFonts w:ascii="Times New Roman" w:cs="Times New Roman" w:eastAsia="Times New Roman" w:hAnsi="Times New Roman"/>
                <w:b/>
                <w:bCs/>
                <w:sz w:val="22"/>
                <w:szCs w:val="22"/>
              </w:rPr>
              <w:t xml:space="preserve">Example</w:t>
            </w:r>
          </w:p>
        </w:tc>
        <w:tc>
          <w:tcPr>
            <w:tcW w:type="dxa" w:w="3926"/>
            <w:tcBorders>
              <w:top w:val="single" w:color="8C8C8C" w:sz="4"/>
              <w:left w:val="single" w:color="8C8C8C" w:sz="4"/>
              <w:bottom w:val="single" w:color="8C8C8C" w:sz="4"/>
              <w:right w:val="single" w:color="8C8C8C" w:sz="4"/>
            </w:tcBorders>
            <w:shd w:fill="DCE9F7" w:val="clear"/>
            <w:tcMar>
              <w:top w:type="dxa" w:w="80"/>
              <w:left w:type="dxa" w:w="120"/>
              <w:bottom w:type="dxa" w:w="80"/>
              <w:right w:type="dxa" w:w="120"/>
            </w:tcMar>
            <w:vAlign w:val="center"/>
          </w:tcPr>
          <w:p>
            <w:pPr>
              <w:jc w:val="left"/>
            </w:pPr>
            <w:r>
              <w:rPr>
                <w:rFonts w:ascii="Times New Roman" w:cs="Times New Roman" w:eastAsia="Times New Roman" w:hAnsi="Times New Roman"/>
                <w:b/>
                <w:bCs/>
                <w:sz w:val="22"/>
                <w:szCs w:val="22"/>
              </w:rPr>
              <w:t xml:space="preserve">Cleaning Rule Applied</w:t>
            </w:r>
          </w:p>
        </w:tc>
      </w:tr>
      <w:tr>
        <w:tc>
          <w:tcPr>
            <w:tcW w:type="dxa" w:w="2400"/>
            <w:tcBorders>
              <w:top w:val="single" w:color="8C8C8C" w:sz="4"/>
              <w:left w:val="single" w:color="8C8C8C" w:sz="4"/>
              <w:bottom w:val="single" w:color="8C8C8C" w:sz="4"/>
              <w:right w:val="single" w:color="8C8C8C" w:sz="4"/>
            </w:tcBorders>
            <w:tcMar>
              <w:top w:type="dxa" w:w="80"/>
              <w:left w:type="dxa" w:w="120"/>
              <w:bottom w:type="dxa" w:w="80"/>
              <w:right w:type="dxa" w:w="120"/>
            </w:tcMar>
            <w:vAlign w:val="center"/>
          </w:tcPr>
          <w:p>
            <w:pPr>
              <w:spacing w:line="276" w:lineRule="auto"/>
              <w:jc w:val="left"/>
            </w:pPr>
            <w:r>
              <w:rPr>
                <w:rFonts w:ascii="Times New Roman" w:cs="Times New Roman" w:eastAsia="Times New Roman" w:hAnsi="Times New Roman"/>
                <w:b w:val="false"/>
                <w:bCs w:val="false"/>
                <w:i w:val="false"/>
                <w:iCs w:val="false"/>
                <w:color w:val="000000"/>
                <w:sz w:val="21"/>
                <w:szCs w:val="21"/>
              </w:rPr>
              <w:t xml:space="preserve">Inconsistent categories</w:t>
            </w:r>
          </w:p>
        </w:tc>
        <w:tc>
          <w:tcPr>
            <w:tcW w:type="dxa" w:w="2700"/>
            <w:tcBorders>
              <w:top w:val="single" w:color="8C8C8C" w:sz="4"/>
              <w:left w:val="single" w:color="8C8C8C" w:sz="4"/>
              <w:bottom w:val="single" w:color="8C8C8C" w:sz="4"/>
              <w:right w:val="single" w:color="8C8C8C" w:sz="4"/>
            </w:tcBorders>
            <w:tcMar>
              <w:top w:type="dxa" w:w="80"/>
              <w:left w:type="dxa" w:w="120"/>
              <w:bottom w:type="dxa" w:w="80"/>
              <w:right w:type="dxa" w:w="120"/>
            </w:tcMar>
            <w:vAlign w:val="center"/>
          </w:tcPr>
          <w:p>
            <w:pPr>
              <w:spacing w:line="276" w:lineRule="auto"/>
              <w:jc w:val="left"/>
            </w:pPr>
            <w:r>
              <w:rPr>
                <w:rFonts w:ascii="Times New Roman" w:cs="Times New Roman" w:eastAsia="Times New Roman" w:hAnsi="Times New Roman"/>
                <w:b w:val="false"/>
                <w:bCs w:val="false"/>
                <w:i w:val="false"/>
                <w:iCs w:val="false"/>
                <w:color w:val="000000"/>
                <w:sz w:val="21"/>
                <w:szCs w:val="21"/>
              </w:rPr>
              <w:t xml:space="preserve">"ml", "MACHINE LEARNING"</w:t>
            </w:r>
          </w:p>
        </w:tc>
        <w:tc>
          <w:tcPr>
            <w:tcW w:type="dxa" w:w="3926"/>
            <w:tcBorders>
              <w:top w:val="single" w:color="8C8C8C" w:sz="4"/>
              <w:left w:val="single" w:color="8C8C8C" w:sz="4"/>
              <w:bottom w:val="single" w:color="8C8C8C" w:sz="4"/>
              <w:right w:val="single" w:color="8C8C8C" w:sz="4"/>
            </w:tcBorders>
            <w:tcMar>
              <w:top w:type="dxa" w:w="80"/>
              <w:left w:type="dxa" w:w="120"/>
              <w:bottom w:type="dxa" w:w="80"/>
              <w:right w:type="dxa" w:w="120"/>
            </w:tcMar>
            <w:vAlign w:val="center"/>
          </w:tcPr>
          <w:p>
            <w:pPr>
              <w:spacing w:line="276" w:lineRule="auto"/>
              <w:jc w:val="left"/>
            </w:pPr>
            <w:r>
              <w:rPr>
                <w:rFonts w:ascii="Times New Roman" w:cs="Times New Roman" w:eastAsia="Times New Roman" w:hAnsi="Times New Roman"/>
                <w:b w:val="false"/>
                <w:bCs w:val="false"/>
                <w:i w:val="false"/>
                <w:iCs w:val="false"/>
                <w:color w:val="000000"/>
                <w:sz w:val="21"/>
                <w:szCs w:val="21"/>
              </w:rPr>
              <w:t xml:space="preserve">Mapped to one canonical label ("ML")</w:t>
            </w:r>
          </w:p>
        </w:tc>
      </w:tr>
      <w:tr>
        <w:tc>
          <w:tcPr>
            <w:tcW w:type="dxa" w:w="2400"/>
            <w:tcBorders>
              <w:top w:val="single" w:color="8C8C8C" w:sz="4"/>
              <w:left w:val="single" w:color="8C8C8C" w:sz="4"/>
              <w:bottom w:val="single" w:color="8C8C8C" w:sz="4"/>
              <w:right w:val="single" w:color="8C8C8C" w:sz="4"/>
            </w:tcBorders>
            <w:tcMar>
              <w:top w:type="dxa" w:w="80"/>
              <w:left w:type="dxa" w:w="120"/>
              <w:bottom w:type="dxa" w:w="80"/>
              <w:right w:type="dxa" w:w="120"/>
            </w:tcMar>
            <w:vAlign w:val="center"/>
          </w:tcPr>
          <w:p>
            <w:pPr>
              <w:spacing w:line="276" w:lineRule="auto"/>
              <w:jc w:val="left"/>
            </w:pPr>
            <w:r>
              <w:rPr>
                <w:rFonts w:ascii="Times New Roman" w:cs="Times New Roman" w:eastAsia="Times New Roman" w:hAnsi="Times New Roman"/>
                <w:b w:val="false"/>
                <w:bCs w:val="false"/>
                <w:i w:val="false"/>
                <w:iCs w:val="false"/>
                <w:color w:val="000000"/>
                <w:sz w:val="21"/>
                <w:szCs w:val="21"/>
              </w:rPr>
              <w:t xml:space="preserve">Mixed height units</w:t>
            </w:r>
          </w:p>
        </w:tc>
        <w:tc>
          <w:tcPr>
            <w:tcW w:type="dxa" w:w="2700"/>
            <w:tcBorders>
              <w:top w:val="single" w:color="8C8C8C" w:sz="4"/>
              <w:left w:val="single" w:color="8C8C8C" w:sz="4"/>
              <w:bottom w:val="single" w:color="8C8C8C" w:sz="4"/>
              <w:right w:val="single" w:color="8C8C8C" w:sz="4"/>
            </w:tcBorders>
            <w:tcMar>
              <w:top w:type="dxa" w:w="80"/>
              <w:left w:type="dxa" w:w="120"/>
              <w:bottom w:type="dxa" w:w="80"/>
              <w:right w:type="dxa" w:w="120"/>
            </w:tcMar>
            <w:vAlign w:val="center"/>
          </w:tcPr>
          <w:p>
            <w:pPr>
              <w:spacing w:line="276" w:lineRule="auto"/>
              <w:jc w:val="left"/>
            </w:pPr>
            <w:r>
              <w:rPr>
                <w:rFonts w:ascii="Times New Roman" w:cs="Times New Roman" w:eastAsia="Times New Roman" w:hAnsi="Times New Roman"/>
                <w:b w:val="false"/>
                <w:bCs w:val="false"/>
                <w:i w:val="false"/>
                <w:iCs w:val="false"/>
                <w:color w:val="000000"/>
                <w:sz w:val="21"/>
                <w:szCs w:val="21"/>
              </w:rPr>
              <w:t xml:space="preserve">"170 cm", "1.62 m"</w:t>
            </w:r>
          </w:p>
        </w:tc>
        <w:tc>
          <w:tcPr>
            <w:tcW w:type="dxa" w:w="3926"/>
            <w:tcBorders>
              <w:top w:val="single" w:color="8C8C8C" w:sz="4"/>
              <w:left w:val="single" w:color="8C8C8C" w:sz="4"/>
              <w:bottom w:val="single" w:color="8C8C8C" w:sz="4"/>
              <w:right w:val="single" w:color="8C8C8C" w:sz="4"/>
            </w:tcBorders>
            <w:tcMar>
              <w:top w:type="dxa" w:w="80"/>
              <w:left w:type="dxa" w:w="120"/>
              <w:bottom w:type="dxa" w:w="80"/>
              <w:right w:type="dxa" w:w="120"/>
            </w:tcMar>
            <w:vAlign w:val="center"/>
          </w:tcPr>
          <w:p>
            <w:pPr>
              <w:spacing w:line="276" w:lineRule="auto"/>
              <w:jc w:val="left"/>
            </w:pPr>
            <w:r>
              <w:rPr>
                <w:rFonts w:ascii="Times New Roman" w:cs="Times New Roman" w:eastAsia="Times New Roman" w:hAnsi="Times New Roman"/>
                <w:b w:val="false"/>
                <w:bCs w:val="false"/>
                <w:i w:val="false"/>
                <w:iCs w:val="false"/>
                <w:color w:val="000000"/>
                <w:sz w:val="21"/>
                <w:szCs w:val="21"/>
              </w:rPr>
              <w:t xml:space="preserve">Converted everything to centimetres</w:t>
            </w:r>
          </w:p>
        </w:tc>
      </w:tr>
      <w:tr>
        <w:tc>
          <w:tcPr>
            <w:tcW w:type="dxa" w:w="2400"/>
            <w:tcBorders>
              <w:top w:val="single" w:color="8C8C8C" w:sz="4"/>
              <w:left w:val="single" w:color="8C8C8C" w:sz="4"/>
              <w:bottom w:val="single" w:color="8C8C8C" w:sz="4"/>
              <w:right w:val="single" w:color="8C8C8C" w:sz="4"/>
            </w:tcBorders>
            <w:tcMar>
              <w:top w:type="dxa" w:w="80"/>
              <w:left w:type="dxa" w:w="120"/>
              <w:bottom w:type="dxa" w:w="80"/>
              <w:right w:type="dxa" w:w="120"/>
            </w:tcMar>
            <w:vAlign w:val="center"/>
          </w:tcPr>
          <w:p>
            <w:pPr>
              <w:spacing w:line="276" w:lineRule="auto"/>
              <w:jc w:val="left"/>
            </w:pPr>
            <w:r>
              <w:rPr>
                <w:rFonts w:ascii="Times New Roman" w:cs="Times New Roman" w:eastAsia="Times New Roman" w:hAnsi="Times New Roman"/>
                <w:b w:val="false"/>
                <w:bCs w:val="false"/>
                <w:i w:val="false"/>
                <w:iCs w:val="false"/>
                <w:color w:val="000000"/>
                <w:sz w:val="21"/>
                <w:szCs w:val="21"/>
              </w:rPr>
              <w:t xml:space="preserve">Mixed weight units</w:t>
            </w:r>
          </w:p>
        </w:tc>
        <w:tc>
          <w:tcPr>
            <w:tcW w:type="dxa" w:w="2700"/>
            <w:tcBorders>
              <w:top w:val="single" w:color="8C8C8C" w:sz="4"/>
              <w:left w:val="single" w:color="8C8C8C" w:sz="4"/>
              <w:bottom w:val="single" w:color="8C8C8C" w:sz="4"/>
              <w:right w:val="single" w:color="8C8C8C" w:sz="4"/>
            </w:tcBorders>
            <w:tcMar>
              <w:top w:type="dxa" w:w="80"/>
              <w:left w:type="dxa" w:w="120"/>
              <w:bottom w:type="dxa" w:w="80"/>
              <w:right w:type="dxa" w:w="120"/>
            </w:tcMar>
            <w:vAlign w:val="center"/>
          </w:tcPr>
          <w:p>
            <w:pPr>
              <w:spacing w:line="276" w:lineRule="auto"/>
              <w:jc w:val="left"/>
            </w:pPr>
            <w:r>
              <w:rPr>
                <w:rFonts w:ascii="Times New Roman" w:cs="Times New Roman" w:eastAsia="Times New Roman" w:hAnsi="Times New Roman"/>
                <w:b w:val="false"/>
                <w:bCs w:val="false"/>
                <w:i w:val="false"/>
                <w:iCs w:val="false"/>
                <w:color w:val="000000"/>
                <w:sz w:val="21"/>
                <w:szCs w:val="21"/>
              </w:rPr>
              <w:t xml:space="preserve">"65 kg", "55kg"</w:t>
            </w:r>
          </w:p>
        </w:tc>
        <w:tc>
          <w:tcPr>
            <w:tcW w:type="dxa" w:w="3926"/>
            <w:tcBorders>
              <w:top w:val="single" w:color="8C8C8C" w:sz="4"/>
              <w:left w:val="single" w:color="8C8C8C" w:sz="4"/>
              <w:bottom w:val="single" w:color="8C8C8C" w:sz="4"/>
              <w:right w:val="single" w:color="8C8C8C" w:sz="4"/>
            </w:tcBorders>
            <w:tcMar>
              <w:top w:type="dxa" w:w="80"/>
              <w:left w:type="dxa" w:w="120"/>
              <w:bottom w:type="dxa" w:w="80"/>
              <w:right w:type="dxa" w:w="120"/>
            </w:tcMar>
            <w:vAlign w:val="center"/>
          </w:tcPr>
          <w:p>
            <w:pPr>
              <w:spacing w:line="276" w:lineRule="auto"/>
              <w:jc w:val="left"/>
            </w:pPr>
            <w:r>
              <w:rPr>
                <w:rFonts w:ascii="Times New Roman" w:cs="Times New Roman" w:eastAsia="Times New Roman" w:hAnsi="Times New Roman"/>
                <w:b w:val="false"/>
                <w:bCs w:val="false"/>
                <w:i w:val="false"/>
                <w:iCs w:val="false"/>
                <w:color w:val="000000"/>
                <w:sz w:val="21"/>
                <w:szCs w:val="21"/>
              </w:rPr>
              <w:t xml:space="preserve">Converted everything to kilograms</w:t>
            </w:r>
          </w:p>
        </w:tc>
      </w:tr>
      <w:tr>
        <w:tc>
          <w:tcPr>
            <w:tcW w:type="dxa" w:w="2400"/>
            <w:tcBorders>
              <w:top w:val="single" w:color="8C8C8C" w:sz="4"/>
              <w:left w:val="single" w:color="8C8C8C" w:sz="4"/>
              <w:bottom w:val="single" w:color="8C8C8C" w:sz="4"/>
              <w:right w:val="single" w:color="8C8C8C" w:sz="4"/>
            </w:tcBorders>
            <w:tcMar>
              <w:top w:type="dxa" w:w="80"/>
              <w:left w:type="dxa" w:w="120"/>
              <w:bottom w:type="dxa" w:w="80"/>
              <w:right w:type="dxa" w:w="120"/>
            </w:tcMar>
            <w:vAlign w:val="center"/>
          </w:tcPr>
          <w:p>
            <w:pPr>
              <w:spacing w:line="276" w:lineRule="auto"/>
              <w:jc w:val="left"/>
            </w:pPr>
            <w:r>
              <w:rPr>
                <w:rFonts w:ascii="Times New Roman" w:cs="Times New Roman" w:eastAsia="Times New Roman" w:hAnsi="Times New Roman"/>
                <w:b w:val="false"/>
                <w:bCs w:val="false"/>
                <w:i w:val="false"/>
                <w:iCs w:val="false"/>
                <w:color w:val="000000"/>
                <w:sz w:val="21"/>
                <w:szCs w:val="21"/>
              </w:rPr>
              <w:t xml:space="preserve">Numbers written as words</w:t>
            </w:r>
          </w:p>
        </w:tc>
        <w:tc>
          <w:tcPr>
            <w:tcW w:type="dxa" w:w="2700"/>
            <w:tcBorders>
              <w:top w:val="single" w:color="8C8C8C" w:sz="4"/>
              <w:left w:val="single" w:color="8C8C8C" w:sz="4"/>
              <w:bottom w:val="single" w:color="8C8C8C" w:sz="4"/>
              <w:right w:val="single" w:color="8C8C8C" w:sz="4"/>
            </w:tcBorders>
            <w:tcMar>
              <w:top w:type="dxa" w:w="80"/>
              <w:left w:type="dxa" w:w="120"/>
              <w:bottom w:type="dxa" w:w="80"/>
              <w:right w:type="dxa" w:w="120"/>
            </w:tcMar>
            <w:vAlign w:val="center"/>
          </w:tcPr>
          <w:p>
            <w:pPr>
              <w:spacing w:line="276" w:lineRule="auto"/>
              <w:jc w:val="left"/>
            </w:pPr>
            <w:r>
              <w:rPr>
                <w:rFonts w:ascii="Times New Roman" w:cs="Times New Roman" w:eastAsia="Times New Roman" w:hAnsi="Times New Roman"/>
                <w:b w:val="false"/>
                <w:bCs w:val="false"/>
                <w:i w:val="false"/>
                <w:iCs w:val="false"/>
                <w:color w:val="000000"/>
                <w:sz w:val="21"/>
                <w:szCs w:val="21"/>
              </w:rPr>
              <w:t xml:space="preserve">"nine", "two"</w:t>
            </w:r>
          </w:p>
        </w:tc>
        <w:tc>
          <w:tcPr>
            <w:tcW w:type="dxa" w:w="3926"/>
            <w:tcBorders>
              <w:top w:val="single" w:color="8C8C8C" w:sz="4"/>
              <w:left w:val="single" w:color="8C8C8C" w:sz="4"/>
              <w:bottom w:val="single" w:color="8C8C8C" w:sz="4"/>
              <w:right w:val="single" w:color="8C8C8C" w:sz="4"/>
            </w:tcBorders>
            <w:tcMar>
              <w:top w:type="dxa" w:w="80"/>
              <w:left w:type="dxa" w:w="120"/>
              <w:bottom w:type="dxa" w:w="80"/>
              <w:right w:type="dxa" w:w="120"/>
            </w:tcMar>
            <w:vAlign w:val="center"/>
          </w:tcPr>
          <w:p>
            <w:pPr>
              <w:spacing w:line="276" w:lineRule="auto"/>
              <w:jc w:val="left"/>
            </w:pPr>
            <w:r>
              <w:rPr>
                <w:rFonts w:ascii="Times New Roman" w:cs="Times New Roman" w:eastAsia="Times New Roman" w:hAnsi="Times New Roman"/>
                <w:b w:val="false"/>
                <w:bCs w:val="false"/>
                <w:i w:val="false"/>
                <w:iCs w:val="false"/>
                <w:color w:val="000000"/>
                <w:sz w:val="21"/>
                <w:szCs w:val="21"/>
              </w:rPr>
              <w:t xml:space="preserve">Mapped word → digit before numeric conversion</w:t>
            </w:r>
          </w:p>
        </w:tc>
      </w:tr>
      <w:tr>
        <w:tc>
          <w:tcPr>
            <w:tcW w:type="dxa" w:w="2400"/>
            <w:tcBorders>
              <w:top w:val="single" w:color="8C8C8C" w:sz="4"/>
              <w:left w:val="single" w:color="8C8C8C" w:sz="4"/>
              <w:bottom w:val="single" w:color="8C8C8C" w:sz="4"/>
              <w:right w:val="single" w:color="8C8C8C" w:sz="4"/>
            </w:tcBorders>
            <w:tcMar>
              <w:top w:type="dxa" w:w="80"/>
              <w:left w:type="dxa" w:w="120"/>
              <w:bottom w:type="dxa" w:w="80"/>
              <w:right w:type="dxa" w:w="120"/>
            </w:tcMar>
            <w:vAlign w:val="center"/>
          </w:tcPr>
          <w:p>
            <w:pPr>
              <w:spacing w:line="276" w:lineRule="auto"/>
              <w:jc w:val="left"/>
            </w:pPr>
            <w:r>
              <w:rPr>
                <w:rFonts w:ascii="Times New Roman" w:cs="Times New Roman" w:eastAsia="Times New Roman" w:hAnsi="Times New Roman"/>
                <w:b w:val="false"/>
                <w:bCs w:val="false"/>
                <w:i w:val="false"/>
                <w:iCs w:val="false"/>
                <w:color w:val="000000"/>
                <w:sz w:val="21"/>
                <w:szCs w:val="21"/>
              </w:rPr>
              <w:t xml:space="preserve">Out-of-range percentage</w:t>
            </w:r>
          </w:p>
        </w:tc>
        <w:tc>
          <w:tcPr>
            <w:tcW w:type="dxa" w:w="2700"/>
            <w:tcBorders>
              <w:top w:val="single" w:color="8C8C8C" w:sz="4"/>
              <w:left w:val="single" w:color="8C8C8C" w:sz="4"/>
              <w:bottom w:val="single" w:color="8C8C8C" w:sz="4"/>
              <w:right w:val="single" w:color="8C8C8C" w:sz="4"/>
            </w:tcBorders>
            <w:tcMar>
              <w:top w:type="dxa" w:w="80"/>
              <w:left w:type="dxa" w:w="120"/>
              <w:bottom w:type="dxa" w:w="80"/>
              <w:right w:type="dxa" w:w="120"/>
            </w:tcMar>
            <w:vAlign w:val="center"/>
          </w:tcPr>
          <w:p>
            <w:pPr>
              <w:spacing w:line="276" w:lineRule="auto"/>
              <w:jc w:val="left"/>
            </w:pPr>
            <w:r>
              <w:rPr>
                <w:rFonts w:ascii="Times New Roman" w:cs="Times New Roman" w:eastAsia="Times New Roman" w:hAnsi="Times New Roman"/>
                <w:b w:val="false"/>
                <w:bCs w:val="false"/>
                <w:i w:val="false"/>
                <w:iCs w:val="false"/>
                <w:color w:val="000000"/>
                <w:sz w:val="21"/>
                <w:szCs w:val="21"/>
              </w:rPr>
              <w:t xml:space="preserve">−10%, 105%</w:t>
            </w:r>
          </w:p>
        </w:tc>
        <w:tc>
          <w:tcPr>
            <w:tcW w:type="dxa" w:w="3926"/>
            <w:tcBorders>
              <w:top w:val="single" w:color="8C8C8C" w:sz="4"/>
              <w:left w:val="single" w:color="8C8C8C" w:sz="4"/>
              <w:bottom w:val="single" w:color="8C8C8C" w:sz="4"/>
              <w:right w:val="single" w:color="8C8C8C" w:sz="4"/>
            </w:tcBorders>
            <w:tcMar>
              <w:top w:type="dxa" w:w="80"/>
              <w:left w:type="dxa" w:w="120"/>
              <w:bottom w:type="dxa" w:w="80"/>
              <w:right w:type="dxa" w:w="120"/>
            </w:tcMar>
            <w:vAlign w:val="center"/>
          </w:tcPr>
          <w:p>
            <w:pPr>
              <w:spacing w:line="276" w:lineRule="auto"/>
              <w:jc w:val="left"/>
            </w:pPr>
            <w:r>
              <w:rPr>
                <w:rFonts w:ascii="Times New Roman" w:cs="Times New Roman" w:eastAsia="Times New Roman" w:hAnsi="Times New Roman"/>
                <w:b w:val="false"/>
                <w:bCs w:val="false"/>
                <w:i w:val="false"/>
                <w:iCs w:val="false"/>
                <w:color w:val="000000"/>
                <w:sz w:val="21"/>
                <w:szCs w:val="21"/>
              </w:rPr>
              <w:t xml:space="preserve">Treated as invalid; replaced with column median</w:t>
            </w:r>
          </w:p>
        </w:tc>
      </w:tr>
      <w:tr>
        <w:tc>
          <w:tcPr>
            <w:tcW w:type="dxa" w:w="2400"/>
            <w:tcBorders>
              <w:top w:val="single" w:color="8C8C8C" w:sz="4"/>
              <w:left w:val="single" w:color="8C8C8C" w:sz="4"/>
              <w:bottom w:val="single" w:color="8C8C8C" w:sz="4"/>
              <w:right w:val="single" w:color="8C8C8C" w:sz="4"/>
            </w:tcBorders>
            <w:tcMar>
              <w:top w:type="dxa" w:w="80"/>
              <w:left w:type="dxa" w:w="120"/>
              <w:bottom w:type="dxa" w:w="80"/>
              <w:right w:type="dxa" w:w="120"/>
            </w:tcMar>
            <w:vAlign w:val="center"/>
          </w:tcPr>
          <w:p>
            <w:pPr>
              <w:spacing w:line="276" w:lineRule="auto"/>
              <w:jc w:val="left"/>
            </w:pPr>
            <w:r>
              <w:rPr>
                <w:rFonts w:ascii="Times New Roman" w:cs="Times New Roman" w:eastAsia="Times New Roman" w:hAnsi="Times New Roman"/>
                <w:b w:val="false"/>
                <w:bCs w:val="false"/>
                <w:i w:val="false"/>
                <w:iCs w:val="false"/>
                <w:color w:val="000000"/>
                <w:sz w:val="21"/>
                <w:szCs w:val="21"/>
              </w:rPr>
              <w:t xml:space="preserve">Missing values</w:t>
            </w:r>
          </w:p>
        </w:tc>
        <w:tc>
          <w:tcPr>
            <w:tcW w:type="dxa" w:w="2700"/>
            <w:tcBorders>
              <w:top w:val="single" w:color="8C8C8C" w:sz="4"/>
              <w:left w:val="single" w:color="8C8C8C" w:sz="4"/>
              <w:bottom w:val="single" w:color="8C8C8C" w:sz="4"/>
              <w:right w:val="single" w:color="8C8C8C" w:sz="4"/>
            </w:tcBorders>
            <w:tcMar>
              <w:top w:type="dxa" w:w="80"/>
              <w:left w:type="dxa" w:w="120"/>
              <w:bottom w:type="dxa" w:w="80"/>
              <w:right w:type="dxa" w:w="120"/>
            </w:tcMar>
            <w:vAlign w:val="center"/>
          </w:tcPr>
          <w:p>
            <w:pPr>
              <w:spacing w:line="276" w:lineRule="auto"/>
              <w:jc w:val="left"/>
            </w:pPr>
            <w:r>
              <w:rPr>
                <w:rFonts w:ascii="Times New Roman" w:cs="Times New Roman" w:eastAsia="Times New Roman" w:hAnsi="Times New Roman"/>
                <w:b w:val="false"/>
                <w:bCs w:val="false"/>
                <w:i w:val="false"/>
                <w:iCs w:val="false"/>
                <w:color w:val="000000"/>
                <w:sz w:val="21"/>
                <w:szCs w:val="21"/>
              </w:rPr>
              <w:t xml:space="preserve">Blank attendance / score cells</w:t>
            </w:r>
          </w:p>
        </w:tc>
        <w:tc>
          <w:tcPr>
            <w:tcW w:type="dxa" w:w="3926"/>
            <w:tcBorders>
              <w:top w:val="single" w:color="8C8C8C" w:sz="4"/>
              <w:left w:val="single" w:color="8C8C8C" w:sz="4"/>
              <w:bottom w:val="single" w:color="8C8C8C" w:sz="4"/>
              <w:right w:val="single" w:color="8C8C8C" w:sz="4"/>
            </w:tcBorders>
            <w:tcMar>
              <w:top w:type="dxa" w:w="80"/>
              <w:left w:type="dxa" w:w="120"/>
              <w:bottom w:type="dxa" w:w="80"/>
              <w:right w:type="dxa" w:w="120"/>
            </w:tcMar>
            <w:vAlign w:val="center"/>
          </w:tcPr>
          <w:p>
            <w:pPr>
              <w:spacing w:line="276" w:lineRule="auto"/>
              <w:jc w:val="left"/>
            </w:pPr>
            <w:r>
              <w:rPr>
                <w:rFonts w:ascii="Times New Roman" w:cs="Times New Roman" w:eastAsia="Times New Roman" w:hAnsi="Times New Roman"/>
                <w:b w:val="false"/>
                <w:bCs w:val="false"/>
                <w:i w:val="false"/>
                <w:iCs w:val="false"/>
                <w:color w:val="000000"/>
                <w:sz w:val="21"/>
                <w:szCs w:val="21"/>
              </w:rPr>
              <w:t xml:space="preserve">Filled with the column median</w:t>
            </w:r>
          </w:p>
        </w:tc>
      </w:tr>
      <w:tr>
        <w:tc>
          <w:tcPr>
            <w:tcW w:type="dxa" w:w="2400"/>
            <w:tcBorders>
              <w:top w:val="single" w:color="8C8C8C" w:sz="4"/>
              <w:left w:val="single" w:color="8C8C8C" w:sz="4"/>
              <w:bottom w:val="single" w:color="8C8C8C" w:sz="4"/>
              <w:right w:val="single" w:color="8C8C8C" w:sz="4"/>
            </w:tcBorders>
            <w:tcMar>
              <w:top w:type="dxa" w:w="80"/>
              <w:left w:type="dxa" w:w="120"/>
              <w:bottom w:type="dxa" w:w="80"/>
              <w:right w:type="dxa" w:w="120"/>
            </w:tcMar>
            <w:vAlign w:val="center"/>
          </w:tcPr>
          <w:p>
            <w:pPr>
              <w:spacing w:line="276" w:lineRule="auto"/>
              <w:jc w:val="left"/>
            </w:pPr>
            <w:r>
              <w:rPr>
                <w:rFonts w:ascii="Times New Roman" w:cs="Times New Roman" w:eastAsia="Times New Roman" w:hAnsi="Times New Roman"/>
                <w:b w:val="false"/>
                <w:bCs w:val="false"/>
                <w:i w:val="false"/>
                <w:iCs w:val="false"/>
                <w:color w:val="000000"/>
                <w:sz w:val="21"/>
                <w:szCs w:val="21"/>
              </w:rPr>
              <w:t xml:space="preserve">Duplicate record</w:t>
            </w:r>
          </w:p>
        </w:tc>
        <w:tc>
          <w:tcPr>
            <w:tcW w:type="dxa" w:w="2700"/>
            <w:tcBorders>
              <w:top w:val="single" w:color="8C8C8C" w:sz="4"/>
              <w:left w:val="single" w:color="8C8C8C" w:sz="4"/>
              <w:bottom w:val="single" w:color="8C8C8C" w:sz="4"/>
              <w:right w:val="single" w:color="8C8C8C" w:sz="4"/>
            </w:tcBorders>
            <w:tcMar>
              <w:top w:type="dxa" w:w="80"/>
              <w:left w:type="dxa" w:w="120"/>
              <w:bottom w:type="dxa" w:w="80"/>
              <w:right w:type="dxa" w:w="120"/>
            </w:tcMar>
            <w:vAlign w:val="center"/>
          </w:tcPr>
          <w:p>
            <w:pPr>
              <w:spacing w:line="276" w:lineRule="auto"/>
              <w:jc w:val="left"/>
            </w:pPr>
            <w:r>
              <w:rPr>
                <w:rFonts w:ascii="Times New Roman" w:cs="Times New Roman" w:eastAsia="Times New Roman" w:hAnsi="Times New Roman"/>
                <w:b w:val="false"/>
                <w:bCs w:val="false"/>
                <w:i w:val="false"/>
                <w:iCs w:val="false"/>
                <w:color w:val="000000"/>
                <w:sz w:val="21"/>
                <w:szCs w:val="21"/>
              </w:rPr>
              <w:t xml:space="preserve">Student S005 repeated</w:t>
            </w:r>
          </w:p>
        </w:tc>
        <w:tc>
          <w:tcPr>
            <w:tcW w:type="dxa" w:w="3926"/>
            <w:tcBorders>
              <w:top w:val="single" w:color="8C8C8C" w:sz="4"/>
              <w:left w:val="single" w:color="8C8C8C" w:sz="4"/>
              <w:bottom w:val="single" w:color="8C8C8C" w:sz="4"/>
              <w:right w:val="single" w:color="8C8C8C" w:sz="4"/>
            </w:tcBorders>
            <w:tcMar>
              <w:top w:type="dxa" w:w="80"/>
              <w:left w:type="dxa" w:w="120"/>
              <w:bottom w:type="dxa" w:w="80"/>
              <w:right w:type="dxa" w:w="120"/>
            </w:tcMar>
            <w:vAlign w:val="center"/>
          </w:tcPr>
          <w:p>
            <w:pPr>
              <w:spacing w:line="276" w:lineRule="auto"/>
              <w:jc w:val="left"/>
            </w:pPr>
            <w:r>
              <w:rPr>
                <w:rFonts w:ascii="Times New Roman" w:cs="Times New Roman" w:eastAsia="Times New Roman" w:hAnsi="Times New Roman"/>
                <w:b w:val="false"/>
                <w:bCs w:val="false"/>
                <w:i w:val="false"/>
                <w:iCs w:val="false"/>
                <w:color w:val="000000"/>
                <w:sz w:val="21"/>
                <w:szCs w:val="21"/>
              </w:rPr>
              <w:t xml:space="preserve">Exact duplicate row dropped</w:t>
            </w:r>
          </w:p>
        </w:tc>
      </w:tr>
    </w:tbl>
    <w:p>
      <w:pPr>
        <w:spacing w:after="200" w:before="80"/>
        <w:jc w:val="center"/>
      </w:pPr>
      <w:r>
        <w:rPr>
          <w:rFonts w:ascii="Times New Roman" w:cs="Times New Roman" w:eastAsia="Times New Roman" w:hAnsi="Times New Roman"/>
          <w:i/>
          <w:iCs/>
          <w:color w:val="000000"/>
          <w:sz w:val="20"/>
          <w:szCs w:val="20"/>
        </w:rPr>
        <w:t xml:space="preserve">Table 2 (optional): Data issues identified in Task 4 and the rule used to resolve each one.</w:t>
      </w:r>
    </w:p>
    <w:p>
      <w:pPr>
        <w:spacing w:after="120" w:line="360" w:lineRule="auto"/>
        <w:jc w:val="both"/>
      </w:pPr>
      <w:r>
        <w:rPr>
          <w:rFonts w:ascii="Times New Roman" w:cs="Times New Roman" w:eastAsia="Times New Roman" w:hAnsi="Times New Roman"/>
          <w:b w:val="false"/>
          <w:bCs w:val="false"/>
          <w:i w:val="false"/>
          <w:iCs w:val="false"/>
          <w:color w:val="000000"/>
          <w:sz w:val="24"/>
          <w:szCs w:val="24"/>
        </w:rPr>
        <w:t xml:space="preserve">Cleaning alone is not sufficient: </w:t>
      </w:r>
      <w:r>
        <w:rPr>
          <w:rFonts w:ascii="Times New Roman" w:cs="Times New Roman" w:eastAsia="Times New Roman" w:hAnsi="Times New Roman"/>
          <w:b w:val="false"/>
          <w:bCs w:val="false"/>
          <w:i/>
          <w:iCs/>
          <w:color w:val="000000"/>
          <w:sz w:val="24"/>
          <w:szCs w:val="24"/>
        </w:rPr>
        <w:t xml:space="preserve">validate_cleaned_data()</w:t>
      </w:r>
      <w:r>
        <w:rPr>
          <w:rFonts w:ascii="Times New Roman" w:cs="Times New Roman" w:eastAsia="Times New Roman" w:hAnsi="Times New Roman"/>
          <w:b w:val="false"/>
          <w:bCs w:val="false"/>
          <w:i w:val="false"/>
          <w:iCs w:val="false"/>
          <w:color w:val="000000"/>
          <w:sz w:val="24"/>
          <w:szCs w:val="24"/>
        </w:rPr>
        <w:t xml:space="preserve"> exists because a cleaning script can have bugs of its own, and the only way to be confident the output is actually usable is to check it against explicit rules after the fact — no duplicate IDs, attendance within 0–100, every numeric column actually numeric, domain and submission values restricted to their allowed sets, and no missing values left in any column the rest of the pipeline depends on. Without this step, a silent cleaning error could propagate into the summaries and plots in Task 5 without ever being noticed.</w:t>
      </w:r>
    </w:p>
    <w:p>
      <w:pPr>
        <w:pStyle w:val="Heading1"/>
      </w:pPr>
      <w:r>
        <w:rPr>
          <w:rFonts w:ascii="Times New Roman" w:cs="Times New Roman" w:eastAsia="Times New Roman" w:hAnsi="Times New Roman"/>
          <w:b/>
          <w:bCs/>
          <w:color w:val="000000"/>
          <w:sz w:val="32"/>
          <w:szCs w:val="32"/>
        </w:rPr>
        <w:t xml:space="preserve">Visualization</w:t>
      </w:r>
    </w:p>
    <w:p>
      <w:pPr>
        <w:spacing w:after="120" w:line="360" w:lineRule="auto"/>
        <w:jc w:val="both"/>
      </w:pPr>
      <w:r>
        <w:rPr>
          <w:rFonts w:ascii="Times New Roman" w:cs="Times New Roman" w:eastAsia="Times New Roman" w:hAnsi="Times New Roman"/>
          <w:b w:val="false"/>
          <w:bCs w:val="false"/>
          <w:i w:val="false"/>
          <w:iCs w:val="false"/>
          <w:color w:val="000000"/>
          <w:sz w:val="24"/>
          <w:szCs w:val="24"/>
        </w:rPr>
        <w:t xml:space="preserve">Figure 1 places Task 5 in the context of the whole pipeline: the cleaned, validated CSV from Task 4 is the only input, and three PNG plots are the output.</w:t>
      </w:r>
    </w:p>
    <w:p>
      <w:pPr>
        <w:spacing w:after="0" w:before="120"/>
        <w:jc w:val="center"/>
      </w:pPr>
      <w:r>
        <w:drawing>
          <wp:inline distT="0" distB="0" distL="0" distR="0">
            <wp:extent cx="5524500" cy="1257300"/>
            <wp:effectExtent t="0" r="0" b="0" l="0"/>
            <wp:docPr id="1" name="Workflow" descr="Raw CSV to cleaned dataset to visual output" title="Workflow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524500" cy="1257300"/>
                    </a:xfrm>
                    <a:prstGeom prst="rect">
                      <a:avLst/>
                    </a:prstGeom>
                  </pic:spPr>
                </pic:pic>
              </a:graphicData>
            </a:graphic>
          </wp:inline>
        </w:drawing>
      </w:r>
    </w:p>
    <w:p>
      <w:pPr>
        <w:spacing w:after="200" w:before="80"/>
        <w:jc w:val="center"/>
      </w:pPr>
      <w:r>
        <w:rPr>
          <w:rFonts w:ascii="Times New Roman" w:cs="Times New Roman" w:eastAsia="Times New Roman" w:hAnsi="Times New Roman"/>
          <w:i/>
          <w:iCs/>
          <w:color w:val="000000"/>
          <w:sz w:val="20"/>
          <w:szCs w:val="20"/>
        </w:rPr>
        <w:t xml:space="preserve">Figure 1: Workflow from raw CSV data, through cleaning and validation, to the final plots.</w:t>
      </w:r>
    </w:p>
    <w:p>
      <w:pPr>
        <w:spacing w:after="120" w:line="360" w:lineRule="auto"/>
        <w:jc w:val="both"/>
      </w:pPr>
      <w:r>
        <w:rPr>
          <w:rFonts w:ascii="Times New Roman" w:cs="Times New Roman" w:eastAsia="Times New Roman" w:hAnsi="Times New Roman"/>
          <w:b w:val="false"/>
          <w:bCs w:val="false"/>
          <w:i w:val="false"/>
          <w:iCs w:val="false"/>
          <w:color w:val="000000"/>
          <w:sz w:val="24"/>
          <w:szCs w:val="24"/>
        </w:rPr>
        <w:t xml:space="preserve">Each plot in Task 5 was chosen to answer a different kind of question. The average-score-by-domain bar chart compares a single summary number across categories, and is the right tool when the question is "which group did best overall" rather than "how is any individual student doing." In this dataset it also exposes a limitation worth noting in any report, not just this one: the Mechanical bar is exactly zero because only one Mechanical student exists in the cleaned data, so that "average" is really a single data point and should not be read as a stable group trend. The attendance-versus-score scatter plot exists to ask a different question — whether two continuous variables move together — by showing every student as one point rather than collapsing them into an average; here the points are spread fairly broadly across the attendance range with no obviously strong trend, which is itself a useful, if negative, finding. The submission-status count is a simple bar chart of a single categorical variable, included because "how many submitted" is a basic health check on the dataset that does not require any numeric comparison at all.</w:t>
      </w:r>
    </w:p>
    <w:p>
      <w:pPr>
        <w:spacing w:after="120" w:line="360" w:lineRule="auto"/>
        <w:jc w:val="both"/>
      </w:pPr>
      <w:r>
        <w:rPr>
          <w:rFonts w:ascii="Times New Roman" w:cs="Times New Roman" w:eastAsia="Times New Roman" w:hAnsi="Times New Roman"/>
          <w:b w:val="false"/>
          <w:bCs w:val="false"/>
          <w:i w:val="false"/>
          <w:iCs w:val="false"/>
          <w:color w:val="000000"/>
          <w:sz w:val="24"/>
          <w:szCs w:val="24"/>
        </w:rPr>
        <w:t xml:space="preserve">Across all three, a title and labelled axes are not decorative — a saved PNG has no code attached to it, so anyone looking at the image later has only the title and axis labels to know what it shows. Saving each figure with </w:t>
      </w:r>
      <w:r>
        <w:rPr>
          <w:rFonts w:ascii="Times New Roman" w:cs="Times New Roman" w:eastAsia="Times New Roman" w:hAnsi="Times New Roman"/>
          <w:b w:val="false"/>
          <w:bCs w:val="false"/>
          <w:i/>
          <w:iCs/>
          <w:color w:val="000000"/>
          <w:sz w:val="24"/>
          <w:szCs w:val="24"/>
        </w:rPr>
        <w:t xml:space="preserve">savefig()</w:t>
      </w:r>
      <w:r>
        <w:rPr>
          <w:rFonts w:ascii="Times New Roman" w:cs="Times New Roman" w:eastAsia="Times New Roman" w:hAnsi="Times New Roman"/>
          <w:b w:val="false"/>
          <w:bCs w:val="false"/>
          <w:i w:val="false"/>
          <w:iCs w:val="false"/>
          <w:color w:val="000000"/>
          <w:sz w:val="24"/>
          <w:szCs w:val="24"/>
        </w:rPr>
        <w:t xml:space="preserve"> rather than displaying it in an interactive window also makes the plotting step scriptable and repeatable: the same three files are produced every time </w:t>
      </w:r>
      <w:r>
        <w:rPr>
          <w:rFonts w:ascii="Times New Roman" w:cs="Times New Roman" w:eastAsia="Times New Roman" w:hAnsi="Times New Roman"/>
          <w:b w:val="false"/>
          <w:bCs w:val="false"/>
          <w:i/>
          <w:iCs/>
          <w:color w:val="000000"/>
          <w:sz w:val="24"/>
          <w:szCs w:val="24"/>
        </w:rPr>
        <w:t xml:space="preserve">main.py</w:t>
      </w:r>
      <w:r>
        <w:rPr>
          <w:rFonts w:ascii="Times New Roman" w:cs="Times New Roman" w:eastAsia="Times New Roman" w:hAnsi="Times New Roman"/>
          <w:b w:val="false"/>
          <w:bCs w:val="false"/>
          <w:i w:val="false"/>
          <w:iCs w:val="false"/>
          <w:color w:val="000000"/>
          <w:sz w:val="24"/>
          <w:szCs w:val="24"/>
        </w:rPr>
        <w:t xml:space="preserve"> is run, with no manual step in between. </w:t>
      </w:r>
      <w:r>
        <w:rPr>
          <w:rFonts w:ascii="Times New Roman" w:cs="Times New Roman" w:eastAsia="Times New Roman" w:hAnsi="Times New Roman"/>
          <w:b w:val="false"/>
          <w:bCs w:val="false"/>
          <w:i/>
          <w:iCs/>
          <w:color w:val="000000"/>
          <w:sz w:val="24"/>
          <w:szCs w:val="24"/>
        </w:rPr>
        <w:t xml:space="preserve">tight_layout()</w:t>
      </w:r>
      <w:r>
        <w:rPr>
          <w:rFonts w:ascii="Times New Roman" w:cs="Times New Roman" w:eastAsia="Times New Roman" w:hAnsi="Times New Roman"/>
          <w:b w:val="false"/>
          <w:bCs w:val="false"/>
          <w:i w:val="false"/>
          <w:iCs w:val="false"/>
          <w:color w:val="000000"/>
          <w:sz w:val="24"/>
          <w:szCs w:val="24"/>
        </w:rPr>
        <w:t xml:space="preserve"> was used to stop longer axis labels, such as the rotated domain names, from being clipped at the edge of the saved image — a small detail, but one that affects whether the figure is actually readable once removed from the terminal it was created in.</w:t>
      </w:r>
    </w:p>
    <w:p>
      <w:pPr>
        <w:pStyle w:val="Heading1"/>
      </w:pPr>
      <w:r>
        <w:rPr>
          <w:rFonts w:ascii="Times New Roman" w:cs="Times New Roman" w:eastAsia="Times New Roman" w:hAnsi="Times New Roman"/>
          <w:b/>
          <w:bCs/>
          <w:color w:val="000000"/>
          <w:sz w:val="32"/>
          <w:szCs w:val="32"/>
        </w:rPr>
        <w:t xml:space="preserve">Conclusion</w:t>
      </w:r>
    </w:p>
    <w:p>
      <w:pPr>
        <w:spacing w:after="120" w:line="360" w:lineRule="auto"/>
        <w:jc w:val="both"/>
      </w:pPr>
      <w:r>
        <w:rPr>
          <w:rFonts w:ascii="Times New Roman" w:cs="Times New Roman" w:eastAsia="Times New Roman" w:hAnsi="Times New Roman"/>
          <w:b w:val="false"/>
          <w:bCs w:val="false"/>
          <w:i w:val="false"/>
          <w:iCs w:val="false"/>
          <w:color w:val="000000"/>
          <w:sz w:val="24"/>
          <w:szCs w:val="24"/>
        </w:rPr>
        <w:t xml:space="preserve">Taken together, Tasks 1 to 5 form one continuous story: a raw CSV file becomes a cleaned, validated dataset, and that dataset becomes three readable figures. The earlier tasks set up the conditions for this to be possible at all — a controlled environment, a version-controlled history, and a working knowledge of the Python constructs the later tasks rely on. The main technical lesson from Tasks 3 to 5 is that none of the individual steps — parsing, cleaning, plotting — are difficult in isolation, but each one requires a deliberate decision: how to treat a malformed row, which value to impute and why, which chart answers which question. It is the documentation of those decisions, not the code itself, that turns a script into something another person can trust.</w:t>
      </w:r>
    </w:p>
    <w:p>
      <w:pPr>
        <w:pStyle w:val="Heading1"/>
      </w:pPr>
      <w:r>
        <w:rPr>
          <w:rFonts w:ascii="Times New Roman" w:cs="Times New Roman" w:eastAsia="Times New Roman" w:hAnsi="Times New Roman"/>
          <w:b/>
          <w:bCs/>
          <w:color w:val="000000"/>
          <w:sz w:val="32"/>
          <w:szCs w:val="32"/>
        </w:rPr>
        <w:t xml:space="preserve">References</w:t>
      </w:r>
    </w:p>
    <w:p>
      <w:pPr>
        <w:spacing w:after="100" w:line="276" w:lineRule="auto"/>
        <w:ind w:left="360" w:hanging="360"/>
        <w:jc w:val="both"/>
      </w:pPr>
      <w:r>
        <w:rPr>
          <w:rFonts w:ascii="Times New Roman" w:cs="Times New Roman" w:eastAsia="Times New Roman" w:hAnsi="Times New Roman"/>
          <w:sz w:val="22"/>
          <w:szCs w:val="22"/>
        </w:rPr>
        <w:t xml:space="preserve">1. Python Software Foundation. Python 3 Documentation. https://docs.python.org/3/</w:t>
      </w:r>
    </w:p>
    <w:p>
      <w:pPr>
        <w:spacing w:after="100" w:line="276" w:lineRule="auto"/>
        <w:ind w:left="360" w:hanging="360"/>
        <w:jc w:val="both"/>
      </w:pPr>
      <w:r>
        <w:rPr>
          <w:rFonts w:ascii="Times New Roman" w:cs="Times New Roman" w:eastAsia="Times New Roman" w:hAnsi="Times New Roman"/>
          <w:sz w:val="22"/>
          <w:szCs w:val="22"/>
        </w:rPr>
        <w:t xml:space="preserve">2. pandas Development Team. pandas Documentation. https://pandas.pydata.org/docs/</w:t>
      </w:r>
    </w:p>
    <w:p>
      <w:pPr>
        <w:spacing w:after="100" w:line="276" w:lineRule="auto"/>
        <w:ind w:left="360" w:hanging="360"/>
        <w:jc w:val="both"/>
      </w:pPr>
      <w:r>
        <w:rPr>
          <w:rFonts w:ascii="Times New Roman" w:cs="Times New Roman" w:eastAsia="Times New Roman" w:hAnsi="Times New Roman"/>
          <w:sz w:val="22"/>
          <w:szCs w:val="22"/>
        </w:rPr>
        <w:t xml:space="preserve">3. Matplotlib Development Team. Matplotlib Documentation. https://matplotlib.org/stable/</w:t>
      </w:r>
    </w:p>
    <w:p>
      <w:pPr>
        <w:spacing w:after="100" w:line="276" w:lineRule="auto"/>
        <w:ind w:left="360" w:hanging="360"/>
        <w:jc w:val="both"/>
      </w:pPr>
      <w:r>
        <w:rPr>
          <w:rFonts w:ascii="Times New Roman" w:cs="Times New Roman" w:eastAsia="Times New Roman" w:hAnsi="Times New Roman"/>
          <w:sz w:val="22"/>
          <w:szCs w:val="22"/>
        </w:rPr>
        <w:t xml:space="preserve">4. Chacon, S. and Straub, B. Pro Git. https://git-scm.com/book</w:t>
      </w:r>
    </w:p>
    <w:p>
      <w:pPr>
        <w:spacing w:after="100" w:line="276" w:lineRule="auto"/>
        <w:ind w:left="360" w:hanging="360"/>
        <w:jc w:val="both"/>
      </w:pPr>
      <w:r>
        <w:rPr>
          <w:rFonts w:ascii="Times New Roman" w:cs="Times New Roman" w:eastAsia="Times New Roman" w:hAnsi="Times New Roman"/>
          <w:sz w:val="22"/>
          <w:szCs w:val="22"/>
        </w:rPr>
        <w:t xml:space="preserve">5. Python Enhancement Proposals. PEP 484 – Type Hints. https://peps.python.org/pep-0484/</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t xml:space="preserve"/>
    </w: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20"/>
      <w:outlineLvl w:val="0"/>
    </w:pPr>
    <w:rPr>
      <w:rFonts w:ascii="Times New Roman" w:cs="Times New Roman" w:eastAsia="Times New Roman" w:hAnsi="Times New Roman"/>
      <w:b/>
      <w:bCs/>
      <w:color w:val="000000"/>
      <w:sz w:val="32"/>
      <w:szCs w:val="32"/>
    </w:rPr>
  </w:style>
  <w:style w:type="paragraph" w:styleId="Heading2">
    <w:name w:val="Heading 2"/>
    <w:basedOn w:val="Normal"/>
    <w:next w:val="Normal"/>
    <w:qFormat/>
    <w:pPr>
      <w:spacing w:after="120" w:before="240"/>
      <w:outlineLvl w:val="1"/>
    </w:pPr>
    <w:rPr>
      <w:rFonts w:ascii="Times New Roman" w:cs="Times New Roman" w:eastAsia="Times New Roman" w:hAnsi="Times New Roman"/>
      <w:b/>
      <w:bCs/>
      <w:color w:val="000000"/>
      <w:sz w:val="28"/>
      <w:szCs w:val="2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_in1ehnfswtyeo0ixdorv" Type="http://schemas.openxmlformats.org/officeDocument/2006/relationships/hyperlink" Target="https://github.com/divyanshu1888/Synergy_TP" TargetMode="External"/><Relationship Id="rId8" Type="http://schemas.openxmlformats.org/officeDocument/2006/relationships/image" Target="media/08eb9af7736a7b4c2a0db2dc18e7b65d25538558.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2026-06-27T09:15:17.662Z</dcterms:created>
  <dcterms:modified xsi:type="dcterms:W3CDTF">2026-06-27T09:15:17.662Z</dcterms:modified>
</cp:coreProperties>
</file>

<file path=docProps/custom.xml><?xml version="1.0" encoding="utf-8"?>
<Properties xmlns="http://schemas.openxmlformats.org/officeDocument/2006/custom-properties" xmlns:vt="http://schemas.openxmlformats.org/officeDocument/2006/docPropsVTypes"/>
</file>