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0" w:after="80"/>
      </w:pPr>
      <w:r>
        <w:rPr>
          <w:rFonts w:ascii="Aptos" w:hAnsi="Aptos"/>
          <w:b/>
          <w:i w:val="0"/>
          <w:color w:val="000000"/>
          <w:sz w:val="54"/>
        </w:rPr>
        <w:t>AI Calling Agent Proposal</w:t>
      </w:r>
    </w:p>
    <w:p>
      <w:pPr>
        <w:spacing w:after="320"/>
      </w:pPr>
      <w:r>
        <w:rPr>
          <w:rFonts w:ascii="Aptos" w:hAnsi="Aptos"/>
          <w:b w:val="0"/>
          <w:i w:val="0"/>
          <w:color w:val="536070"/>
          <w:sz w:val="23"/>
        </w:rPr>
        <w:t>AI-led customer conversations and appointment booking</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44"/>
        <w:gridCol w:w="7416"/>
      </w:tblGrid>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Prepared by</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Autozentic</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Location</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Jagatpura, Jaipur</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Prepared for</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Sekol Tiles, Gujarat</w:t>
            </w:r>
          </w:p>
        </w:tc>
      </w:tr>
      <w:tr>
        <w:tc>
          <w:tcPr>
            <w:tcW w:type="dxa" w:w="1944"/>
            <w:vAlign w:val="center"/>
            <w:tcMar>
              <w:top w:w="45" w:type="dxa"/>
              <w:start w:w="0" w:type="dxa"/>
              <w:bottom w:w="45" w:type="dxa"/>
              <w:end w:w="120" w:type="dxa"/>
            </w:tcMar>
          </w:tcPr>
          <w:p>
            <w:pPr>
              <w:spacing w:after="0" w:line="252" w:lineRule="auto"/>
              <w:jc w:val="left"/>
            </w:pPr>
            <w:r/>
            <w:r>
              <w:rPr>
                <w:rFonts w:ascii="Aptos" w:hAnsi="Aptos"/>
                <w:b/>
                <w:color w:val="4A5666"/>
                <w:sz w:val="18"/>
              </w:rPr>
              <w:t>Date</w:t>
            </w:r>
          </w:p>
        </w:tc>
        <w:tc>
          <w:tcPr>
            <w:tcW w:type="dxa" w:w="7416"/>
            <w:vAlign w:val="center"/>
            <w:tcMar>
              <w:top w:w="45" w:type="dxa"/>
              <w:start w:w="0" w:type="dxa"/>
              <w:bottom w:w="45" w:type="dxa"/>
              <w:end w:w="120" w:type="dxa"/>
            </w:tcMar>
          </w:tcPr>
          <w:p>
            <w:pPr>
              <w:spacing w:after="0" w:line="252" w:lineRule="auto"/>
              <w:jc w:val="left"/>
            </w:pPr>
            <w:r/>
            <w:r>
              <w:rPr>
                <w:rFonts w:ascii="Aptos" w:hAnsi="Aptos"/>
                <w:b w:val="0"/>
                <w:color w:val="2A323D"/>
                <w:sz w:val="19"/>
              </w:rPr>
              <w:t>8 September 2026</w:t>
            </w:r>
          </w:p>
        </w:tc>
      </w:tr>
    </w:tbl>
    <w:p>
      <w:pPr>
        <w:pStyle w:val="Heading1"/>
        <w:spacing w:before="440" w:after="120"/>
      </w:pPr>
      <w:r>
        <w:rPr>
          <w:rFonts w:ascii="Aptos" w:hAnsi="Aptos"/>
          <w:b/>
          <w:i w:val="0"/>
          <w:color w:val="000000"/>
          <w:sz w:val="28"/>
        </w:rPr>
        <w:t>Proposal Summary</w:t>
      </w:r>
    </w:p>
    <w:p>
      <w:pPr>
        <w:spacing w:after="140" w:line="269" w:lineRule="auto"/>
      </w:pPr>
      <w:r>
        <w:rPr>
          <w:rFonts w:ascii="Aptos" w:hAnsi="Aptos"/>
          <w:b w:val="0"/>
          <w:i w:val="0"/>
          <w:color w:val="2A323D"/>
          <w:sz w:val="21"/>
        </w:rPr>
        <w:t>Autozentic will design, configure and hand over an AI calling agent with appointment booking support. The solution is intended to help the client respond faster, keep customer context across the conversation and make follow-up calls more consistent.</w:t>
      </w:r>
    </w:p>
    <w:p>
      <w:pPr>
        <w:pStyle w:val="Heading1"/>
        <w:spacing w:before="320" w:after="140"/>
      </w:pPr>
      <w:r>
        <w:rPr>
          <w:rFonts w:ascii="Aptos" w:hAnsi="Aptos"/>
          <w:b/>
          <w:i w:val="0"/>
          <w:color w:val="000000"/>
          <w:sz w:val="28"/>
        </w:rPr>
        <w:t>Included Solution</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77"/>
        <w:gridCol w:w="6883"/>
      </w:tblGrid>
      <w:tr>
        <w:trPr>
          <w:tblHeader w:val="true"/>
        </w:trPr>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Solution</w:t>
            </w:r>
          </w:p>
        </w:tc>
        <w:tc>
          <w:tcPr>
            <w:tcW w:type="dxa" w:w="483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Included capability</w:t>
            </w:r>
          </w:p>
        </w:tc>
      </w:tr>
      <w:tr>
        <w:tc>
          <w:tcPr>
            <w:tcW w:type="dxa" w:w="2477"/>
            <w:vAlign w:val="center"/>
            <w:tcMar>
              <w:top w:w="100" w:type="dxa"/>
              <w:start w:w="140" w:type="dxa"/>
              <w:bottom w:w="100" w:type="dxa"/>
              <w:end w:w="140" w:type="dxa"/>
            </w:tcMar>
          </w:tcPr>
          <w:p>
            <w:pPr>
              <w:spacing w:after="0" w:line="252" w:lineRule="auto"/>
              <w:jc w:val="left"/>
            </w:pPr>
            <w:r/>
            <w:r>
              <w:rPr>
                <w:rFonts w:ascii="Aptos" w:hAnsi="Aptos"/>
                <w:b/>
                <w:color w:val="000000"/>
                <w:sz w:val="18"/>
              </w:rPr>
              <w:t>AI calling agent</w:t>
            </w:r>
          </w:p>
        </w:tc>
        <w:tc>
          <w:tcPr>
            <w:tcW w:type="dxa" w:w="6883"/>
            <w:vAlign w:val="center"/>
            <w:tcMar>
              <w:top w:w="100" w:type="dxa"/>
              <w:start w:w="140" w:type="dxa"/>
              <w:bottom w:w="100" w:type="dxa"/>
              <w:end w:w="140" w:type="dxa"/>
            </w:tcMar>
          </w:tcPr>
          <w:p>
            <w:pPr>
              <w:spacing w:after="0" w:line="252" w:lineRule="auto"/>
              <w:jc w:val="left"/>
            </w:pPr>
            <w:r/>
            <w:r>
              <w:rPr>
                <w:rFonts w:ascii="Aptos" w:hAnsi="Aptos"/>
                <w:b w:val="0"/>
                <w:color w:val="2A323D"/>
                <w:sz w:val="18"/>
              </w:rPr>
              <w:t>AI-led inbound and outbound conversations, customer context, purpose-led replies, call outcomes, transcripts and CRM call logs.</w:t>
            </w:r>
          </w:p>
        </w:tc>
      </w:tr>
      <w:tr>
        <w:tc>
          <w:tcPr>
            <w:tcW w:type="dxa" w:w="2477"/>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Appointment booking</w:t>
            </w:r>
          </w:p>
        </w:tc>
        <w:tc>
          <w:tcPr>
            <w:tcW w:type="dxa" w:w="6883"/>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Date and time collection, availability checks, confirmed booking creation and appointment visibility in the CRM.</w:t>
            </w:r>
          </w:p>
        </w:tc>
      </w:tr>
      <w:tr>
        <w:tc>
          <w:tcPr>
            <w:tcW w:type="dxa" w:w="2477"/>
            <w:vAlign w:val="center"/>
            <w:tcMar>
              <w:top w:w="100" w:type="dxa"/>
              <w:start w:w="140" w:type="dxa"/>
              <w:bottom w:w="100" w:type="dxa"/>
              <w:end w:w="140" w:type="dxa"/>
            </w:tcMar>
          </w:tcPr>
          <w:p>
            <w:pPr>
              <w:spacing w:after="0" w:line="252" w:lineRule="auto"/>
              <w:jc w:val="left"/>
            </w:pPr>
            <w:r/>
            <w:r>
              <w:rPr>
                <w:rFonts w:ascii="Aptos" w:hAnsi="Aptos"/>
                <w:b/>
                <w:color w:val="000000"/>
                <w:sz w:val="18"/>
              </w:rPr>
              <w:t>Deployment and support</w:t>
            </w:r>
          </w:p>
        </w:tc>
        <w:tc>
          <w:tcPr>
            <w:tcW w:type="dxa" w:w="6883"/>
            <w:vAlign w:val="center"/>
            <w:tcMar>
              <w:top w:w="100" w:type="dxa"/>
              <w:start w:w="140" w:type="dxa"/>
              <w:bottom w:w="100" w:type="dxa"/>
              <w:end w:w="140" w:type="dxa"/>
            </w:tcMar>
          </w:tcPr>
          <w:p>
            <w:pPr>
              <w:spacing w:after="0" w:line="252" w:lineRule="auto"/>
              <w:jc w:val="left"/>
            </w:pPr>
            <w:r/>
            <w:r>
              <w:rPr>
                <w:rFonts w:ascii="Aptos" w:hAnsi="Aptos"/>
                <w:b w:val="0"/>
                <w:color w:val="2A323D"/>
                <w:sz w:val="18"/>
              </w:rPr>
              <w:t>One-year VPS plan, one-year bug support and handover guidance for the delivered solution.</w:t>
            </w:r>
          </w:p>
        </w:tc>
      </w:tr>
    </w:tbl>
    <w:p>
      <w:pPr>
        <w:pStyle w:val="Heading1"/>
        <w:spacing w:before="320" w:after="100"/>
      </w:pPr>
      <w:r>
        <w:rPr>
          <w:rFonts w:ascii="Aptos" w:hAnsi="Aptos"/>
          <w:b/>
          <w:i w:val="0"/>
          <w:color w:val="000000"/>
          <w:sz w:val="28"/>
        </w:rPr>
        <w:t>Delivery Approach</w:t>
      </w:r>
    </w:p>
    <w:p>
      <w:pPr>
        <w:pStyle w:val="ListBullet"/>
        <w:spacing w:after="60" w:line="252" w:lineRule="auto"/>
        <w:ind w:left="317" w:hanging="173"/>
      </w:pPr>
      <w:r>
        <w:rPr>
          <w:rFonts w:ascii="Aptos" w:hAnsi="Aptos"/>
          <w:b w:val="0"/>
          <w:i w:val="0"/>
          <w:color w:val="2A323D"/>
          <w:sz w:val="20"/>
        </w:rPr>
        <w:t>Confirm business workflows, channel access and appointment rules.</w:t>
      </w:r>
    </w:p>
    <w:p>
      <w:pPr>
        <w:pStyle w:val="ListBullet"/>
        <w:spacing w:after="60" w:line="252" w:lineRule="auto"/>
        <w:ind w:left="317" w:hanging="173"/>
      </w:pPr>
      <w:r>
        <w:rPr>
          <w:rFonts w:ascii="Aptos" w:hAnsi="Aptos"/>
          <w:b w:val="0"/>
          <w:i w:val="0"/>
          <w:color w:val="2A323D"/>
          <w:sz w:val="20"/>
        </w:rPr>
        <w:t>Configure the calling agent, CRM logging and appointment booking flow.</w:t>
      </w:r>
    </w:p>
    <w:p>
      <w:pPr>
        <w:pStyle w:val="ListBullet"/>
        <w:spacing w:after="60" w:line="252" w:lineRule="auto"/>
        <w:ind w:left="317" w:hanging="173"/>
      </w:pPr>
      <w:r>
        <w:rPr>
          <w:rFonts w:ascii="Aptos" w:hAnsi="Aptos"/>
          <w:b w:val="0"/>
          <w:i w:val="0"/>
          <w:color w:val="2A323D"/>
          <w:sz w:val="20"/>
        </w:rPr>
        <w:t>Run integration testing, conversation testing and client review.</w:t>
      </w:r>
    </w:p>
    <w:p>
      <w:pPr>
        <w:pStyle w:val="ListBullet"/>
        <w:spacing w:after="60" w:line="252" w:lineRule="auto"/>
        <w:ind w:left="317" w:hanging="173"/>
      </w:pPr>
      <w:r>
        <w:rPr>
          <w:rFonts w:ascii="Aptos" w:hAnsi="Aptos"/>
          <w:b w:val="0"/>
          <w:i w:val="0"/>
          <w:color w:val="2A323D"/>
          <w:sz w:val="20"/>
        </w:rPr>
        <w:t>Complete handover and begin the one-year bug-support period after delivery.</w:t>
      </w:r>
    </w:p>
    <w:p>
      <w:r>
        <w:br w:type="page"/>
      </w:r>
    </w:p>
    <w:p>
      <w:pPr>
        <w:pStyle w:val="Heading1"/>
        <w:spacing w:before="0" w:after="140"/>
      </w:pPr>
      <w:r>
        <w:rPr>
          <w:rFonts w:ascii="Aptos" w:hAnsi="Aptos"/>
          <w:b/>
          <w:i w:val="0"/>
          <w:color w:val="000000"/>
          <w:sz w:val="28"/>
        </w:rPr>
        <w:t>Commercials</w:t>
      </w:r>
    </w:p>
    <w:p>
      <w:pPr>
        <w:spacing w:after="200" w:line="269" w:lineRule="auto"/>
      </w:pPr>
      <w:r>
        <w:rPr>
          <w:rFonts w:ascii="Aptos" w:hAnsi="Aptos"/>
          <w:b w:val="0"/>
          <w:i w:val="0"/>
          <w:color w:val="2A323D"/>
          <w:sz w:val="21"/>
        </w:rPr>
        <w:t>The complete AI calling agent solution is offered at a professional fee of INR 16,000. Goods and Services Tax is charged at 18% as applicable.</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5184"/>
        <w:gridCol w:w="2088"/>
        <w:gridCol w:w="2088"/>
      </w:tblGrid>
      <w:tr>
        <w:trPr>
          <w:tblHeader w:val="true"/>
        </w:trPr>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Description</w:t>
            </w:r>
          </w:p>
        </w:tc>
        <w:tc>
          <w:tcPr>
            <w:tcW w:type="dxa" w:w="3221"/>
            <w:shd w:fill="18324B"/>
            <w:vAlign w:val="center"/>
            <w:tcMar>
              <w:top w:w="100" w:type="dxa"/>
              <w:start w:w="140" w:type="dxa"/>
              <w:bottom w:w="100" w:type="dxa"/>
              <w:end w:w="140" w:type="dxa"/>
            </w:tcMar>
          </w:tcPr>
          <w:p>
            <w:pPr>
              <w:spacing w:after="0" w:line="252" w:lineRule="auto"/>
              <w:jc w:val="center"/>
            </w:pPr>
            <w:r/>
            <w:r>
              <w:rPr>
                <w:rFonts w:ascii="Aptos" w:hAnsi="Aptos"/>
                <w:b/>
                <w:color w:val="FFFFFF"/>
                <w:sz w:val="18"/>
              </w:rPr>
              <w:t>Amount</w:t>
            </w:r>
          </w:p>
        </w:tc>
        <w:tc>
          <w:tcPr>
            <w:tcW w:type="dxa" w:w="3221"/>
            <w:shd w:fill="18324B"/>
            <w:vAlign w:val="center"/>
            <w:tcMar>
              <w:top w:w="100" w:type="dxa"/>
              <w:start w:w="140" w:type="dxa"/>
              <w:bottom w:w="100" w:type="dxa"/>
              <w:end w:w="140" w:type="dxa"/>
            </w:tcMar>
          </w:tcPr>
          <w:p>
            <w:pPr>
              <w:spacing w:after="0" w:line="252" w:lineRule="auto"/>
              <w:jc w:val="center"/>
            </w:pPr>
            <w:r/>
            <w:r>
              <w:rPr>
                <w:rFonts w:ascii="Aptos" w:hAnsi="Aptos"/>
                <w:b/>
                <w:color w:val="FFFFFF"/>
                <w:sz w:val="18"/>
              </w:rPr>
              <w:t>GST 18%</w:t>
            </w:r>
          </w:p>
        </w:tc>
      </w:tr>
      <w:tr>
        <w:tc>
          <w:tcPr>
            <w:tcW w:type="dxa" w:w="5184"/>
            <w:vAlign w:val="center"/>
            <w:tcMar>
              <w:top w:w="100" w:type="dxa"/>
              <w:start w:w="140" w:type="dxa"/>
              <w:bottom w:w="100" w:type="dxa"/>
              <w:end w:w="140" w:type="dxa"/>
            </w:tcMar>
          </w:tcPr>
          <w:p>
            <w:pPr>
              <w:spacing w:after="0" w:line="252" w:lineRule="auto"/>
              <w:jc w:val="left"/>
            </w:pPr>
            <w:r/>
            <w:r>
              <w:rPr>
                <w:rFonts w:ascii="Aptos" w:hAnsi="Aptos"/>
                <w:b w:val="0"/>
                <w:color w:val="2A323D"/>
                <w:sz w:val="19"/>
              </w:rPr>
              <w:t>Complete solution</w:t>
            </w:r>
          </w:p>
        </w:tc>
        <w:tc>
          <w:tcPr>
            <w:tcW w:type="dxa" w:w="2088"/>
            <w:vAlign w:val="center"/>
            <w:tcMar>
              <w:top w:w="100" w:type="dxa"/>
              <w:start w:w="140" w:type="dxa"/>
              <w:bottom w:w="100" w:type="dxa"/>
              <w:end w:w="140" w:type="dxa"/>
            </w:tcMar>
          </w:tcPr>
          <w:p>
            <w:pPr>
              <w:spacing w:after="0" w:line="252" w:lineRule="auto"/>
              <w:jc w:val="right"/>
            </w:pPr>
            <w:r/>
            <w:r>
              <w:rPr>
                <w:rFonts w:ascii="Aptos" w:hAnsi="Aptos"/>
                <w:b w:val="0"/>
                <w:color w:val="2A323D"/>
                <w:sz w:val="19"/>
              </w:rPr>
              <w:t>INR 16,000</w:t>
            </w:r>
          </w:p>
        </w:tc>
        <w:tc>
          <w:tcPr>
            <w:tcW w:type="dxa" w:w="2088"/>
            <w:vAlign w:val="center"/>
            <w:tcMar>
              <w:top w:w="100" w:type="dxa"/>
              <w:start w:w="140" w:type="dxa"/>
              <w:bottom w:w="100" w:type="dxa"/>
              <w:end w:w="140" w:type="dxa"/>
            </w:tcMar>
          </w:tcPr>
          <w:p>
            <w:pPr>
              <w:spacing w:after="0" w:line="252" w:lineRule="auto"/>
              <w:jc w:val="right"/>
            </w:pPr>
            <w:r/>
            <w:r>
              <w:rPr>
                <w:rFonts w:ascii="Aptos" w:hAnsi="Aptos"/>
                <w:b w:val="0"/>
                <w:color w:val="2A323D"/>
                <w:sz w:val="19"/>
              </w:rPr>
              <w:t>INR 2,880</w:t>
            </w:r>
          </w:p>
        </w:tc>
      </w:tr>
      <w:tr>
        <w:tc>
          <w:tcPr>
            <w:tcW w:type="dxa" w:w="5184"/>
            <w:shd w:fill="EAF5F3"/>
            <w:vAlign w:val="center"/>
            <w:tcMar>
              <w:top w:w="100" w:type="dxa"/>
              <w:start w:w="140" w:type="dxa"/>
              <w:bottom w:w="100" w:type="dxa"/>
              <w:end w:w="140" w:type="dxa"/>
            </w:tcMar>
          </w:tcPr>
          <w:p>
            <w:pPr>
              <w:spacing w:after="0" w:line="252" w:lineRule="auto"/>
              <w:jc w:val="left"/>
            </w:pPr>
            <w:r/>
            <w:r>
              <w:rPr>
                <w:rFonts w:ascii="Aptos" w:hAnsi="Aptos"/>
                <w:b/>
                <w:color w:val="000000"/>
                <w:sz w:val="19"/>
              </w:rPr>
              <w:t>Total payable</w:t>
            </w:r>
          </w:p>
        </w:tc>
        <w:tc>
          <w:tcPr>
            <w:tcW w:type="dxa" w:w="2088"/>
            <w:shd w:fill="EAF5F3"/>
            <w:vAlign w:val="center"/>
            <w:tcMar>
              <w:top w:w="100" w:type="dxa"/>
              <w:start w:w="140" w:type="dxa"/>
              <w:bottom w:w="100" w:type="dxa"/>
              <w:end w:w="140" w:type="dxa"/>
            </w:tcMar>
          </w:tcPr>
          <w:p>
            <w:pPr>
              <w:spacing w:after="0" w:line="252" w:lineRule="auto"/>
              <w:jc w:val="right"/>
            </w:pPr>
            <w:r/>
            <w:r>
              <w:rPr>
                <w:rFonts w:ascii="Aptos" w:hAnsi="Aptos"/>
                <w:b/>
                <w:color w:val="000000"/>
                <w:sz w:val="19"/>
              </w:rPr>
              <w:t>INR 18,880</w:t>
            </w:r>
          </w:p>
        </w:tc>
        <w:tc>
          <w:tcPr>
            <w:tcW w:type="dxa" w:w="2088"/>
            <w:shd w:fill="EAF5F3"/>
            <w:vAlign w:val="center"/>
            <w:tcMar>
              <w:top w:w="100" w:type="dxa"/>
              <w:start w:w="140" w:type="dxa"/>
              <w:bottom w:w="100" w:type="dxa"/>
              <w:end w:w="140" w:type="dxa"/>
            </w:tcMar>
          </w:tcPr>
          <w:p>
            <w:pPr>
              <w:spacing w:after="0" w:line="252" w:lineRule="auto"/>
              <w:jc w:val="right"/>
            </w:pPr>
            <w:r/>
            <w:r>
              <w:rPr>
                <w:rFonts w:ascii="Aptos" w:hAnsi="Aptos"/>
                <w:b/>
                <w:color w:val="000000"/>
                <w:sz w:val="19"/>
              </w:rPr>
              <w:t>Included</w:t>
            </w:r>
          </w:p>
        </w:tc>
      </w:tr>
    </w:tbl>
    <w:p>
      <w:pPr>
        <w:pStyle w:val="Heading1"/>
        <w:spacing w:before="320" w:after="120"/>
      </w:pPr>
      <w:r>
        <w:rPr>
          <w:rFonts w:ascii="Aptos" w:hAnsi="Aptos"/>
          <w:b/>
          <w:i w:val="0"/>
          <w:color w:val="000000"/>
          <w:sz w:val="28"/>
        </w:rPr>
        <w:t>Payment Schedule</w:t>
      </w:r>
    </w:p>
    <w:tbl>
      <w:tblPr>
        <w:tblW w:type="auto" w:w="0"/>
        <w:jc w:val="left"/>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48"/>
        <w:gridCol w:w="4464"/>
        <w:gridCol w:w="2448"/>
      </w:tblGrid>
      <w:tr>
        <w:trPr>
          <w:tblHeader w:val="true"/>
        </w:trPr>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Milestone</w:t>
            </w:r>
          </w:p>
        </w:tc>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Payment condition</w:t>
            </w:r>
          </w:p>
        </w:tc>
        <w:tc>
          <w:tcPr>
            <w:tcW w:type="dxa" w:w="3221"/>
            <w:shd w:fill="18324B"/>
            <w:vAlign w:val="center"/>
            <w:tcMar>
              <w:top w:w="100" w:type="dxa"/>
              <w:start w:w="140" w:type="dxa"/>
              <w:bottom w:w="100" w:type="dxa"/>
              <w:end w:w="140" w:type="dxa"/>
            </w:tcMar>
          </w:tcPr>
          <w:p>
            <w:pPr>
              <w:spacing w:after="0" w:line="252" w:lineRule="auto"/>
              <w:jc w:val="left"/>
            </w:pPr>
            <w:r/>
            <w:r>
              <w:rPr>
                <w:rFonts w:ascii="Aptos" w:hAnsi="Aptos"/>
                <w:b/>
                <w:color w:val="FFFFFF"/>
                <w:sz w:val="18"/>
              </w:rPr>
              <w:t>Amount incl. GST</w:t>
            </w:r>
          </w:p>
        </w:tc>
      </w:tr>
      <w:tr>
        <w:tc>
          <w:tcPr>
            <w:tcW w:type="dxa" w:w="2448"/>
            <w:vAlign w:val="center"/>
            <w:tcMar>
              <w:top w:w="100" w:type="dxa"/>
              <w:start w:w="140" w:type="dxa"/>
              <w:bottom w:w="100" w:type="dxa"/>
              <w:end w:w="140" w:type="dxa"/>
            </w:tcMar>
          </w:tcPr>
          <w:p>
            <w:pPr>
              <w:spacing w:after="0" w:line="252" w:lineRule="auto"/>
              <w:jc w:val="left"/>
            </w:pPr>
            <w:r/>
            <w:r>
              <w:rPr>
                <w:rFonts w:ascii="Aptos" w:hAnsi="Aptos"/>
                <w:b/>
                <w:color w:val="000000"/>
                <w:sz w:val="18"/>
              </w:rPr>
              <w:t>Advance</w:t>
            </w:r>
          </w:p>
        </w:tc>
        <w:tc>
          <w:tcPr>
            <w:tcW w:type="dxa" w:w="4464"/>
            <w:vAlign w:val="center"/>
            <w:tcMar>
              <w:top w:w="100" w:type="dxa"/>
              <w:start w:w="140" w:type="dxa"/>
              <w:bottom w:w="100" w:type="dxa"/>
              <w:end w:w="140" w:type="dxa"/>
            </w:tcMar>
          </w:tcPr>
          <w:p>
            <w:pPr>
              <w:spacing w:after="0" w:line="252" w:lineRule="auto"/>
              <w:jc w:val="left"/>
            </w:pPr>
            <w:r/>
            <w:r>
              <w:rPr>
                <w:rFonts w:ascii="Aptos" w:hAnsi="Aptos"/>
                <w:b w:val="0"/>
                <w:color w:val="2A323D"/>
                <w:sz w:val="18"/>
              </w:rPr>
              <w:t>50% before project commencement</w:t>
            </w:r>
          </w:p>
        </w:tc>
        <w:tc>
          <w:tcPr>
            <w:tcW w:type="dxa" w:w="2448"/>
            <w:vAlign w:val="center"/>
            <w:tcMar>
              <w:top w:w="100" w:type="dxa"/>
              <w:start w:w="140" w:type="dxa"/>
              <w:bottom w:w="100" w:type="dxa"/>
              <w:end w:w="140" w:type="dxa"/>
            </w:tcMar>
          </w:tcPr>
          <w:p>
            <w:pPr>
              <w:spacing w:after="0" w:line="252" w:lineRule="auto"/>
              <w:jc w:val="right"/>
            </w:pPr>
            <w:r/>
            <w:r>
              <w:rPr>
                <w:rFonts w:ascii="Aptos" w:hAnsi="Aptos"/>
                <w:b w:val="0"/>
                <w:color w:val="2A323D"/>
                <w:sz w:val="18"/>
              </w:rPr>
              <w:t>INR 9,440</w:t>
            </w:r>
          </w:p>
        </w:tc>
      </w:tr>
      <w:tr>
        <w:tc>
          <w:tcPr>
            <w:tcW w:type="dxa" w:w="2448"/>
            <w:shd w:fill="F4F6F8"/>
            <w:vAlign w:val="center"/>
            <w:tcMar>
              <w:top w:w="100" w:type="dxa"/>
              <w:start w:w="140" w:type="dxa"/>
              <w:bottom w:w="100" w:type="dxa"/>
              <w:end w:w="140" w:type="dxa"/>
            </w:tcMar>
          </w:tcPr>
          <w:p>
            <w:pPr>
              <w:spacing w:after="0" w:line="252" w:lineRule="auto"/>
              <w:jc w:val="left"/>
            </w:pPr>
            <w:r/>
            <w:r>
              <w:rPr>
                <w:rFonts w:ascii="Aptos" w:hAnsi="Aptos"/>
                <w:b/>
                <w:color w:val="000000"/>
                <w:sz w:val="18"/>
              </w:rPr>
              <w:t>Completion</w:t>
            </w:r>
          </w:p>
        </w:tc>
        <w:tc>
          <w:tcPr>
            <w:tcW w:type="dxa" w:w="4464"/>
            <w:shd w:fill="F4F6F8"/>
            <w:vAlign w:val="center"/>
            <w:tcMar>
              <w:top w:w="100" w:type="dxa"/>
              <w:start w:w="140" w:type="dxa"/>
              <w:bottom w:w="100" w:type="dxa"/>
              <w:end w:w="140" w:type="dxa"/>
            </w:tcMar>
          </w:tcPr>
          <w:p>
            <w:pPr>
              <w:spacing w:after="0" w:line="252" w:lineRule="auto"/>
              <w:jc w:val="left"/>
            </w:pPr>
            <w:r/>
            <w:r>
              <w:rPr>
                <w:rFonts w:ascii="Aptos" w:hAnsi="Aptos"/>
                <w:b w:val="0"/>
                <w:color w:val="2A323D"/>
                <w:sz w:val="18"/>
              </w:rPr>
              <w:t>50% after completion and handover</w:t>
            </w:r>
          </w:p>
        </w:tc>
        <w:tc>
          <w:tcPr>
            <w:tcW w:type="dxa" w:w="2448"/>
            <w:shd w:fill="F4F6F8"/>
            <w:vAlign w:val="center"/>
            <w:tcMar>
              <w:top w:w="100" w:type="dxa"/>
              <w:start w:w="140" w:type="dxa"/>
              <w:bottom w:w="100" w:type="dxa"/>
              <w:end w:w="140" w:type="dxa"/>
            </w:tcMar>
          </w:tcPr>
          <w:p>
            <w:pPr>
              <w:spacing w:after="0" w:line="252" w:lineRule="auto"/>
              <w:jc w:val="right"/>
            </w:pPr>
            <w:r/>
            <w:r>
              <w:rPr>
                <w:rFonts w:ascii="Aptos" w:hAnsi="Aptos"/>
                <w:b w:val="0"/>
                <w:color w:val="2A323D"/>
                <w:sz w:val="18"/>
              </w:rPr>
              <w:t>INR 9,440</w:t>
            </w:r>
          </w:p>
        </w:tc>
      </w:tr>
    </w:tbl>
    <w:p>
      <w:pPr>
        <w:pStyle w:val="Heading1"/>
        <w:spacing w:before="320" w:after="120"/>
      </w:pPr>
      <w:r>
        <w:rPr>
          <w:rFonts w:ascii="Aptos" w:hAnsi="Aptos"/>
          <w:b/>
          <w:i w:val="0"/>
          <w:color w:val="000000"/>
          <w:sz w:val="28"/>
        </w:rPr>
        <w:t>Client Paid Usage Charges</w:t>
      </w:r>
    </w:p>
    <w:p>
      <w:pPr>
        <w:spacing w:after="100" w:line="269" w:lineRule="auto"/>
      </w:pPr>
      <w:r>
        <w:rPr>
          <w:rFonts w:ascii="Aptos" w:hAnsi="Aptos"/>
          <w:b w:val="0"/>
          <w:i w:val="0"/>
          <w:color w:val="2A323D"/>
          <w:sz w:val="21"/>
        </w:rPr>
        <w:t>AI calling usage charges are paid directly by the client to the calling provider and are separate from Autozentic's professional fee:</w:t>
      </w:r>
    </w:p>
    <w:p>
      <w:pPr>
        <w:pStyle w:val="ListBullet"/>
        <w:spacing w:after="60" w:line="252" w:lineRule="auto"/>
        <w:ind w:left="317" w:hanging="173"/>
      </w:pPr>
      <w:r>
        <w:rPr>
          <w:rFonts w:ascii="Aptos" w:hAnsi="Aptos"/>
          <w:b w:val="0"/>
          <w:i w:val="0"/>
          <w:color w:val="2A323D"/>
          <w:sz w:val="20"/>
        </w:rPr>
        <w:t>AI calling and telephony charges billed per minute by the calling provider.</w:t>
      </w:r>
    </w:p>
    <w:p>
      <w:r>
        <w:br w:type="page"/>
      </w:r>
    </w:p>
    <w:p>
      <w:pPr>
        <w:pStyle w:val="Heading1"/>
        <w:spacing w:before="0" w:after="140"/>
      </w:pPr>
      <w:r>
        <w:rPr>
          <w:rFonts w:ascii="Aptos" w:hAnsi="Aptos"/>
          <w:b/>
          <w:i w:val="0"/>
          <w:color w:val="000000"/>
          <w:sz w:val="28"/>
        </w:rPr>
        <w:t>Support and Responsibilities</w:t>
      </w:r>
    </w:p>
    <w:p>
      <w:pPr>
        <w:pStyle w:val="Heading2"/>
        <w:spacing w:before="80" w:after="100"/>
      </w:pPr>
      <w:r>
        <w:rPr>
          <w:rFonts w:ascii="Aptos" w:hAnsi="Aptos"/>
          <w:b/>
          <w:i w:val="0"/>
          <w:color w:val="000000"/>
          <w:sz w:val="23"/>
        </w:rPr>
        <w:t>Included support</w:t>
      </w:r>
    </w:p>
    <w:p>
      <w:pPr>
        <w:spacing w:after="180" w:line="269" w:lineRule="auto"/>
      </w:pPr>
      <w:r>
        <w:rPr>
          <w:rFonts w:ascii="Aptos" w:hAnsi="Aptos"/>
          <w:b w:val="0"/>
          <w:i w:val="0"/>
          <w:color w:val="2A323D"/>
          <w:sz w:val="21"/>
        </w:rPr>
        <w:t>Autozentic will provide one year of bug support for the delivered features and one year of VPS hosting as part of this proposal. Bug support covers defects in the delivered implementation. New features, new campaign content, provider charges and workflow changes outside the agreed scope may be quoted separately.</w:t>
      </w:r>
    </w:p>
    <w:p>
      <w:pPr>
        <w:pStyle w:val="Heading2"/>
        <w:spacing w:before="240" w:after="100"/>
      </w:pPr>
      <w:r>
        <w:rPr>
          <w:rFonts w:ascii="Aptos" w:hAnsi="Aptos"/>
          <w:b/>
          <w:i w:val="0"/>
          <w:color w:val="000000"/>
          <w:sz w:val="23"/>
        </w:rPr>
        <w:t>Client responsibilities</w:t>
      </w:r>
    </w:p>
    <w:p>
      <w:pPr>
        <w:pStyle w:val="ListBullet"/>
        <w:spacing w:after="60" w:line="252" w:lineRule="auto"/>
        <w:ind w:left="317" w:hanging="173"/>
      </w:pPr>
      <w:r>
        <w:rPr>
          <w:rFonts w:ascii="Aptos" w:hAnsi="Aptos"/>
          <w:b w:val="0"/>
          <w:i w:val="0"/>
          <w:color w:val="2A323D"/>
          <w:sz w:val="20"/>
        </w:rPr>
        <w:t>Provide timely access to the telephony, CRM and other required accounts.</w:t>
      </w:r>
    </w:p>
    <w:p>
      <w:pPr>
        <w:pStyle w:val="ListBullet"/>
        <w:spacing w:after="60" w:line="252" w:lineRule="auto"/>
        <w:ind w:left="317" w:hanging="173"/>
      </w:pPr>
      <w:r>
        <w:rPr>
          <w:rFonts w:ascii="Aptos" w:hAnsi="Aptos"/>
          <w:b w:val="0"/>
          <w:i w:val="0"/>
          <w:color w:val="2A323D"/>
          <w:sz w:val="20"/>
        </w:rPr>
        <w:t>Complete provider verification, business approvals and payment of all third-party usage charges.</w:t>
      </w:r>
    </w:p>
    <w:p>
      <w:pPr>
        <w:pStyle w:val="ListBullet"/>
        <w:spacing w:after="60" w:line="252" w:lineRule="auto"/>
        <w:ind w:left="317" w:hanging="173"/>
      </w:pPr>
      <w:r>
        <w:rPr>
          <w:rFonts w:ascii="Aptos" w:hAnsi="Aptos"/>
          <w:b w:val="0"/>
          <w:i w:val="0"/>
          <w:color w:val="2A323D"/>
          <w:sz w:val="20"/>
        </w:rPr>
        <w:t>Provide approved brand content, FAQs, campaign copy, appointment rules and escalation contacts.</w:t>
      </w:r>
    </w:p>
    <w:p>
      <w:pPr>
        <w:pStyle w:val="ListBullet"/>
        <w:spacing w:after="60" w:line="252" w:lineRule="auto"/>
        <w:ind w:left="317" w:hanging="173"/>
      </w:pPr>
      <w:r>
        <w:rPr>
          <w:rFonts w:ascii="Aptos" w:hAnsi="Aptos"/>
          <w:b w:val="0"/>
          <w:i w:val="0"/>
          <w:color w:val="2A323D"/>
          <w:sz w:val="20"/>
        </w:rPr>
        <w:t>Review and approve the configured workflows during testing and handover.</w:t>
      </w:r>
    </w:p>
    <w:p>
      <w:pPr>
        <w:pStyle w:val="Heading2"/>
        <w:spacing w:before="240" w:after="100"/>
      </w:pPr>
      <w:r>
        <w:rPr>
          <w:rFonts w:ascii="Aptos" w:hAnsi="Aptos"/>
          <w:b/>
          <w:i w:val="0"/>
          <w:color w:val="000000"/>
          <w:sz w:val="23"/>
        </w:rPr>
        <w:t>Acceptance and handover</w:t>
      </w:r>
    </w:p>
    <w:p>
      <w:pPr>
        <w:spacing w:after="180" w:line="269" w:lineRule="auto"/>
      </w:pPr>
      <w:r>
        <w:rPr>
          <w:rFonts w:ascii="Aptos" w:hAnsi="Aptos"/>
          <w:b w:val="0"/>
          <w:i w:val="0"/>
          <w:color w:val="2A323D"/>
          <w:sz w:val="21"/>
        </w:rPr>
        <w:t>Completion will be treated as the point at which the agreed features are configured, tested and demonstrated to the client. The remaining 50% payment becomes due after completion and handover. The one-year bug-support period begins on the handover date.</w:t>
      </w:r>
    </w:p>
    <w:p>
      <w:pPr>
        <w:pStyle w:val="Heading1"/>
        <w:spacing w:before="320" w:after="120"/>
      </w:pPr>
      <w:r>
        <w:rPr>
          <w:rFonts w:ascii="Aptos" w:hAnsi="Aptos"/>
          <w:b/>
          <w:i w:val="0"/>
          <w:color w:val="000000"/>
          <w:sz w:val="28"/>
        </w:rPr>
        <w:t>Approval</w:t>
      </w:r>
    </w:p>
    <w:p>
      <w:pPr>
        <w:spacing w:after="320" w:line="269" w:lineRule="auto"/>
      </w:pPr>
      <w:r>
        <w:rPr>
          <w:rFonts w:ascii="Aptos" w:hAnsi="Aptos"/>
          <w:b w:val="0"/>
          <w:i w:val="0"/>
          <w:color w:val="2A323D"/>
          <w:sz w:val="21"/>
        </w:rPr>
        <w:t>To begin, the client may confirm acceptance of this proposal and pay the 50% advance shown above. The project start date will be scheduled after the advance and required account access are received.</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464"/>
        <w:gridCol w:w="4464"/>
      </w:tblGrid>
      <w:tr>
        <w:tc>
          <w:tcPr>
            <w:tcW w:type="dxa" w:w="4831"/>
            <w:vAlign w:val="center"/>
            <w:tcMar>
              <w:top w:w="0" w:type="dxa"/>
              <w:start w:w="0" w:type="dxa"/>
              <w:bottom w:w="0" w:type="dxa"/>
              <w:end w:w="180" w:type="dxa"/>
            </w:tcMar>
          </w:tcPr>
          <w:p>
            <w:pPr>
              <w:spacing w:after="0" w:line="252" w:lineRule="auto"/>
              <w:jc w:val="left"/>
            </w:pPr>
            <w:r/>
            <w:r>
              <w:rPr>
                <w:rFonts w:ascii="Aptos" w:hAnsi="Aptos"/>
                <w:b w:val="0"/>
                <w:color w:val="2A323D"/>
                <w:sz w:val="19"/>
              </w:rPr>
              <w:t>For Autozentic</w:t>
              <w:br/>
              <w:br/>
              <w:t>Name: ____________________</w:t>
              <w:br/>
              <w:t>Signature: _______________</w:t>
            </w:r>
          </w:p>
        </w:tc>
        <w:tc>
          <w:tcPr>
            <w:tcW w:type="dxa" w:w="4831"/>
            <w:vAlign w:val="center"/>
            <w:tcMar>
              <w:top w:w="0" w:type="dxa"/>
              <w:start w:w="0" w:type="dxa"/>
              <w:bottom w:w="0" w:type="dxa"/>
              <w:end w:w="180" w:type="dxa"/>
            </w:tcMar>
          </w:tcPr>
          <w:p>
            <w:pPr>
              <w:spacing w:after="0" w:line="252" w:lineRule="auto"/>
              <w:jc w:val="left"/>
            </w:pPr>
            <w:r/>
            <w:r>
              <w:rPr>
                <w:rFonts w:ascii="Aptos" w:hAnsi="Aptos"/>
                <w:b w:val="0"/>
                <w:color w:val="2A323D"/>
                <w:sz w:val="19"/>
              </w:rPr>
              <w:t>For Client</w:t>
              <w:br/>
              <w:br/>
              <w:t>Name: ____________________</w:t>
              <w:br/>
              <w:t>Signature: _______________</w:t>
            </w:r>
          </w:p>
        </w:tc>
      </w:tr>
    </w:tbl>
    <w:sectPr w:rsidR="00FC693F" w:rsidRPr="0006063C" w:rsidSect="00034616">
      <w:headerReference w:type="default" r:id="rId9"/>
      <w:footerReference w:type="default" r:id="rId10"/>
      <w:pgSz w:w="11909" w:h="16834"/>
      <w:pgMar w:top="936"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46E7B"/>
        <w:sz w:val="16"/>
      </w:rPr>
      <w:t xml:space="preserve">Autozentic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766E"/>
      </w:pBdr>
    </w:pPr>
    <w:r>
      <w:rPr>
        <w:rFonts w:ascii="Aptos" w:hAnsi="Aptos"/>
        <w:b/>
        <w:i w:val="0"/>
        <w:color w:val="000000"/>
        <w:sz w:val="22"/>
      </w:rPr>
      <w:t>AUTOZENTIC</w:t>
    </w:r>
    <w:r>
      <w:rPr>
        <w:rFonts w:ascii="Aptos" w:hAnsi="Aptos"/>
        <w:b/>
        <w:i w:val="0"/>
        <w:color w:val="5D6977"/>
        <w:sz w:val="16"/>
      </w:rPr>
      <w:t xml:space="preserve">     DIGITAL AUTOMATION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Calling Agent Proposal - Autozentic</dc:title>
  <dc:subject>Proposal for AI calling and appointment booking</dc:subject>
  <dc:creator>Autozentic</dc:creator>
  <cp:keywords>Autozentic, AI calling, appointment booking, proposal</cp:keywords>
  <dc:description>generated by python-docx</dc:description>
  <cp:lastModifiedBy/>
  <cp:revision>1</cp:revision>
  <dcterms:created xsi:type="dcterms:W3CDTF">2013-12-23T23:15:00Z</dcterms:created>
  <dcterms:modified xsi:type="dcterms:W3CDTF">2013-12-23T23:15:00Z</dcterms:modified>
  <cp:category/>
</cp:coreProperties>
</file>