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400" w:after="80"/>
      </w:pPr>
      <w:r>
        <w:rPr>
          <w:rFonts w:ascii="Aptos" w:hAnsi="Aptos"/>
          <w:b/>
          <w:i w:val="0"/>
          <w:color w:val="000000"/>
          <w:sz w:val="54"/>
        </w:rPr>
        <w:t>CRM and Social Chatbot Proposal</w:t>
      </w:r>
    </w:p>
    <w:p>
      <w:pPr>
        <w:spacing w:after="320"/>
      </w:pPr>
      <w:r>
        <w:rPr>
          <w:rFonts w:ascii="Aptos" w:hAnsi="Aptos"/>
          <w:b w:val="0"/>
          <w:i w:val="0"/>
          <w:color w:val="536070"/>
          <w:sz w:val="23"/>
        </w:rPr>
        <w:t>24/7 customer replies, lead management and follow-up automation</w:t>
      </w:r>
    </w:p>
    <w:tbl>
      <w:tblPr>
        <w:tblW w:type="auto" w:w="0"/>
        <w:jc w:val="left"/>
        <w:tblLayout w:type="fixed"/>
        <w:tblLook w:firstColumn="1" w:firstRow="1" w:lastColumn="0" w:lastRow="0" w:noHBand="0" w:noVBand="1" w:val="04A0"/>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1944"/>
        <w:gridCol w:w="7416"/>
      </w:tblGrid>
      <w:tr>
        <w:tc>
          <w:tcPr>
            <w:tcW w:type="dxa" w:w="1944"/>
            <w:vAlign w:val="center"/>
            <w:tcMar>
              <w:top w:w="45" w:type="dxa"/>
              <w:start w:w="0" w:type="dxa"/>
              <w:bottom w:w="45" w:type="dxa"/>
              <w:end w:w="120" w:type="dxa"/>
            </w:tcMar>
          </w:tcPr>
          <w:p>
            <w:pPr>
              <w:spacing w:after="0" w:line="252" w:lineRule="auto"/>
              <w:jc w:val="left"/>
            </w:pPr>
            <w:r/>
            <w:r>
              <w:rPr>
                <w:rFonts w:ascii="Aptos" w:hAnsi="Aptos"/>
                <w:b/>
                <w:color w:val="4A5666"/>
                <w:sz w:val="18"/>
              </w:rPr>
              <w:t>Prepared by</w:t>
            </w:r>
          </w:p>
        </w:tc>
        <w:tc>
          <w:tcPr>
            <w:tcW w:type="dxa" w:w="7416"/>
            <w:vAlign w:val="center"/>
            <w:tcMar>
              <w:top w:w="45" w:type="dxa"/>
              <w:start w:w="0" w:type="dxa"/>
              <w:bottom w:w="45" w:type="dxa"/>
              <w:end w:w="120" w:type="dxa"/>
            </w:tcMar>
          </w:tcPr>
          <w:p>
            <w:pPr>
              <w:spacing w:after="0" w:line="252" w:lineRule="auto"/>
              <w:jc w:val="left"/>
            </w:pPr>
            <w:r/>
            <w:r>
              <w:rPr>
                <w:rFonts w:ascii="Aptos" w:hAnsi="Aptos"/>
                <w:b w:val="0"/>
                <w:color w:val="2A323D"/>
                <w:sz w:val="19"/>
              </w:rPr>
              <w:t>Autozentic</w:t>
            </w:r>
          </w:p>
        </w:tc>
      </w:tr>
      <w:tr>
        <w:tc>
          <w:tcPr>
            <w:tcW w:type="dxa" w:w="1944"/>
            <w:vAlign w:val="center"/>
            <w:tcMar>
              <w:top w:w="45" w:type="dxa"/>
              <w:start w:w="0" w:type="dxa"/>
              <w:bottom w:w="45" w:type="dxa"/>
              <w:end w:w="120" w:type="dxa"/>
            </w:tcMar>
          </w:tcPr>
          <w:p>
            <w:pPr>
              <w:spacing w:after="0" w:line="252" w:lineRule="auto"/>
              <w:jc w:val="left"/>
            </w:pPr>
            <w:r/>
            <w:r>
              <w:rPr>
                <w:rFonts w:ascii="Aptos" w:hAnsi="Aptos"/>
                <w:b/>
                <w:color w:val="4A5666"/>
                <w:sz w:val="18"/>
              </w:rPr>
              <w:t>Location</w:t>
            </w:r>
          </w:p>
        </w:tc>
        <w:tc>
          <w:tcPr>
            <w:tcW w:type="dxa" w:w="7416"/>
            <w:vAlign w:val="center"/>
            <w:tcMar>
              <w:top w:w="45" w:type="dxa"/>
              <w:start w:w="0" w:type="dxa"/>
              <w:bottom w:w="45" w:type="dxa"/>
              <w:end w:w="120" w:type="dxa"/>
            </w:tcMar>
          </w:tcPr>
          <w:p>
            <w:pPr>
              <w:spacing w:after="0" w:line="252" w:lineRule="auto"/>
              <w:jc w:val="left"/>
            </w:pPr>
            <w:r/>
            <w:r>
              <w:rPr>
                <w:rFonts w:ascii="Aptos" w:hAnsi="Aptos"/>
                <w:b w:val="0"/>
                <w:color w:val="2A323D"/>
                <w:sz w:val="19"/>
              </w:rPr>
              <w:t>Jagatpura, Jaipur</w:t>
            </w:r>
          </w:p>
        </w:tc>
      </w:tr>
      <w:tr>
        <w:tc>
          <w:tcPr>
            <w:tcW w:type="dxa" w:w="1944"/>
            <w:vAlign w:val="center"/>
            <w:tcMar>
              <w:top w:w="45" w:type="dxa"/>
              <w:start w:w="0" w:type="dxa"/>
              <w:bottom w:w="45" w:type="dxa"/>
              <w:end w:w="120" w:type="dxa"/>
            </w:tcMar>
          </w:tcPr>
          <w:p>
            <w:pPr>
              <w:spacing w:after="0" w:line="252" w:lineRule="auto"/>
              <w:jc w:val="left"/>
            </w:pPr>
            <w:r/>
            <w:r>
              <w:rPr>
                <w:rFonts w:ascii="Aptos" w:hAnsi="Aptos"/>
                <w:b/>
                <w:color w:val="4A5666"/>
                <w:sz w:val="18"/>
              </w:rPr>
              <w:t>Prepared for</w:t>
            </w:r>
          </w:p>
        </w:tc>
        <w:tc>
          <w:tcPr>
            <w:tcW w:type="dxa" w:w="7416"/>
            <w:vAlign w:val="center"/>
            <w:tcMar>
              <w:top w:w="45" w:type="dxa"/>
              <w:start w:w="0" w:type="dxa"/>
              <w:bottom w:w="45" w:type="dxa"/>
              <w:end w:w="120" w:type="dxa"/>
            </w:tcMar>
          </w:tcPr>
          <w:p>
            <w:pPr>
              <w:spacing w:after="0" w:line="252" w:lineRule="auto"/>
              <w:jc w:val="left"/>
            </w:pPr>
            <w:r/>
            <w:r>
              <w:rPr>
                <w:rFonts w:ascii="Aptos" w:hAnsi="Aptos"/>
                <w:b w:val="0"/>
                <w:color w:val="2A323D"/>
                <w:sz w:val="19"/>
              </w:rPr>
              <w:t>Geogres</w:t>
            </w:r>
          </w:p>
        </w:tc>
      </w:tr>
      <w:tr>
        <w:tc>
          <w:tcPr>
            <w:tcW w:type="dxa" w:w="1944"/>
            <w:vAlign w:val="center"/>
            <w:tcMar>
              <w:top w:w="45" w:type="dxa"/>
              <w:start w:w="0" w:type="dxa"/>
              <w:bottom w:w="45" w:type="dxa"/>
              <w:end w:w="120" w:type="dxa"/>
            </w:tcMar>
          </w:tcPr>
          <w:p>
            <w:pPr>
              <w:spacing w:after="0" w:line="252" w:lineRule="auto"/>
              <w:jc w:val="left"/>
            </w:pPr>
            <w:r/>
            <w:r>
              <w:rPr>
                <w:rFonts w:ascii="Aptos" w:hAnsi="Aptos"/>
                <w:b/>
                <w:color w:val="4A5666"/>
                <w:sz w:val="18"/>
              </w:rPr>
              <w:t>Date</w:t>
            </w:r>
          </w:p>
        </w:tc>
        <w:tc>
          <w:tcPr>
            <w:tcW w:type="dxa" w:w="7416"/>
            <w:vAlign w:val="center"/>
            <w:tcMar>
              <w:top w:w="45" w:type="dxa"/>
              <w:start w:w="0" w:type="dxa"/>
              <w:bottom w:w="45" w:type="dxa"/>
              <w:end w:w="120" w:type="dxa"/>
            </w:tcMar>
          </w:tcPr>
          <w:p>
            <w:pPr>
              <w:spacing w:after="0" w:line="252" w:lineRule="auto"/>
              <w:jc w:val="left"/>
            </w:pPr>
            <w:r/>
            <w:r>
              <w:rPr>
                <w:rFonts w:ascii="Aptos" w:hAnsi="Aptos"/>
                <w:b w:val="0"/>
                <w:color w:val="2A323D"/>
                <w:sz w:val="19"/>
              </w:rPr>
              <w:t>8 September 2026</w:t>
            </w:r>
          </w:p>
        </w:tc>
      </w:tr>
    </w:tbl>
    <w:p>
      <w:pPr>
        <w:pStyle w:val="Heading1"/>
        <w:spacing w:before="440" w:after="120"/>
      </w:pPr>
      <w:r>
        <w:rPr>
          <w:rFonts w:ascii="Aptos" w:hAnsi="Aptos"/>
          <w:b/>
          <w:i w:val="0"/>
          <w:color w:val="000000"/>
          <w:sz w:val="28"/>
        </w:rPr>
        <w:t>Proposal Summary</w:t>
      </w:r>
    </w:p>
    <w:p>
      <w:pPr>
        <w:spacing w:after="140" w:line="269" w:lineRule="auto"/>
      </w:pPr>
      <w:r>
        <w:rPr>
          <w:rFonts w:ascii="Aptos" w:hAnsi="Aptos"/>
          <w:b w:val="0"/>
          <w:i w:val="0"/>
          <w:color w:val="2A323D"/>
          <w:sz w:val="21"/>
        </w:rPr>
        <w:t>Autozentic will configure a customer-engagement CRM for Geogres with 24/7 conversational chatbots across WhatsApp, Instagram and Facebook. The solution will organize incoming enquiries, move leads through a clear pipeline, manage dealers and partners, schedule follow-ups and keep appointments visible to the team.</w:t>
      </w:r>
    </w:p>
    <w:p>
      <w:pPr>
        <w:pStyle w:val="Heading1"/>
        <w:spacing w:before="320" w:after="140"/>
      </w:pPr>
      <w:r>
        <w:rPr>
          <w:rFonts w:ascii="Aptos" w:hAnsi="Aptos"/>
          <w:b/>
          <w:i w:val="0"/>
          <w:color w:val="000000"/>
          <w:sz w:val="28"/>
        </w:rPr>
        <w:t>Included Solution</w:t>
      </w:r>
    </w:p>
    <w:tbl>
      <w:tblPr>
        <w:tblW w:type="auto" w:w="0"/>
        <w:jc w:val="left"/>
        <w:tblLayout w:type="fixed"/>
        <w:tblLook w:firstColumn="1" w:firstRow="1" w:lastColumn="0" w:lastRow="0" w:noHBand="0" w:noVBand="1" w:val="04A0"/>
        <w:tblBorders>
          <w:top w:val="single" w:sz="6" w:space="0" w:color="D9DEE5"/>
          <w:left w:val="single" w:sz="6" w:space="0" w:color="D9DEE5"/>
          <w:bottom w:val="single" w:sz="6" w:space="0" w:color="D9DEE5"/>
          <w:right w:val="single" w:sz="6" w:space="0" w:color="D9DEE5"/>
          <w:insideH w:val="single" w:sz="6" w:space="0" w:color="D9DEE5"/>
          <w:insideV w:val="single" w:sz="6" w:space="0" w:color="D9DEE5"/>
        </w:tblBorders>
      </w:tblPr>
      <w:tblGrid>
        <w:gridCol w:w="2808"/>
        <w:gridCol w:w="6552"/>
      </w:tblGrid>
      <w:tr>
        <w:trPr>
          <w:tblHeader w:val="true"/>
        </w:trPr>
        <w:tc>
          <w:tcPr>
            <w:tcW w:type="dxa" w:w="4831"/>
            <w:shd w:fill="18324B"/>
            <w:vAlign w:val="center"/>
            <w:tcMar>
              <w:top w:w="100" w:type="dxa"/>
              <w:start w:w="140" w:type="dxa"/>
              <w:bottom w:w="100" w:type="dxa"/>
              <w:end w:w="140" w:type="dxa"/>
            </w:tcMar>
          </w:tcPr>
          <w:p>
            <w:pPr>
              <w:spacing w:after="0" w:line="252" w:lineRule="auto"/>
              <w:jc w:val="left"/>
            </w:pPr>
            <w:r/>
            <w:r>
              <w:rPr>
                <w:rFonts w:ascii="Aptos" w:hAnsi="Aptos"/>
                <w:b/>
                <w:color w:val="FFFFFF"/>
                <w:sz w:val="18"/>
              </w:rPr>
              <w:t>Module</w:t>
            </w:r>
          </w:p>
        </w:tc>
        <w:tc>
          <w:tcPr>
            <w:tcW w:type="dxa" w:w="4831"/>
            <w:shd w:fill="18324B"/>
            <w:vAlign w:val="center"/>
            <w:tcMar>
              <w:top w:w="100" w:type="dxa"/>
              <w:start w:w="140" w:type="dxa"/>
              <w:bottom w:w="100" w:type="dxa"/>
              <w:end w:w="140" w:type="dxa"/>
            </w:tcMar>
          </w:tcPr>
          <w:p>
            <w:pPr>
              <w:spacing w:after="0" w:line="252" w:lineRule="auto"/>
              <w:jc w:val="left"/>
            </w:pPr>
            <w:r/>
            <w:r>
              <w:rPr>
                <w:rFonts w:ascii="Aptos" w:hAnsi="Aptos"/>
                <w:b/>
                <w:color w:val="FFFFFF"/>
                <w:sz w:val="18"/>
              </w:rPr>
              <w:t>Included capability</w:t>
            </w:r>
          </w:p>
        </w:tc>
      </w:tr>
      <w:tr>
        <w:tc>
          <w:tcPr>
            <w:tcW w:type="dxa" w:w="2808"/>
            <w:vAlign w:val="center"/>
            <w:tcMar>
              <w:top w:w="100" w:type="dxa"/>
              <w:start w:w="140" w:type="dxa"/>
              <w:bottom w:w="100" w:type="dxa"/>
              <w:end w:w="140" w:type="dxa"/>
            </w:tcMar>
          </w:tcPr>
          <w:p>
            <w:pPr>
              <w:spacing w:after="0" w:line="252" w:lineRule="auto"/>
              <w:jc w:val="left"/>
            </w:pPr>
            <w:r/>
            <w:r>
              <w:rPr>
                <w:rFonts w:ascii="Aptos" w:hAnsi="Aptos"/>
                <w:b/>
                <w:color w:val="000000"/>
                <w:sz w:val="18"/>
              </w:rPr>
              <w:t>24/7 social chatbots</w:t>
            </w:r>
          </w:p>
        </w:tc>
        <w:tc>
          <w:tcPr>
            <w:tcW w:type="dxa" w:w="6552"/>
            <w:vAlign w:val="center"/>
            <w:tcMar>
              <w:top w:w="100" w:type="dxa"/>
              <w:start w:w="140" w:type="dxa"/>
              <w:bottom w:w="100" w:type="dxa"/>
              <w:end w:w="140" w:type="dxa"/>
            </w:tcMar>
          </w:tcPr>
          <w:p>
            <w:pPr>
              <w:spacing w:after="0" w:line="252" w:lineRule="auto"/>
              <w:jc w:val="left"/>
            </w:pPr>
            <w:r/>
            <w:r>
              <w:rPr>
                <w:rFonts w:ascii="Aptos" w:hAnsi="Aptos"/>
                <w:b w:val="0"/>
                <w:color w:val="2A323D"/>
                <w:sz w:val="18"/>
              </w:rPr>
              <w:t>Connected WhatsApp, Instagram and Facebook chat experiences for FAQs, enquiry handling, lead capture and customer responses at any time.</w:t>
            </w:r>
          </w:p>
        </w:tc>
      </w:tr>
      <w:tr>
        <w:tc>
          <w:tcPr>
            <w:tcW w:type="dxa" w:w="2808"/>
            <w:shd w:fill="F4F6F8"/>
            <w:vAlign w:val="center"/>
            <w:tcMar>
              <w:top w:w="100" w:type="dxa"/>
              <w:start w:w="140" w:type="dxa"/>
              <w:bottom w:w="100" w:type="dxa"/>
              <w:end w:w="140" w:type="dxa"/>
            </w:tcMar>
          </w:tcPr>
          <w:p>
            <w:pPr>
              <w:spacing w:after="0" w:line="252" w:lineRule="auto"/>
              <w:jc w:val="left"/>
            </w:pPr>
            <w:r/>
            <w:r>
              <w:rPr>
                <w:rFonts w:ascii="Aptos" w:hAnsi="Aptos"/>
                <w:b/>
                <w:color w:val="000000"/>
                <w:sz w:val="18"/>
              </w:rPr>
              <w:t>CRM dashboard</w:t>
            </w:r>
          </w:p>
        </w:tc>
        <w:tc>
          <w:tcPr>
            <w:tcW w:type="dxa" w:w="6552"/>
            <w:shd w:fill="F4F6F8"/>
            <w:vAlign w:val="center"/>
            <w:tcMar>
              <w:top w:w="100" w:type="dxa"/>
              <w:start w:w="140" w:type="dxa"/>
              <w:bottom w:w="100" w:type="dxa"/>
              <w:end w:w="140" w:type="dxa"/>
            </w:tcMar>
          </w:tcPr>
          <w:p>
            <w:pPr>
              <w:spacing w:after="0" w:line="252" w:lineRule="auto"/>
              <w:jc w:val="left"/>
            </w:pPr>
            <w:r/>
            <w:r>
              <w:rPr>
                <w:rFonts w:ascii="Aptos" w:hAnsi="Aptos"/>
                <w:b w:val="0"/>
                <w:color w:val="2A323D"/>
                <w:sz w:val="18"/>
              </w:rPr>
              <w:t>A central workspace for activity visibility, lead status, appointments, follow-ups and operational summaries.</w:t>
            </w:r>
          </w:p>
        </w:tc>
      </w:tr>
      <w:tr>
        <w:tc>
          <w:tcPr>
            <w:tcW w:type="dxa" w:w="2808"/>
            <w:vAlign w:val="center"/>
            <w:tcMar>
              <w:top w:w="100" w:type="dxa"/>
              <w:start w:w="140" w:type="dxa"/>
              <w:bottom w:w="100" w:type="dxa"/>
              <w:end w:w="140" w:type="dxa"/>
            </w:tcMar>
          </w:tcPr>
          <w:p>
            <w:pPr>
              <w:spacing w:after="0" w:line="252" w:lineRule="auto"/>
              <w:jc w:val="left"/>
            </w:pPr>
            <w:r/>
            <w:r>
              <w:rPr>
                <w:rFonts w:ascii="Aptos" w:hAnsi="Aptos"/>
                <w:b/>
                <w:color w:val="000000"/>
                <w:sz w:val="18"/>
              </w:rPr>
              <w:t>Leads pipeline</w:t>
            </w:r>
          </w:p>
        </w:tc>
        <w:tc>
          <w:tcPr>
            <w:tcW w:type="dxa" w:w="6552"/>
            <w:vAlign w:val="center"/>
            <w:tcMar>
              <w:top w:w="100" w:type="dxa"/>
              <w:start w:w="140" w:type="dxa"/>
              <w:bottom w:w="100" w:type="dxa"/>
              <w:end w:w="140" w:type="dxa"/>
            </w:tcMar>
          </w:tcPr>
          <w:p>
            <w:pPr>
              <w:spacing w:after="0" w:line="252" w:lineRule="auto"/>
              <w:jc w:val="left"/>
            </w:pPr>
            <w:r/>
            <w:r>
              <w:rPr>
                <w:rFonts w:ascii="Aptos" w:hAnsi="Aptos"/>
                <w:b w:val="0"/>
                <w:color w:val="2A323D"/>
                <w:sz w:val="18"/>
              </w:rPr>
              <w:t>Capture, qualify, assign and move leads through configurable stages with customer history available to the team.</w:t>
            </w:r>
          </w:p>
        </w:tc>
      </w:tr>
      <w:tr>
        <w:tc>
          <w:tcPr>
            <w:tcW w:type="dxa" w:w="2808"/>
            <w:shd w:fill="F4F6F8"/>
            <w:vAlign w:val="center"/>
            <w:tcMar>
              <w:top w:w="100" w:type="dxa"/>
              <w:start w:w="140" w:type="dxa"/>
              <w:bottom w:w="100" w:type="dxa"/>
              <w:end w:w="140" w:type="dxa"/>
            </w:tcMar>
          </w:tcPr>
          <w:p>
            <w:pPr>
              <w:spacing w:after="0" w:line="252" w:lineRule="auto"/>
              <w:jc w:val="left"/>
            </w:pPr>
            <w:r/>
            <w:r>
              <w:rPr>
                <w:rFonts w:ascii="Aptos" w:hAnsi="Aptos"/>
                <w:b/>
                <w:color w:val="000000"/>
                <w:sz w:val="18"/>
              </w:rPr>
              <w:t>Dealers and partners</w:t>
            </w:r>
          </w:p>
        </w:tc>
        <w:tc>
          <w:tcPr>
            <w:tcW w:type="dxa" w:w="6552"/>
            <w:shd w:fill="F4F6F8"/>
            <w:vAlign w:val="center"/>
            <w:tcMar>
              <w:top w:w="100" w:type="dxa"/>
              <w:start w:w="140" w:type="dxa"/>
              <w:bottom w:w="100" w:type="dxa"/>
              <w:end w:w="140" w:type="dxa"/>
            </w:tcMar>
          </w:tcPr>
          <w:p>
            <w:pPr>
              <w:spacing w:after="0" w:line="252" w:lineRule="auto"/>
              <w:jc w:val="left"/>
            </w:pPr>
            <w:r/>
            <w:r>
              <w:rPr>
                <w:rFonts w:ascii="Aptos" w:hAnsi="Aptos"/>
                <w:b w:val="0"/>
                <w:color w:val="2A323D"/>
                <w:sz w:val="18"/>
              </w:rPr>
              <w:t>Dealer and partner records, contact details, relationship tracking and follow-up visibility.</w:t>
            </w:r>
          </w:p>
        </w:tc>
      </w:tr>
      <w:tr>
        <w:tc>
          <w:tcPr>
            <w:tcW w:type="dxa" w:w="2808"/>
            <w:vAlign w:val="center"/>
            <w:tcMar>
              <w:top w:w="100" w:type="dxa"/>
              <w:start w:w="140" w:type="dxa"/>
              <w:bottom w:w="100" w:type="dxa"/>
              <w:end w:w="140" w:type="dxa"/>
            </w:tcMar>
          </w:tcPr>
          <w:p>
            <w:pPr>
              <w:spacing w:after="0" w:line="252" w:lineRule="auto"/>
              <w:jc w:val="left"/>
            </w:pPr>
            <w:r/>
            <w:r>
              <w:rPr>
                <w:rFonts w:ascii="Aptos" w:hAnsi="Aptos"/>
                <w:b/>
                <w:color w:val="000000"/>
                <w:sz w:val="18"/>
              </w:rPr>
              <w:t>Follow-ups</w:t>
            </w:r>
          </w:p>
        </w:tc>
        <w:tc>
          <w:tcPr>
            <w:tcW w:type="dxa" w:w="6552"/>
            <w:vAlign w:val="center"/>
            <w:tcMar>
              <w:top w:w="100" w:type="dxa"/>
              <w:start w:w="140" w:type="dxa"/>
              <w:bottom w:w="100" w:type="dxa"/>
              <w:end w:w="140" w:type="dxa"/>
            </w:tcMar>
          </w:tcPr>
          <w:p>
            <w:pPr>
              <w:spacing w:after="0" w:line="252" w:lineRule="auto"/>
              <w:jc w:val="left"/>
            </w:pPr>
            <w:r/>
            <w:r>
              <w:rPr>
                <w:rFonts w:ascii="Aptos" w:hAnsi="Aptos"/>
                <w:b w:val="0"/>
                <w:color w:val="2A323D"/>
                <w:sz w:val="18"/>
              </w:rPr>
              <w:t>Scheduled follow-up tasks and reminders so enquiries and opportunities do not get missed.</w:t>
            </w:r>
          </w:p>
        </w:tc>
      </w:tr>
      <w:tr>
        <w:tc>
          <w:tcPr>
            <w:tcW w:type="dxa" w:w="2808"/>
            <w:shd w:fill="F4F6F8"/>
            <w:vAlign w:val="center"/>
            <w:tcMar>
              <w:top w:w="100" w:type="dxa"/>
              <w:start w:w="140" w:type="dxa"/>
              <w:bottom w:w="100" w:type="dxa"/>
              <w:end w:w="140" w:type="dxa"/>
            </w:tcMar>
          </w:tcPr>
          <w:p>
            <w:pPr>
              <w:spacing w:after="0" w:line="252" w:lineRule="auto"/>
              <w:jc w:val="left"/>
            </w:pPr>
            <w:r/>
            <w:r>
              <w:rPr>
                <w:rFonts w:ascii="Aptos" w:hAnsi="Aptos"/>
                <w:b/>
                <w:color w:val="000000"/>
                <w:sz w:val="18"/>
              </w:rPr>
              <w:t>Appointments</w:t>
            </w:r>
          </w:p>
        </w:tc>
        <w:tc>
          <w:tcPr>
            <w:tcW w:type="dxa" w:w="6552"/>
            <w:shd w:fill="F4F6F8"/>
            <w:vAlign w:val="center"/>
            <w:tcMar>
              <w:top w:w="100" w:type="dxa"/>
              <w:start w:w="140" w:type="dxa"/>
              <w:bottom w:w="100" w:type="dxa"/>
              <w:end w:w="140" w:type="dxa"/>
            </w:tcMar>
          </w:tcPr>
          <w:p>
            <w:pPr>
              <w:spacing w:after="0" w:line="252" w:lineRule="auto"/>
              <w:jc w:val="left"/>
            </w:pPr>
            <w:r/>
            <w:r>
              <w:rPr>
                <w:rFonts w:ascii="Aptos" w:hAnsi="Aptos"/>
                <w:b w:val="0"/>
                <w:color w:val="2A323D"/>
                <w:sz w:val="18"/>
              </w:rPr>
              <w:t>Appointment creation, date and time tracking, status updates and visibility for the responsible team member.</w:t>
            </w:r>
          </w:p>
        </w:tc>
      </w:tr>
    </w:tbl>
    <w:p>
      <w:pPr>
        <w:pStyle w:val="Heading1"/>
        <w:spacing w:before="320" w:after="100"/>
      </w:pPr>
      <w:r>
        <w:rPr>
          <w:rFonts w:ascii="Aptos" w:hAnsi="Aptos"/>
          <w:b/>
          <w:i w:val="0"/>
          <w:color w:val="000000"/>
          <w:sz w:val="28"/>
        </w:rPr>
        <w:t>Delivery Approach</w:t>
      </w:r>
    </w:p>
    <w:p>
      <w:pPr>
        <w:pStyle w:val="ListBullet"/>
        <w:spacing w:after="60" w:line="252" w:lineRule="auto"/>
        <w:ind w:left="317" w:hanging="173"/>
      </w:pPr>
      <w:r>
        <w:rPr>
          <w:rFonts w:ascii="Aptos" w:hAnsi="Aptos"/>
          <w:b w:val="0"/>
          <w:i w:val="0"/>
          <w:color w:val="2A323D"/>
          <w:sz w:val="20"/>
        </w:rPr>
        <w:t>Confirm Geogres workflows, user roles, lead stages, appointment rules and response content.</w:t>
      </w:r>
    </w:p>
    <w:p>
      <w:pPr>
        <w:pStyle w:val="ListBullet"/>
        <w:spacing w:after="60" w:line="252" w:lineRule="auto"/>
        <w:ind w:left="317" w:hanging="173"/>
      </w:pPr>
      <w:r>
        <w:rPr>
          <w:rFonts w:ascii="Aptos" w:hAnsi="Aptos"/>
          <w:b w:val="0"/>
          <w:i w:val="0"/>
          <w:color w:val="2A323D"/>
          <w:sz w:val="20"/>
        </w:rPr>
        <w:t>Connect and configure WhatsApp, Instagram and Facebook chatbot entry points.</w:t>
      </w:r>
    </w:p>
    <w:p>
      <w:pPr>
        <w:pStyle w:val="ListBullet"/>
        <w:spacing w:after="60" w:line="252" w:lineRule="auto"/>
        <w:ind w:left="317" w:hanging="173"/>
      </w:pPr>
      <w:r>
        <w:rPr>
          <w:rFonts w:ascii="Aptos" w:hAnsi="Aptos"/>
          <w:b w:val="0"/>
          <w:i w:val="0"/>
          <w:color w:val="2A323D"/>
          <w:sz w:val="20"/>
        </w:rPr>
        <w:t>Configure the CRM dashboard, lead pipeline, dealer and partner records, follow-ups and appointments.</w:t>
      </w:r>
    </w:p>
    <w:p>
      <w:pPr>
        <w:pStyle w:val="ListBullet"/>
        <w:spacing w:after="60" w:line="252" w:lineRule="auto"/>
        <w:ind w:left="317" w:hanging="173"/>
      </w:pPr>
      <w:r>
        <w:rPr>
          <w:rFonts w:ascii="Aptos" w:hAnsi="Aptos"/>
          <w:b w:val="0"/>
          <w:i w:val="0"/>
          <w:color w:val="2A323D"/>
          <w:sz w:val="20"/>
        </w:rPr>
        <w:t>Test the workflows with sample enquiries and complete handover within the agreed seven-day timeline.</w:t>
      </w:r>
    </w:p>
    <w:p>
      <w:r>
        <w:br w:type="page"/>
      </w:r>
    </w:p>
    <w:p>
      <w:pPr>
        <w:pStyle w:val="Heading1"/>
        <w:spacing w:before="0" w:after="140"/>
      </w:pPr>
      <w:r>
        <w:rPr>
          <w:rFonts w:ascii="Aptos" w:hAnsi="Aptos"/>
          <w:b/>
          <w:i w:val="0"/>
          <w:color w:val="000000"/>
          <w:sz w:val="28"/>
        </w:rPr>
        <w:t>Timeline</w:t>
      </w:r>
    </w:p>
    <w:p>
      <w:pPr>
        <w:spacing w:after="200" w:line="269" w:lineRule="auto"/>
      </w:pPr>
      <w:r>
        <w:rPr>
          <w:rFonts w:ascii="Aptos" w:hAnsi="Aptos"/>
          <w:b w:val="0"/>
          <w:i w:val="0"/>
          <w:color w:val="2A323D"/>
          <w:sz w:val="21"/>
        </w:rPr>
        <w:t>The target delivery timeline is seven calendar days from receipt of the advance payment and the required account access, approvals and business information.</w:t>
      </w:r>
    </w:p>
    <w:tbl>
      <w:tblPr>
        <w:tblW w:type="auto" w:w="0"/>
        <w:jc w:val="left"/>
        <w:tblLayout w:type="fixed"/>
        <w:tblLook w:firstColumn="1" w:firstRow="1" w:lastColumn="0" w:lastRow="0" w:noHBand="0" w:noVBand="1" w:val="04A0"/>
        <w:tblBorders>
          <w:top w:val="single" w:sz="6" w:space="0" w:color="D9DEE5"/>
          <w:left w:val="single" w:sz="6" w:space="0" w:color="D9DEE5"/>
          <w:bottom w:val="single" w:sz="6" w:space="0" w:color="D9DEE5"/>
          <w:right w:val="single" w:sz="6" w:space="0" w:color="D9DEE5"/>
          <w:insideH w:val="single" w:sz="6" w:space="0" w:color="D9DEE5"/>
          <w:insideV w:val="single" w:sz="6" w:space="0" w:color="D9DEE5"/>
        </w:tblBorders>
      </w:tblPr>
      <w:tblGrid>
        <w:gridCol w:w="2232"/>
        <w:gridCol w:w="7128"/>
      </w:tblGrid>
      <w:tr>
        <w:trPr>
          <w:tblHeader w:val="true"/>
        </w:trPr>
        <w:tc>
          <w:tcPr>
            <w:tcW w:type="dxa" w:w="4831"/>
            <w:shd w:fill="18324B"/>
            <w:vAlign w:val="center"/>
            <w:tcMar>
              <w:top w:w="100" w:type="dxa"/>
              <w:start w:w="140" w:type="dxa"/>
              <w:bottom w:w="100" w:type="dxa"/>
              <w:end w:w="140" w:type="dxa"/>
            </w:tcMar>
          </w:tcPr>
          <w:p>
            <w:pPr>
              <w:spacing w:after="0" w:line="252" w:lineRule="auto"/>
              <w:jc w:val="left"/>
            </w:pPr>
            <w:r/>
            <w:r>
              <w:rPr>
                <w:rFonts w:ascii="Aptos" w:hAnsi="Aptos"/>
                <w:b/>
                <w:color w:val="FFFFFF"/>
                <w:sz w:val="18"/>
              </w:rPr>
              <w:t>Stage</w:t>
            </w:r>
          </w:p>
        </w:tc>
        <w:tc>
          <w:tcPr>
            <w:tcW w:type="dxa" w:w="4831"/>
            <w:shd w:fill="18324B"/>
            <w:vAlign w:val="center"/>
            <w:tcMar>
              <w:top w:w="100" w:type="dxa"/>
              <w:start w:w="140" w:type="dxa"/>
              <w:bottom w:w="100" w:type="dxa"/>
              <w:end w:w="140" w:type="dxa"/>
            </w:tcMar>
          </w:tcPr>
          <w:p>
            <w:pPr>
              <w:spacing w:after="0" w:line="252" w:lineRule="auto"/>
              <w:jc w:val="left"/>
            </w:pPr>
            <w:r/>
            <w:r>
              <w:rPr>
                <w:rFonts w:ascii="Aptos" w:hAnsi="Aptos"/>
                <w:b/>
                <w:color w:val="FFFFFF"/>
                <w:sz w:val="18"/>
              </w:rPr>
              <w:t>Planned work</w:t>
            </w:r>
          </w:p>
        </w:tc>
      </w:tr>
      <w:tr>
        <w:tc>
          <w:tcPr>
            <w:tcW w:type="dxa" w:w="2232"/>
            <w:vAlign w:val="center"/>
            <w:tcMar>
              <w:top w:w="100" w:type="dxa"/>
              <w:start w:w="140" w:type="dxa"/>
              <w:bottom w:w="100" w:type="dxa"/>
              <w:end w:w="140" w:type="dxa"/>
            </w:tcMar>
          </w:tcPr>
          <w:p>
            <w:pPr>
              <w:spacing w:after="0" w:line="252" w:lineRule="auto"/>
              <w:jc w:val="left"/>
            </w:pPr>
            <w:r/>
            <w:r>
              <w:rPr>
                <w:rFonts w:ascii="Aptos" w:hAnsi="Aptos"/>
                <w:b/>
                <w:color w:val="000000"/>
                <w:sz w:val="18"/>
              </w:rPr>
              <w:t>Days 1–2</w:t>
            </w:r>
          </w:p>
        </w:tc>
        <w:tc>
          <w:tcPr>
            <w:tcW w:type="dxa" w:w="7128"/>
            <w:vAlign w:val="center"/>
            <w:tcMar>
              <w:top w:w="100" w:type="dxa"/>
              <w:start w:w="140" w:type="dxa"/>
              <w:bottom w:w="100" w:type="dxa"/>
              <w:end w:w="140" w:type="dxa"/>
            </w:tcMar>
          </w:tcPr>
          <w:p>
            <w:pPr>
              <w:spacing w:after="0" w:line="252" w:lineRule="auto"/>
              <w:jc w:val="left"/>
            </w:pPr>
            <w:r/>
            <w:r>
              <w:rPr>
                <w:rFonts w:ascii="Aptos" w:hAnsi="Aptos"/>
                <w:b w:val="0"/>
                <w:color w:val="2A323D"/>
                <w:sz w:val="18"/>
              </w:rPr>
              <w:t>Access, workflow confirmation, chatbot flow and CRM structure.</w:t>
            </w:r>
          </w:p>
        </w:tc>
      </w:tr>
      <w:tr>
        <w:tc>
          <w:tcPr>
            <w:tcW w:type="dxa" w:w="2232"/>
            <w:shd w:fill="F4F6F8"/>
            <w:vAlign w:val="center"/>
            <w:tcMar>
              <w:top w:w="100" w:type="dxa"/>
              <w:start w:w="140" w:type="dxa"/>
              <w:bottom w:w="100" w:type="dxa"/>
              <w:end w:w="140" w:type="dxa"/>
            </w:tcMar>
          </w:tcPr>
          <w:p>
            <w:pPr>
              <w:spacing w:after="0" w:line="252" w:lineRule="auto"/>
              <w:jc w:val="left"/>
            </w:pPr>
            <w:r/>
            <w:r>
              <w:rPr>
                <w:rFonts w:ascii="Aptos" w:hAnsi="Aptos"/>
                <w:b/>
                <w:color w:val="000000"/>
                <w:sz w:val="18"/>
              </w:rPr>
              <w:t>Days 3–5</w:t>
            </w:r>
          </w:p>
        </w:tc>
        <w:tc>
          <w:tcPr>
            <w:tcW w:type="dxa" w:w="7128"/>
            <w:shd w:fill="F4F6F8"/>
            <w:vAlign w:val="center"/>
            <w:tcMar>
              <w:top w:w="100" w:type="dxa"/>
              <w:start w:w="140" w:type="dxa"/>
              <w:bottom w:w="100" w:type="dxa"/>
              <w:end w:w="140" w:type="dxa"/>
            </w:tcMar>
          </w:tcPr>
          <w:p>
            <w:pPr>
              <w:spacing w:after="0" w:line="252" w:lineRule="auto"/>
              <w:jc w:val="left"/>
            </w:pPr>
            <w:r/>
            <w:r>
              <w:rPr>
                <w:rFonts w:ascii="Aptos" w:hAnsi="Aptos"/>
                <w:b w:val="0"/>
                <w:color w:val="2A323D"/>
                <w:sz w:val="18"/>
              </w:rPr>
              <w:t>Channel connections, dashboard, pipeline, dealer and partner setup, follow-up and appointment configuration.</w:t>
            </w:r>
          </w:p>
        </w:tc>
      </w:tr>
      <w:tr>
        <w:tc>
          <w:tcPr>
            <w:tcW w:type="dxa" w:w="2232"/>
            <w:vAlign w:val="center"/>
            <w:tcMar>
              <w:top w:w="100" w:type="dxa"/>
              <w:start w:w="140" w:type="dxa"/>
              <w:bottom w:w="100" w:type="dxa"/>
              <w:end w:w="140" w:type="dxa"/>
            </w:tcMar>
          </w:tcPr>
          <w:p>
            <w:pPr>
              <w:spacing w:after="0" w:line="252" w:lineRule="auto"/>
              <w:jc w:val="left"/>
            </w:pPr>
            <w:r/>
            <w:r>
              <w:rPr>
                <w:rFonts w:ascii="Aptos" w:hAnsi="Aptos"/>
                <w:b/>
                <w:color w:val="000000"/>
                <w:sz w:val="18"/>
              </w:rPr>
              <w:t>Days 6–7</w:t>
            </w:r>
          </w:p>
        </w:tc>
        <w:tc>
          <w:tcPr>
            <w:tcW w:type="dxa" w:w="7128"/>
            <w:vAlign w:val="center"/>
            <w:tcMar>
              <w:top w:w="100" w:type="dxa"/>
              <w:start w:w="140" w:type="dxa"/>
              <w:bottom w:w="100" w:type="dxa"/>
              <w:end w:w="140" w:type="dxa"/>
            </w:tcMar>
          </w:tcPr>
          <w:p>
            <w:pPr>
              <w:spacing w:after="0" w:line="252" w:lineRule="auto"/>
              <w:jc w:val="left"/>
            </w:pPr>
            <w:r/>
            <w:r>
              <w:rPr>
                <w:rFonts w:ascii="Aptos" w:hAnsi="Aptos"/>
                <w:b w:val="0"/>
                <w:color w:val="2A323D"/>
                <w:sz w:val="18"/>
              </w:rPr>
              <w:t>Testing, corrections, client review, handover and usage guidance.</w:t>
            </w:r>
          </w:p>
        </w:tc>
      </w:tr>
    </w:tbl>
    <w:p>
      <w:pPr>
        <w:pStyle w:val="Heading1"/>
        <w:spacing w:before="360" w:after="140"/>
      </w:pPr>
      <w:r>
        <w:rPr>
          <w:rFonts w:ascii="Aptos" w:hAnsi="Aptos"/>
          <w:b/>
          <w:i w:val="0"/>
          <w:color w:val="000000"/>
          <w:sz w:val="28"/>
        </w:rPr>
        <w:t>Commercials</w:t>
      </w:r>
    </w:p>
    <w:p>
      <w:pPr>
        <w:spacing w:after="200" w:line="269" w:lineRule="auto"/>
      </w:pPr>
      <w:r>
        <w:rPr>
          <w:rFonts w:ascii="Aptos" w:hAnsi="Aptos"/>
          <w:b w:val="0"/>
          <w:i w:val="0"/>
          <w:color w:val="2A323D"/>
          <w:sz w:val="21"/>
        </w:rPr>
        <w:t>The complete project is offered at a total professional fee of INR 35,000. This proposal covers the configuration and delivery described above.</w:t>
      </w:r>
    </w:p>
    <w:tbl>
      <w:tblPr>
        <w:tblW w:type="auto" w:w="0"/>
        <w:jc w:val="left"/>
        <w:tblLayout w:type="fixed"/>
        <w:tblLook w:firstColumn="1" w:firstRow="1" w:lastColumn="0" w:lastRow="0" w:noHBand="0" w:noVBand="1" w:val="04A0"/>
        <w:tblBorders>
          <w:top w:val="single" w:sz="6" w:space="0" w:color="D9DEE5"/>
          <w:left w:val="single" w:sz="6" w:space="0" w:color="D9DEE5"/>
          <w:bottom w:val="single" w:sz="6" w:space="0" w:color="D9DEE5"/>
          <w:right w:val="single" w:sz="6" w:space="0" w:color="D9DEE5"/>
          <w:insideH w:val="single" w:sz="6" w:space="0" w:color="D9DEE5"/>
          <w:insideV w:val="single" w:sz="6" w:space="0" w:color="D9DEE5"/>
        </w:tblBorders>
      </w:tblPr>
      <w:tblGrid>
        <w:gridCol w:w="6840"/>
        <w:gridCol w:w="2520"/>
      </w:tblGrid>
      <w:tr>
        <w:trPr>
          <w:tblHeader w:val="true"/>
        </w:trPr>
        <w:tc>
          <w:tcPr>
            <w:tcW w:type="dxa" w:w="4831"/>
            <w:shd w:fill="18324B"/>
            <w:vAlign w:val="center"/>
            <w:tcMar>
              <w:top w:w="100" w:type="dxa"/>
              <w:start w:w="140" w:type="dxa"/>
              <w:bottom w:w="100" w:type="dxa"/>
              <w:end w:w="140" w:type="dxa"/>
            </w:tcMar>
          </w:tcPr>
          <w:p>
            <w:pPr>
              <w:spacing w:after="0" w:line="252" w:lineRule="auto"/>
              <w:jc w:val="left"/>
            </w:pPr>
            <w:r/>
            <w:r>
              <w:rPr>
                <w:rFonts w:ascii="Aptos" w:hAnsi="Aptos"/>
                <w:b/>
                <w:color w:val="FFFFFF"/>
                <w:sz w:val="18"/>
              </w:rPr>
              <w:t>Commercial item</w:t>
            </w:r>
          </w:p>
        </w:tc>
        <w:tc>
          <w:tcPr>
            <w:tcW w:type="dxa" w:w="4831"/>
            <w:shd w:fill="18324B"/>
            <w:vAlign w:val="center"/>
            <w:tcMar>
              <w:top w:w="100" w:type="dxa"/>
              <w:start w:w="140" w:type="dxa"/>
              <w:bottom w:w="100" w:type="dxa"/>
              <w:end w:w="140" w:type="dxa"/>
            </w:tcMar>
          </w:tcPr>
          <w:p>
            <w:pPr>
              <w:spacing w:after="0" w:line="252" w:lineRule="auto"/>
              <w:jc w:val="left"/>
            </w:pPr>
            <w:r/>
            <w:r>
              <w:rPr>
                <w:rFonts w:ascii="Aptos" w:hAnsi="Aptos"/>
                <w:b/>
                <w:color w:val="FFFFFF"/>
                <w:sz w:val="18"/>
              </w:rPr>
              <w:t>Amount</w:t>
            </w:r>
          </w:p>
        </w:tc>
      </w:tr>
      <w:tr>
        <w:tc>
          <w:tcPr>
            <w:tcW w:type="dxa" w:w="6840"/>
            <w:vAlign w:val="center"/>
            <w:tcMar>
              <w:top w:w="100" w:type="dxa"/>
              <w:start w:w="140" w:type="dxa"/>
              <w:bottom w:w="100" w:type="dxa"/>
              <w:end w:w="140" w:type="dxa"/>
            </w:tcMar>
          </w:tcPr>
          <w:p>
            <w:pPr>
              <w:spacing w:after="0" w:line="252" w:lineRule="auto"/>
              <w:jc w:val="left"/>
            </w:pPr>
            <w:r/>
            <w:r>
              <w:rPr>
                <w:rFonts w:ascii="Aptos" w:hAnsi="Aptos"/>
                <w:b w:val="0"/>
                <w:color w:val="2A323D"/>
                <w:sz w:val="18"/>
              </w:rPr>
              <w:t>Complete CRM and chatbot solution</w:t>
            </w:r>
          </w:p>
        </w:tc>
        <w:tc>
          <w:tcPr>
            <w:tcW w:type="dxa" w:w="2520"/>
            <w:vAlign w:val="center"/>
            <w:tcMar>
              <w:top w:w="100" w:type="dxa"/>
              <w:start w:w="140" w:type="dxa"/>
              <w:bottom w:w="100" w:type="dxa"/>
              <w:end w:w="140" w:type="dxa"/>
            </w:tcMar>
          </w:tcPr>
          <w:p>
            <w:pPr>
              <w:spacing w:after="0" w:line="252" w:lineRule="auto"/>
              <w:jc w:val="right"/>
            </w:pPr>
            <w:r/>
            <w:r>
              <w:rPr>
                <w:rFonts w:ascii="Aptos" w:hAnsi="Aptos"/>
                <w:b/>
                <w:color w:val="000000"/>
                <w:sz w:val="18"/>
              </w:rPr>
              <w:t>INR 35,000</w:t>
            </w:r>
          </w:p>
        </w:tc>
      </w:tr>
      <w:tr>
        <w:tc>
          <w:tcPr>
            <w:tcW w:type="dxa" w:w="6840"/>
            <w:shd w:fill="EAF5F3"/>
            <w:vAlign w:val="center"/>
            <w:tcMar>
              <w:top w:w="100" w:type="dxa"/>
              <w:start w:w="140" w:type="dxa"/>
              <w:bottom w:w="100" w:type="dxa"/>
              <w:end w:w="140" w:type="dxa"/>
            </w:tcMar>
          </w:tcPr>
          <w:p>
            <w:pPr>
              <w:spacing w:after="0" w:line="252" w:lineRule="auto"/>
              <w:jc w:val="left"/>
            </w:pPr>
            <w:r/>
            <w:r>
              <w:rPr>
                <w:rFonts w:ascii="Aptos" w:hAnsi="Aptos"/>
                <w:b/>
                <w:color w:val="000000"/>
                <w:sz w:val="18"/>
              </w:rPr>
              <w:t>Total project fee</w:t>
            </w:r>
          </w:p>
        </w:tc>
        <w:tc>
          <w:tcPr>
            <w:tcW w:type="dxa" w:w="2520"/>
            <w:shd w:fill="EAF5F3"/>
            <w:vAlign w:val="center"/>
            <w:tcMar>
              <w:top w:w="100" w:type="dxa"/>
              <w:start w:w="140" w:type="dxa"/>
              <w:bottom w:w="100" w:type="dxa"/>
              <w:end w:w="140" w:type="dxa"/>
            </w:tcMar>
          </w:tcPr>
          <w:p>
            <w:pPr>
              <w:spacing w:after="0" w:line="252" w:lineRule="auto"/>
              <w:jc w:val="right"/>
            </w:pPr>
            <w:r/>
            <w:r>
              <w:rPr>
                <w:rFonts w:ascii="Aptos" w:hAnsi="Aptos"/>
                <w:b/>
                <w:color w:val="000000"/>
                <w:sz w:val="18"/>
              </w:rPr>
              <w:t>INR 35,000</w:t>
            </w:r>
          </w:p>
        </w:tc>
      </w:tr>
    </w:tbl>
    <w:p>
      <w:pPr>
        <w:pStyle w:val="Heading1"/>
        <w:spacing w:before="320" w:after="120"/>
      </w:pPr>
      <w:r>
        <w:rPr>
          <w:rFonts w:ascii="Aptos" w:hAnsi="Aptos"/>
          <w:b/>
          <w:i w:val="0"/>
          <w:color w:val="000000"/>
          <w:sz w:val="28"/>
        </w:rPr>
        <w:t>Payment Schedule</w:t>
      </w:r>
    </w:p>
    <w:tbl>
      <w:tblPr>
        <w:tblW w:type="auto" w:w="0"/>
        <w:jc w:val="left"/>
        <w:tblLayout w:type="fixed"/>
        <w:tblLook w:firstColumn="1" w:firstRow="1" w:lastColumn="0" w:lastRow="0" w:noHBand="0" w:noVBand="1" w:val="04A0"/>
        <w:tblBorders>
          <w:top w:val="single" w:sz="6" w:space="0" w:color="D9DEE5"/>
          <w:left w:val="single" w:sz="6" w:space="0" w:color="D9DEE5"/>
          <w:bottom w:val="single" w:sz="6" w:space="0" w:color="D9DEE5"/>
          <w:right w:val="single" w:sz="6" w:space="0" w:color="D9DEE5"/>
          <w:insideH w:val="single" w:sz="6" w:space="0" w:color="D9DEE5"/>
          <w:insideV w:val="single" w:sz="6" w:space="0" w:color="D9DEE5"/>
        </w:tblBorders>
      </w:tblPr>
      <w:tblGrid>
        <w:gridCol w:w="2376"/>
        <w:gridCol w:w="4536"/>
        <w:gridCol w:w="2448"/>
      </w:tblGrid>
      <w:tr>
        <w:trPr>
          <w:tblHeader w:val="true"/>
        </w:trPr>
        <w:tc>
          <w:tcPr>
            <w:tcW w:type="dxa" w:w="3221"/>
            <w:shd w:fill="18324B"/>
            <w:vAlign w:val="center"/>
            <w:tcMar>
              <w:top w:w="100" w:type="dxa"/>
              <w:start w:w="140" w:type="dxa"/>
              <w:bottom w:w="100" w:type="dxa"/>
              <w:end w:w="140" w:type="dxa"/>
            </w:tcMar>
          </w:tcPr>
          <w:p>
            <w:pPr>
              <w:spacing w:after="0" w:line="252" w:lineRule="auto"/>
              <w:jc w:val="left"/>
            </w:pPr>
            <w:r/>
            <w:r>
              <w:rPr>
                <w:rFonts w:ascii="Aptos" w:hAnsi="Aptos"/>
                <w:b/>
                <w:color w:val="FFFFFF"/>
                <w:sz w:val="18"/>
              </w:rPr>
              <w:t>Milestone</w:t>
            </w:r>
          </w:p>
        </w:tc>
        <w:tc>
          <w:tcPr>
            <w:tcW w:type="dxa" w:w="3221"/>
            <w:shd w:fill="18324B"/>
            <w:vAlign w:val="center"/>
            <w:tcMar>
              <w:top w:w="100" w:type="dxa"/>
              <w:start w:w="140" w:type="dxa"/>
              <w:bottom w:w="100" w:type="dxa"/>
              <w:end w:w="140" w:type="dxa"/>
            </w:tcMar>
          </w:tcPr>
          <w:p>
            <w:pPr>
              <w:spacing w:after="0" w:line="252" w:lineRule="auto"/>
              <w:jc w:val="left"/>
            </w:pPr>
            <w:r/>
            <w:r>
              <w:rPr>
                <w:rFonts w:ascii="Aptos" w:hAnsi="Aptos"/>
                <w:b/>
                <w:color w:val="FFFFFF"/>
                <w:sz w:val="18"/>
              </w:rPr>
              <w:t>Payment condition</w:t>
            </w:r>
          </w:p>
        </w:tc>
        <w:tc>
          <w:tcPr>
            <w:tcW w:type="dxa" w:w="3221"/>
            <w:shd w:fill="18324B"/>
            <w:vAlign w:val="center"/>
            <w:tcMar>
              <w:top w:w="100" w:type="dxa"/>
              <w:start w:w="140" w:type="dxa"/>
              <w:bottom w:w="100" w:type="dxa"/>
              <w:end w:w="140" w:type="dxa"/>
            </w:tcMar>
          </w:tcPr>
          <w:p>
            <w:pPr>
              <w:spacing w:after="0" w:line="252" w:lineRule="auto"/>
              <w:jc w:val="left"/>
            </w:pPr>
            <w:r/>
            <w:r>
              <w:rPr>
                <w:rFonts w:ascii="Aptos" w:hAnsi="Aptos"/>
                <w:b/>
                <w:color w:val="FFFFFF"/>
                <w:sz w:val="18"/>
              </w:rPr>
              <w:t>Amount</w:t>
            </w:r>
          </w:p>
        </w:tc>
      </w:tr>
      <w:tr>
        <w:tc>
          <w:tcPr>
            <w:tcW w:type="dxa" w:w="2376"/>
            <w:vAlign w:val="center"/>
            <w:tcMar>
              <w:top w:w="100" w:type="dxa"/>
              <w:start w:w="140" w:type="dxa"/>
              <w:bottom w:w="100" w:type="dxa"/>
              <w:end w:w="140" w:type="dxa"/>
            </w:tcMar>
          </w:tcPr>
          <w:p>
            <w:pPr>
              <w:spacing w:after="0" w:line="252" w:lineRule="auto"/>
              <w:jc w:val="left"/>
            </w:pPr>
            <w:r/>
            <w:r>
              <w:rPr>
                <w:rFonts w:ascii="Aptos" w:hAnsi="Aptos"/>
                <w:b/>
                <w:color w:val="000000"/>
                <w:sz w:val="18"/>
              </w:rPr>
              <w:t>Advance</w:t>
            </w:r>
          </w:p>
        </w:tc>
        <w:tc>
          <w:tcPr>
            <w:tcW w:type="dxa" w:w="4536"/>
            <w:vAlign w:val="center"/>
            <w:tcMar>
              <w:top w:w="100" w:type="dxa"/>
              <w:start w:w="140" w:type="dxa"/>
              <w:bottom w:w="100" w:type="dxa"/>
              <w:end w:w="140" w:type="dxa"/>
            </w:tcMar>
          </w:tcPr>
          <w:p>
            <w:pPr>
              <w:spacing w:after="0" w:line="252" w:lineRule="auto"/>
              <w:jc w:val="left"/>
            </w:pPr>
            <w:r/>
            <w:r>
              <w:rPr>
                <w:rFonts w:ascii="Aptos" w:hAnsi="Aptos"/>
                <w:b w:val="0"/>
                <w:color w:val="2A323D"/>
                <w:sz w:val="18"/>
              </w:rPr>
              <w:t>50% before project commencement</w:t>
            </w:r>
          </w:p>
        </w:tc>
        <w:tc>
          <w:tcPr>
            <w:tcW w:type="dxa" w:w="2448"/>
            <w:vAlign w:val="center"/>
            <w:tcMar>
              <w:top w:w="100" w:type="dxa"/>
              <w:start w:w="140" w:type="dxa"/>
              <w:bottom w:w="100" w:type="dxa"/>
              <w:end w:w="140" w:type="dxa"/>
            </w:tcMar>
          </w:tcPr>
          <w:p>
            <w:pPr>
              <w:spacing w:after="0" w:line="252" w:lineRule="auto"/>
              <w:jc w:val="right"/>
            </w:pPr>
            <w:r/>
            <w:r>
              <w:rPr>
                <w:rFonts w:ascii="Aptos" w:hAnsi="Aptos"/>
                <w:b w:val="0"/>
                <w:color w:val="2A323D"/>
                <w:sz w:val="18"/>
              </w:rPr>
              <w:t>INR 17,500</w:t>
            </w:r>
          </w:p>
        </w:tc>
      </w:tr>
      <w:tr>
        <w:tc>
          <w:tcPr>
            <w:tcW w:type="dxa" w:w="2376"/>
            <w:shd w:fill="F4F6F8"/>
            <w:vAlign w:val="center"/>
            <w:tcMar>
              <w:top w:w="100" w:type="dxa"/>
              <w:start w:w="140" w:type="dxa"/>
              <w:bottom w:w="100" w:type="dxa"/>
              <w:end w:w="140" w:type="dxa"/>
            </w:tcMar>
          </w:tcPr>
          <w:p>
            <w:pPr>
              <w:spacing w:after="0" w:line="252" w:lineRule="auto"/>
              <w:jc w:val="left"/>
            </w:pPr>
            <w:r/>
            <w:r>
              <w:rPr>
                <w:rFonts w:ascii="Aptos" w:hAnsi="Aptos"/>
                <w:b/>
                <w:color w:val="000000"/>
                <w:sz w:val="18"/>
              </w:rPr>
              <w:t>Completion</w:t>
            </w:r>
          </w:p>
        </w:tc>
        <w:tc>
          <w:tcPr>
            <w:tcW w:type="dxa" w:w="4536"/>
            <w:shd w:fill="F4F6F8"/>
            <w:vAlign w:val="center"/>
            <w:tcMar>
              <w:top w:w="100" w:type="dxa"/>
              <w:start w:w="140" w:type="dxa"/>
              <w:bottom w:w="100" w:type="dxa"/>
              <w:end w:w="140" w:type="dxa"/>
            </w:tcMar>
          </w:tcPr>
          <w:p>
            <w:pPr>
              <w:spacing w:after="0" w:line="252" w:lineRule="auto"/>
              <w:jc w:val="left"/>
            </w:pPr>
            <w:r/>
            <w:r>
              <w:rPr>
                <w:rFonts w:ascii="Aptos" w:hAnsi="Aptos"/>
                <w:b w:val="0"/>
                <w:color w:val="2A323D"/>
                <w:sz w:val="18"/>
              </w:rPr>
              <w:t>50% after completion and handover</w:t>
            </w:r>
          </w:p>
        </w:tc>
        <w:tc>
          <w:tcPr>
            <w:tcW w:type="dxa" w:w="2448"/>
            <w:shd w:fill="F4F6F8"/>
            <w:vAlign w:val="center"/>
            <w:tcMar>
              <w:top w:w="100" w:type="dxa"/>
              <w:start w:w="140" w:type="dxa"/>
              <w:bottom w:w="100" w:type="dxa"/>
              <w:end w:w="140" w:type="dxa"/>
            </w:tcMar>
          </w:tcPr>
          <w:p>
            <w:pPr>
              <w:spacing w:after="0" w:line="252" w:lineRule="auto"/>
              <w:jc w:val="right"/>
            </w:pPr>
            <w:r/>
            <w:r>
              <w:rPr>
                <w:rFonts w:ascii="Aptos" w:hAnsi="Aptos"/>
                <w:b w:val="0"/>
                <w:color w:val="2A323D"/>
                <w:sz w:val="18"/>
              </w:rPr>
              <w:t>INR 17,500</w:t>
            </w:r>
          </w:p>
        </w:tc>
      </w:tr>
    </w:tbl>
    <w:p>
      <w:pPr>
        <w:pStyle w:val="Heading1"/>
        <w:spacing w:before="320" w:after="120"/>
      </w:pPr>
      <w:r>
        <w:rPr>
          <w:rFonts w:ascii="Aptos" w:hAnsi="Aptos"/>
          <w:b/>
          <w:i w:val="0"/>
          <w:color w:val="000000"/>
          <w:sz w:val="28"/>
        </w:rPr>
        <w:t>Client Paid Provider Charges</w:t>
      </w:r>
    </w:p>
    <w:p>
      <w:pPr>
        <w:spacing w:after="140" w:line="269" w:lineRule="auto"/>
      </w:pPr>
      <w:r>
        <w:rPr>
          <w:rFonts w:ascii="Aptos" w:hAnsi="Aptos"/>
          <w:b w:val="0"/>
          <w:i w:val="0"/>
          <w:color w:val="2A323D"/>
          <w:sz w:val="21"/>
        </w:rPr>
        <w:t>Charges billed by WhatsApp, Meta, messaging providers or other third-party services are separate from Autozentic's professional fee and are paid directly by the client. Provider account approvals and usage charges remain the client's responsibility.</w:t>
      </w:r>
    </w:p>
    <w:p>
      <w:r>
        <w:br w:type="page"/>
      </w:r>
    </w:p>
    <w:p>
      <w:pPr>
        <w:pStyle w:val="Heading1"/>
        <w:spacing w:before="0" w:after="140"/>
      </w:pPr>
      <w:r>
        <w:rPr>
          <w:rFonts w:ascii="Aptos" w:hAnsi="Aptos"/>
          <w:b/>
          <w:i w:val="0"/>
          <w:color w:val="000000"/>
          <w:sz w:val="28"/>
        </w:rPr>
        <w:t>Support and Responsibilities</w:t>
      </w:r>
    </w:p>
    <w:p>
      <w:pPr>
        <w:pStyle w:val="Heading2"/>
        <w:spacing w:before="80" w:after="100"/>
      </w:pPr>
      <w:r>
        <w:rPr>
          <w:rFonts w:ascii="Aptos" w:hAnsi="Aptos"/>
          <w:b/>
          <w:i w:val="0"/>
          <w:color w:val="000000"/>
          <w:sz w:val="23"/>
        </w:rPr>
        <w:t>Included support</w:t>
      </w:r>
    </w:p>
    <w:p>
      <w:pPr>
        <w:spacing w:after="180" w:line="269" w:lineRule="auto"/>
      </w:pPr>
      <w:r>
        <w:rPr>
          <w:rFonts w:ascii="Aptos" w:hAnsi="Aptos"/>
          <w:b w:val="0"/>
          <w:i w:val="0"/>
          <w:color w:val="2A323D"/>
          <w:sz w:val="21"/>
        </w:rPr>
        <w:t>Autozentic will provide one year of bug and technical support for the delivered CRM and chatbot implementation. Bug support covers defects in the delivered configuration and integrations. New features, new workflows, new content and provider charges may be quoted separately.</w:t>
      </w:r>
    </w:p>
    <w:p>
      <w:pPr>
        <w:pStyle w:val="Heading2"/>
        <w:spacing w:before="240" w:after="100"/>
      </w:pPr>
      <w:r>
        <w:rPr>
          <w:rFonts w:ascii="Aptos" w:hAnsi="Aptos"/>
          <w:b/>
          <w:i w:val="0"/>
          <w:color w:val="000000"/>
          <w:sz w:val="23"/>
        </w:rPr>
        <w:t>Client responsibilities</w:t>
      </w:r>
    </w:p>
    <w:p>
      <w:pPr>
        <w:pStyle w:val="ListBullet"/>
        <w:spacing w:after="60" w:line="252" w:lineRule="auto"/>
        <w:ind w:left="317" w:hanging="173"/>
      </w:pPr>
      <w:r>
        <w:rPr>
          <w:rFonts w:ascii="Aptos" w:hAnsi="Aptos"/>
          <w:b w:val="0"/>
          <w:i w:val="0"/>
          <w:color w:val="2A323D"/>
          <w:sz w:val="20"/>
        </w:rPr>
        <w:t>Provide access to the required WhatsApp, Instagram, Facebook, CRM and business accounts.</w:t>
      </w:r>
    </w:p>
    <w:p>
      <w:pPr>
        <w:pStyle w:val="ListBullet"/>
        <w:spacing w:after="60" w:line="252" w:lineRule="auto"/>
        <w:ind w:left="317" w:hanging="173"/>
      </w:pPr>
      <w:r>
        <w:rPr>
          <w:rFonts w:ascii="Aptos" w:hAnsi="Aptos"/>
          <w:b w:val="0"/>
          <w:i w:val="0"/>
          <w:color w:val="2A323D"/>
          <w:sz w:val="20"/>
        </w:rPr>
        <w:t>Complete provider verification, approvals and payment of third-party usage charges.</w:t>
      </w:r>
    </w:p>
    <w:p>
      <w:pPr>
        <w:pStyle w:val="ListBullet"/>
        <w:spacing w:after="60" w:line="252" w:lineRule="auto"/>
        <w:ind w:left="317" w:hanging="173"/>
      </w:pPr>
      <w:r>
        <w:rPr>
          <w:rFonts w:ascii="Aptos" w:hAnsi="Aptos"/>
          <w:b w:val="0"/>
          <w:i w:val="0"/>
          <w:color w:val="2A323D"/>
          <w:sz w:val="20"/>
        </w:rPr>
        <w:t>Provide approved business information, FAQs, lead stages, appointment rules and escalation contacts.</w:t>
      </w:r>
    </w:p>
    <w:p>
      <w:pPr>
        <w:pStyle w:val="ListBullet"/>
        <w:spacing w:after="60" w:line="252" w:lineRule="auto"/>
        <w:ind w:left="317" w:hanging="173"/>
      </w:pPr>
      <w:r>
        <w:rPr>
          <w:rFonts w:ascii="Aptos" w:hAnsi="Aptos"/>
          <w:b w:val="0"/>
          <w:i w:val="0"/>
          <w:color w:val="2A323D"/>
          <w:sz w:val="20"/>
        </w:rPr>
        <w:t>Review and approve the configured workflows during testing and handover.</w:t>
      </w:r>
    </w:p>
    <w:p>
      <w:pPr>
        <w:spacing w:after="0" w:line="269" w:lineRule="auto" w:before="360"/>
      </w:pPr>
      <w:r>
        <w:rPr>
          <w:rFonts w:ascii="Aptos" w:hAnsi="Aptos"/>
          <w:b w:val="0"/>
          <w:i w:val="0"/>
          <w:color w:val="2A323D"/>
          <w:sz w:val="21"/>
        </w:rPr>
        <w:t>We are looking forward to working further with you.</w:t>
      </w:r>
    </w:p>
    <w:sectPr w:rsidR="00FC693F" w:rsidRPr="0006063C" w:rsidSect="00034616">
      <w:headerReference w:type="default" r:id="rId9"/>
      <w:footerReference w:type="default" r:id="rId10"/>
      <w:pgSz w:w="11909" w:h="16834"/>
      <w:pgMar w:top="936" w:right="1123" w:bottom="893" w:left="1123"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b w:val="0"/>
        <w:i w:val="0"/>
        <w:color w:val="646E7B"/>
        <w:sz w:val="16"/>
      </w:rPr>
      <w:t xml:space="preserve">Autozentic  |  Confidential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left"/>
      <w:pBdr>
        <w:bottom w:val="single" w:sz="8" w:space="5" w:color="0F766E"/>
      </w:pBdr>
    </w:pPr>
    <w:r>
      <w:rPr>
        <w:rFonts w:ascii="Aptos" w:hAnsi="Aptos"/>
        <w:b/>
        <w:i w:val="0"/>
        <w:color w:val="000000"/>
        <w:sz w:val="22"/>
      </w:rPr>
      <w:t>AUTOZENTIC</w:t>
    </w:r>
    <w:r>
      <w:rPr>
        <w:rFonts w:ascii="Aptos" w:hAnsi="Aptos"/>
        <w:b/>
        <w:i w:val="0"/>
        <w:color w:val="5D6977"/>
        <w:sz w:val="16"/>
      </w:rPr>
      <w:t xml:space="preserve">     DIGITAL AUTOMATION SOLUTIONS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A323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CRM and Social Chatbot Proposal - Geogres</dc:title>
  <dc:subject>Proposal for 24/7 social chatbots and CRM workflow automation</dc:subject>
  <dc:creator>Autozentic</dc:creator>
  <cp:keywords>Autozentic, Geogres, CRM, WhatsApp, Instagram, Facebook, chatbot, proposal</cp:keywords>
  <dc:description>generated by python-docx</dc:description>
  <cp:lastModifiedBy/>
  <cp:revision>1</cp:revision>
  <dcterms:created xsi:type="dcterms:W3CDTF">2013-12-23T23:15:00Z</dcterms:created>
  <dcterms:modified xsi:type="dcterms:W3CDTF">2013-12-23T23:15:00Z</dcterms:modified>
  <cp:category/>
</cp:coreProperties>
</file>