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0E2A47"/>
          <w:sz w:val="40"/>
          <w:szCs w:val="40"/>
        </w:rPr>
        <w:t xml:space="preserve">PINNACLE LOGIC CONSULTING</w:t>
      </w:r>
    </w:p>
    <w:p>
      <w:pPr>
        <w:spacing w:after="40"/>
      </w:pPr>
      <w:r>
        <w:rPr>
          <w:i/>
          <w:iCs/>
          <w:color w:val="36454F"/>
          <w:sz w:val="26"/>
          <w:szCs w:val="26"/>
        </w:rPr>
        <w:t xml:space="preserve">Business Plan &amp; Product Requirements Document</w:t>
      </w:r>
    </w:p>
    <w:p>
      <w:pPr>
        <w:spacing w:after="300"/>
      </w:pPr>
      <w:r>
        <w:rPr>
          <w:color w:val="36454F"/>
          <w:sz w:val="20"/>
          <w:szCs w:val="20"/>
        </w:rPr>
        <w:t xml:space="preserve">Manufacturing Operational Excellence Consulting — Requirements Companion (UI/UX design is covered separately in the existing Design Plan, Design System, and Stitch wireframe prompt; this document focuses on business context and functional/non-functional requirements only).</w:t>
      </w:r>
    </w:p>
    <w:p>
      <w:pPr>
        <w:pStyle w:val="Heading1"/>
        <w:pBdr>
          <w:bottom w:val="single" w:color="E2A23B" w:sz="8" w:space="4"/>
        </w:pBdr>
        <w:spacing w:after="160" w:before="320"/>
      </w:pPr>
      <w:r>
        <w:t xml:space="preserve">1. Executive Summary</w:t>
      </w:r>
    </w:p>
    <w:p>
      <w:pPr>
        <w:spacing w:after="80"/>
      </w:pPr>
      <w:r>
        <w:rPr>
          <w:b/>
          <w:bCs/>
          <w:color w:val="0E2A47"/>
        </w:rPr>
        <w:t xml:space="preserve">Company: </w:t>
      </w:r>
      <w:r>
        <w:t xml:space="preserve">Pinnacle Logic Consulting</w:t>
      </w:r>
    </w:p>
    <w:p>
      <w:pPr>
        <w:spacing w:after="80"/>
      </w:pPr>
      <w:r>
        <w:rPr>
          <w:b/>
          <w:bCs/>
          <w:color w:val="0E2A47"/>
        </w:rPr>
        <w:t xml:space="preserve">Founder: </w:t>
      </w:r>
      <w:r>
        <w:t xml:space="preserve">Tarun Sharma — Lean Six Sigma-certified Operational Excellence Consultant</w:t>
      </w:r>
    </w:p>
    <w:p>
      <w:pPr>
        <w:spacing w:after="80"/>
      </w:pPr>
      <w:r>
        <w:rPr>
          <w:b/>
          <w:bCs/>
          <w:color w:val="0E2A47"/>
        </w:rPr>
        <w:t xml:space="preserve">Business model: </w:t>
      </w:r>
      <w:r>
        <w:t xml:space="preserve">Manufacturing operations consulting (OEE/SMED, workforce optimization, capacity/throughput, lead-time &amp; flow, integrated plant transformation)</w:t>
      </w:r>
    </w:p>
    <w:p>
      <w:pPr>
        <w:spacing w:after="80"/>
      </w:pPr>
      <w:r>
        <w:rPr>
          <w:b/>
          <w:bCs/>
          <w:color w:val="0E2A47"/>
        </w:rPr>
        <w:t xml:space="preserve">Target market: </w:t>
      </w:r>
      <w:r>
        <w:t xml:space="preserve">Indian manufacturing MSMEs, ₹10–100 Cr annual revenue</w:t>
      </w:r>
    </w:p>
    <w:p>
      <w:pPr>
        <w:spacing w:after="80"/>
      </w:pPr>
      <w:r>
        <w:rPr>
          <w:b/>
          <w:bCs/>
          <w:color w:val="0E2A47"/>
        </w:rPr>
        <w:t xml:space="preserve">Contact: </w:t>
      </w:r>
      <w:r>
        <w:t xml:space="preserve">tarunsharma301996@gmail.com | +91 84396 92259 | linkedin.com/in/tarun-sharma-52ba6a15b</w:t>
      </w:r>
    </w:p>
    <w:p>
      <w:pPr>
        <w:spacing w:after="120"/>
      </w:pPr>
      <w:r>
        <w:t xml:space="preserve">Pinnacle Logic Consulting helps manufacturing businesses unlock hidden profitability by identifying and eliminating operational waste, delivered through hands-on shopfloor execution rather than office-based advisory. Verified track record: ₹43.42 Cr+ in business value created and identified across 5 engagements, in sectors spanning FMCG, Automotive &amp; Electronics, FIBC &amp; Bulk Bag/Packaging, Integrated Steel, and Wire &amp; Cable.</w:t>
      </w:r>
    </w:p>
    <w:p>
      <w:pPr>
        <w:spacing w:after="120"/>
      </w:pPr>
      <w:r>
        <w:t xml:space="preserve">This document translates the underlying business plan into the requirements a website/landing page must satisfy to support lead generation and sales. It intentionally excludes visual design (colors, typography, layout) since that is already defined in the project's Design Plan, Design System reference, and Stitch wireframe prompt.</w:t>
      </w:r>
    </w:p>
    <w:p>
      <w:pPr>
        <w:pStyle w:val="Heading1"/>
        <w:pBdr>
          <w:bottom w:val="single" w:color="E2A23B" w:sz="8" w:space="4"/>
        </w:pBdr>
        <w:spacing w:after="160" w:before="320"/>
      </w:pPr>
      <w:r>
        <w:t xml:space="preserve">2. Business Objectives</w:t>
      </w:r>
    </w:p>
    <w:p>
      <w:pPr>
        <w:pStyle w:val="ListParagraph"/>
        <w:numPr>
          <w:ilvl w:val="0"/>
          <w:numId w:val="2"/>
        </w:numPr>
        <w:spacing w:after="60"/>
      </w:pPr>
      <w:r>
        <w:t xml:space="preserve">Convert website visitors — primarily COOs, Plant Heads, and Operations Managers at ₹10–100 Cr manufacturers — into booked shopfloor assessment calls.</w:t>
      </w:r>
    </w:p>
    <w:p>
      <w:pPr>
        <w:pStyle w:val="ListParagraph"/>
        <w:numPr>
          <w:ilvl w:val="0"/>
          <w:numId w:val="2"/>
        </w:numPr>
        <w:spacing w:after="60"/>
      </w:pPr>
      <w:r>
        <w:t xml:space="preserve">Establish Tarun Sharma's personal credibility and the Pinnacle Logic Consulting brand as the go-to hands-on operational excellence partner in India.</w:t>
      </w:r>
    </w:p>
    <w:p>
      <w:pPr>
        <w:pStyle w:val="ListParagraph"/>
        <w:numPr>
          <w:ilvl w:val="0"/>
          <w:numId w:val="2"/>
        </w:numPr>
        <w:spacing w:after="60"/>
      </w:pPr>
      <w:r>
        <w:t xml:space="preserve">Support a sales pipeline target of 15–20 qualified opportunities in Year 1, closing 4–5 engagements (20–25% close rate).</w:t>
      </w:r>
    </w:p>
    <w:p>
      <w:pPr>
        <w:pStyle w:val="ListParagraph"/>
        <w:numPr>
          <w:ilvl w:val="0"/>
          <w:numId w:val="2"/>
        </w:numPr>
        <w:spacing w:after="60"/>
      </w:pPr>
      <w:r>
        <w:t xml:space="preserve">Provide a reusable content and case-study asset base that scales into Year 2–3 growth (8–10 then 15–18 engagements/year).</w:t>
      </w:r>
    </w:p>
    <w:p>
      <w:pPr>
        <w:pStyle w:val="ListParagraph"/>
        <w:numPr>
          <w:ilvl w:val="0"/>
          <w:numId w:val="2"/>
        </w:numPr>
        <w:spacing w:after="60"/>
      </w:pPr>
      <w:r>
        <w:t xml:space="preserve">Build a compounding organic channel (SEO, LinkedIn-driven traffic, referral tracking) alongside the primary relationship-based sales motion.</w:t>
      </w:r>
    </w:p>
    <w:p>
      <w:pPr>
        <w:pStyle w:val="Heading1"/>
        <w:pBdr>
          <w:bottom w:val="single" w:color="E2A23B" w:sz="8" w:space="4"/>
        </w:pBdr>
        <w:spacing w:after="160" w:before="320"/>
      </w:pPr>
      <w:r>
        <w:t xml:space="preserve">3. Market Context (Summary)</w:t>
      </w:r>
    </w:p>
    <w:p>
      <w:pPr>
        <w:spacing w:after="120"/>
      </w:pPr>
      <w:r>
        <w:t xml:space="preserve">Full market analysis lives in PL_Consulting_Business_Plan.md; the points below are the ones that directly shape requirements.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6260"/>
      </w:tblGrid>
      <w:tr>
        <w:trPr>
          <w:tblHeader/>
        </w:trPr>
        <w:tc>
          <w:tcPr>
            <w:tcW w:type="dxa" w:w="3200"/>
            <w:shd w:fill="0E2A47" w:color="auto" w:val="clear"/>
            <w:tcMar>
              <w:top w:type="dxa" w:w="80"/>
              <w:left w:type="dxa" w:w="100"/>
              <w:bottom w:type="dxa" w:w="80"/>
              <w:right w:type="dxa" w:w="100"/>
            </w:tcMar>
          </w:tcPr>
          <w:p>
            <w:r>
              <w:rPr>
                <w:b/>
                <w:bCs/>
                <w:color w:val="FFFFFF"/>
              </w:rPr>
              <w:t xml:space="preserve">Factor</w:t>
            </w:r>
          </w:p>
        </w:tc>
        <w:tc>
          <w:tcPr>
            <w:tcW w:type="dxa" w:w="6260"/>
            <w:shd w:fill="0E2A47" w:color="auto" w:val="clear"/>
            <w:tcMar>
              <w:top w:type="dxa" w:w="80"/>
              <w:left w:type="dxa" w:w="100"/>
              <w:bottom w:type="dxa" w:w="80"/>
              <w:right w:type="dxa" w:w="100"/>
            </w:tcMar>
          </w:tcPr>
          <w:p>
            <w:r>
              <w:rPr>
                <w:b/>
                <w:bCs/>
                <w:color w:val="FFFFFF"/>
              </w:rPr>
              <w:t xml:space="preserve">Detail</w:t>
            </w:r>
          </w:p>
        </w:tc>
      </w:tr>
      <w:tr>
        <w:tc>
          <w:tcPr>
            <w:tcW w:type="dxa" w:w="3200"/>
            <w:shd w:fill="FFFFFF" w:color="auto" w:val="clear"/>
            <w:tcMar>
              <w:top w:type="dxa" w:w="60"/>
              <w:left w:type="dxa" w:w="100"/>
              <w:bottom w:type="dxa" w:w="60"/>
              <w:right w:type="dxa" w:w="100"/>
            </w:tcMar>
          </w:tcPr>
          <w:p>
            <w:r>
              <w:t xml:space="preserve">Addressable market</w:t>
            </w:r>
          </w:p>
        </w:tc>
        <w:tc>
          <w:tcPr>
            <w:tcW w:type="dxa" w:w="6260"/>
            <w:shd w:fill="FFFFFF" w:color="auto" w:val="clear"/>
            <w:tcMar>
              <w:top w:type="dxa" w:w="60"/>
              <w:left w:type="dxa" w:w="100"/>
              <w:bottom w:type="dxa" w:w="60"/>
              <w:right w:type="dxa" w:w="100"/>
            </w:tcMar>
          </w:tcPr>
          <w:p>
            <w:r>
              <w:t xml:space="preserve">2–3M Indian manufacturing MSMEs in the ₹5–100 Cr turnover band</w:t>
            </w:r>
          </w:p>
        </w:tc>
      </w:tr>
      <w:tr>
        <w:tc>
          <w:tcPr>
            <w:tcW w:type="dxa" w:w="3200"/>
            <w:shd w:fill="F2F2F2" w:color="auto" w:val="clear"/>
            <w:tcMar>
              <w:top w:type="dxa" w:w="60"/>
              <w:left w:type="dxa" w:w="100"/>
              <w:bottom w:type="dxa" w:w="60"/>
              <w:right w:type="dxa" w:w="100"/>
            </w:tcMar>
          </w:tcPr>
          <w:p>
            <w:r>
              <w:t xml:space="preserve">Core problem</w:t>
            </w:r>
          </w:p>
        </w:tc>
        <w:tc>
          <w:tcPr>
            <w:tcW w:type="dxa" w:w="6260"/>
            <w:shd w:fill="F2F2F2" w:color="auto" w:val="clear"/>
            <w:tcMar>
              <w:top w:type="dxa" w:w="60"/>
              <w:left w:type="dxa" w:w="100"/>
              <w:bottom w:type="dxa" w:w="60"/>
              <w:right w:type="dxa" w:w="100"/>
            </w:tcMar>
          </w:tcPr>
          <w:p>
            <w:r>
              <w:t xml:space="preserve">60–70% of manufacturing MSMEs operate below their operational efficiency potential (typical OEE 40–60% vs. 80%+ benchmark)</w:t>
            </w:r>
          </w:p>
        </w:tc>
      </w:tr>
      <w:tr>
        <w:tc>
          <w:tcPr>
            <w:tcW w:type="dxa" w:w="3200"/>
            <w:shd w:fill="FFFFFF" w:color="auto" w:val="clear"/>
            <w:tcMar>
              <w:top w:type="dxa" w:w="60"/>
              <w:left w:type="dxa" w:w="100"/>
              <w:bottom w:type="dxa" w:w="60"/>
              <w:right w:type="dxa" w:w="100"/>
            </w:tcMar>
          </w:tcPr>
          <w:p>
            <w:r>
              <w:t xml:space="preserve">Buying process</w:t>
            </w:r>
          </w:p>
        </w:tc>
        <w:tc>
          <w:tcPr>
            <w:tcW w:type="dxa" w:w="6260"/>
            <w:shd w:fill="FFFFFF" w:color="auto" w:val="clear"/>
            <w:tcMar>
              <w:top w:type="dxa" w:w="60"/>
              <w:left w:type="dxa" w:w="100"/>
              <w:bottom w:type="dxa" w:w="60"/>
              <w:right w:type="dxa" w:w="100"/>
            </w:tcMar>
          </w:tcPr>
          <w:p>
            <w:r>
              <w:t xml:space="preserve">Referral/LinkedIn contact → discovery call → 2–3 hr shopfloor visit → ROI-based proposal → 2–6 week decision</w:t>
            </w:r>
          </w:p>
        </w:tc>
      </w:tr>
      <w:tr>
        <w:tc>
          <w:tcPr>
            <w:tcW w:type="dxa" w:w="3200"/>
            <w:shd w:fill="F2F2F2" w:color="auto" w:val="clear"/>
            <w:tcMar>
              <w:top w:type="dxa" w:w="60"/>
              <w:left w:type="dxa" w:w="100"/>
              <w:bottom w:type="dxa" w:w="60"/>
              <w:right w:type="dxa" w:w="100"/>
            </w:tcMar>
          </w:tcPr>
          <w:p>
            <w:r>
              <w:t xml:space="preserve">Primary competitors</w:t>
            </w:r>
          </w:p>
        </w:tc>
        <w:tc>
          <w:tcPr>
            <w:tcW w:type="dxa" w:w="6260"/>
            <w:shd w:fill="F2F2F2" w:color="auto" w:val="clear"/>
            <w:tcMar>
              <w:top w:type="dxa" w:w="60"/>
              <w:left w:type="dxa" w:w="100"/>
              <w:bottom w:type="dxa" w:w="60"/>
              <w:right w:type="dxa" w:w="100"/>
            </w:tcMar>
          </w:tcPr>
          <w:p>
            <w:r>
              <w:t xml:space="preserve">FloorFlow Architects, Big 4 consultancies (Deloitte/Accenture/PwC), regional boutique Lean firms</w:t>
            </w:r>
          </w:p>
        </w:tc>
      </w:tr>
      <w:tr>
        <w:tc>
          <w:tcPr>
            <w:tcW w:type="dxa" w:w="3200"/>
            <w:shd w:fill="FFFFFF" w:color="auto" w:val="clear"/>
            <w:tcMar>
              <w:top w:type="dxa" w:w="60"/>
              <w:left w:type="dxa" w:w="100"/>
              <w:bottom w:type="dxa" w:w="60"/>
              <w:right w:type="dxa" w:w="100"/>
            </w:tcMar>
          </w:tcPr>
          <w:p>
            <w:r>
              <w:t xml:space="preserve">Differentiation to communicate</w:t>
            </w:r>
          </w:p>
        </w:tc>
        <w:tc>
          <w:tcPr>
            <w:tcW w:type="dxa" w:w="6260"/>
            <w:shd w:fill="FFFFFF" w:color="auto" w:val="clear"/>
            <w:tcMar>
              <w:top w:type="dxa" w:w="60"/>
              <w:left w:type="dxa" w:w="100"/>
              <w:bottom w:type="dxa" w:w="60"/>
              <w:right w:type="dxa" w:w="100"/>
            </w:tcMar>
          </w:tcPr>
          <w:p>
            <w:r>
              <w:t xml:space="preserve">Hands-on execution vs. advisory-only; rupee-denominated outcomes vs. vague efficiency claims; &lt;6-month payback</w:t>
            </w:r>
          </w:p>
        </w:tc>
      </w:tr>
    </w:tbl>
    <w:p>
      <w:pPr>
        <w:pStyle w:val="Heading1"/>
        <w:pBdr>
          <w:bottom w:val="single" w:color="E2A23B" w:sz="8" w:space="4"/>
        </w:pBdr>
        <w:spacing w:after="160" w:before="320"/>
      </w:pPr>
      <w:r>
        <w:t xml:space="preserve">4. Services &amp; Offer Structure (Content Source of Truth)</w:t>
      </w:r>
    </w:p>
    <w:p>
      <w:pPr>
        <w:spacing w:after="120"/>
      </w:pPr>
      <w:r>
        <w:t xml:space="preserve">The site must accurately represent the following five service lines and the four/five-phase delivery methodology. These are content requirements — figures must trace back to verified data (see Section 5).</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460"/>
      </w:tblGrid>
      <w:tr>
        <w:trPr>
          <w:tblHeader/>
        </w:trPr>
        <w:tc>
          <w:tcPr>
            <w:tcW w:type="dxa" w:w="3000"/>
            <w:shd w:fill="0E2A47" w:color="auto" w:val="clear"/>
            <w:tcMar>
              <w:top w:type="dxa" w:w="80"/>
              <w:left w:type="dxa" w:w="100"/>
              <w:bottom w:type="dxa" w:w="80"/>
              <w:right w:type="dxa" w:w="100"/>
            </w:tcMar>
          </w:tcPr>
          <w:p>
            <w:r>
              <w:rPr>
                <w:b/>
                <w:bCs/>
                <w:color w:val="FFFFFF"/>
              </w:rPr>
              <w:t xml:space="preserve">Service</w:t>
            </w:r>
          </w:p>
        </w:tc>
        <w:tc>
          <w:tcPr>
            <w:tcW w:type="dxa" w:w="2000"/>
            <w:shd w:fill="0E2A47" w:color="auto" w:val="clear"/>
            <w:tcMar>
              <w:top w:type="dxa" w:w="80"/>
              <w:left w:type="dxa" w:w="100"/>
              <w:bottom w:type="dxa" w:w="80"/>
              <w:right w:type="dxa" w:w="100"/>
            </w:tcMar>
          </w:tcPr>
          <w:p>
            <w:r>
              <w:rPr>
                <w:b/>
                <w:bCs/>
                <w:color w:val="FFFFFF"/>
              </w:rPr>
              <w:t xml:space="preserve">Typical Duration</w:t>
            </w:r>
          </w:p>
        </w:tc>
        <w:tc>
          <w:tcPr>
            <w:tcW w:type="dxa" w:w="2000"/>
            <w:shd w:fill="0E2A47" w:color="auto" w:val="clear"/>
            <w:tcMar>
              <w:top w:type="dxa" w:w="80"/>
              <w:left w:type="dxa" w:w="100"/>
              <w:bottom w:type="dxa" w:w="80"/>
              <w:right w:type="dxa" w:w="100"/>
            </w:tcMar>
          </w:tcPr>
          <w:p>
            <w:r>
              <w:rPr>
                <w:b/>
                <w:bCs/>
                <w:color w:val="FFFFFF"/>
              </w:rPr>
              <w:t xml:space="preserve">Fee Range</w:t>
            </w:r>
          </w:p>
        </w:tc>
        <w:tc>
          <w:tcPr>
            <w:tcW w:type="dxa" w:w="2460"/>
            <w:shd w:fill="0E2A47" w:color="auto" w:val="clear"/>
            <w:tcMar>
              <w:top w:type="dxa" w:w="80"/>
              <w:left w:type="dxa" w:w="100"/>
              <w:bottom w:type="dxa" w:w="80"/>
              <w:right w:type="dxa" w:w="100"/>
            </w:tcMar>
          </w:tcPr>
          <w:p>
            <w:r>
              <w:rPr>
                <w:b/>
                <w:bCs/>
                <w:color w:val="FFFFFF"/>
              </w:rPr>
              <w:t xml:space="preserve">Typical Business Impact</w:t>
            </w:r>
          </w:p>
        </w:tc>
      </w:tr>
      <w:tr>
        <w:tc>
          <w:tcPr>
            <w:tcW w:type="dxa" w:w="3000"/>
            <w:shd w:fill="FFFFFF" w:color="auto" w:val="clear"/>
            <w:tcMar>
              <w:top w:type="dxa" w:w="60"/>
              <w:left w:type="dxa" w:w="100"/>
              <w:bottom w:type="dxa" w:w="60"/>
              <w:right w:type="dxa" w:w="100"/>
            </w:tcMar>
          </w:tcPr>
          <w:p>
            <w:r>
              <w:t xml:space="preserve">OEE &amp; SMED Optimization</w:t>
            </w:r>
          </w:p>
        </w:tc>
        <w:tc>
          <w:tcPr>
            <w:tcW w:type="dxa" w:w="2000"/>
            <w:shd w:fill="FFFFFF" w:color="auto" w:val="clear"/>
            <w:tcMar>
              <w:top w:type="dxa" w:w="60"/>
              <w:left w:type="dxa" w:w="100"/>
              <w:bottom w:type="dxa" w:w="60"/>
              <w:right w:type="dxa" w:w="100"/>
            </w:tcMar>
          </w:tcPr>
          <w:p>
            <w:r>
              <w:t xml:space="preserve">8–10 weeks</w:t>
            </w:r>
          </w:p>
        </w:tc>
        <w:tc>
          <w:tcPr>
            <w:tcW w:type="dxa" w:w="2000"/>
            <w:shd w:fill="FFFFFF" w:color="auto" w:val="clear"/>
            <w:tcMar>
              <w:top w:type="dxa" w:w="60"/>
              <w:left w:type="dxa" w:w="100"/>
              <w:bottom w:type="dxa" w:w="60"/>
              <w:right w:type="dxa" w:w="100"/>
            </w:tcMar>
          </w:tcPr>
          <w:p>
            <w:r>
              <w:t xml:space="preserve">₹60–120 Lakh</w:t>
            </w:r>
          </w:p>
        </w:tc>
        <w:tc>
          <w:tcPr>
            <w:tcW w:type="dxa" w:w="2460"/>
            <w:shd w:fill="FFFFFF" w:color="auto" w:val="clear"/>
            <w:tcMar>
              <w:top w:type="dxa" w:w="60"/>
              <w:left w:type="dxa" w:w="100"/>
              <w:bottom w:type="dxa" w:w="60"/>
              <w:right w:type="dxa" w:w="100"/>
            </w:tcMar>
          </w:tcPr>
          <w:p>
            <w:r>
              <w:t xml:space="preserve">₹3–8 Cr</w:t>
            </w:r>
          </w:p>
        </w:tc>
      </w:tr>
      <w:tr>
        <w:tc>
          <w:tcPr>
            <w:tcW w:type="dxa" w:w="3000"/>
            <w:shd w:fill="F2F2F2" w:color="auto" w:val="clear"/>
            <w:tcMar>
              <w:top w:type="dxa" w:w="60"/>
              <w:left w:type="dxa" w:w="100"/>
              <w:bottom w:type="dxa" w:w="60"/>
              <w:right w:type="dxa" w:w="100"/>
            </w:tcMar>
          </w:tcPr>
          <w:p>
            <w:r>
              <w:t xml:space="preserve">Workforce Optimization</w:t>
            </w:r>
          </w:p>
        </w:tc>
        <w:tc>
          <w:tcPr>
            <w:tcW w:type="dxa" w:w="2000"/>
            <w:shd w:fill="F2F2F2" w:color="auto" w:val="clear"/>
            <w:tcMar>
              <w:top w:type="dxa" w:w="60"/>
              <w:left w:type="dxa" w:w="100"/>
              <w:bottom w:type="dxa" w:w="60"/>
              <w:right w:type="dxa" w:w="100"/>
            </w:tcMar>
          </w:tcPr>
          <w:p>
            <w:r>
              <w:t xml:space="preserve">10–12 weeks</w:t>
            </w:r>
          </w:p>
        </w:tc>
        <w:tc>
          <w:tcPr>
            <w:tcW w:type="dxa" w:w="2000"/>
            <w:shd w:fill="F2F2F2" w:color="auto" w:val="clear"/>
            <w:tcMar>
              <w:top w:type="dxa" w:w="60"/>
              <w:left w:type="dxa" w:w="100"/>
              <w:bottom w:type="dxa" w:w="60"/>
              <w:right w:type="dxa" w:w="100"/>
            </w:tcMar>
          </w:tcPr>
          <w:p>
            <w:r>
              <w:t xml:space="preserve">₹80–150 Lakh</w:t>
            </w:r>
          </w:p>
        </w:tc>
        <w:tc>
          <w:tcPr>
            <w:tcW w:type="dxa" w:w="2460"/>
            <w:shd w:fill="F2F2F2" w:color="auto" w:val="clear"/>
            <w:tcMar>
              <w:top w:type="dxa" w:w="60"/>
              <w:left w:type="dxa" w:w="100"/>
              <w:bottom w:type="dxa" w:w="60"/>
              <w:right w:type="dxa" w:w="100"/>
            </w:tcMar>
          </w:tcPr>
          <w:p>
            <w:r>
              <w:t xml:space="preserve">₹4–20 Cr</w:t>
            </w:r>
          </w:p>
        </w:tc>
      </w:tr>
      <w:tr>
        <w:tc>
          <w:tcPr>
            <w:tcW w:type="dxa" w:w="3000"/>
            <w:shd w:fill="FFFFFF" w:color="auto" w:val="clear"/>
            <w:tcMar>
              <w:top w:type="dxa" w:w="60"/>
              <w:left w:type="dxa" w:w="100"/>
              <w:bottom w:type="dxa" w:w="60"/>
              <w:right w:type="dxa" w:w="100"/>
            </w:tcMar>
          </w:tcPr>
          <w:p>
            <w:r>
              <w:t xml:space="preserve">Capacity &amp; Throughput Bottleneck</w:t>
            </w:r>
          </w:p>
        </w:tc>
        <w:tc>
          <w:tcPr>
            <w:tcW w:type="dxa" w:w="2000"/>
            <w:shd w:fill="FFFFFF" w:color="auto" w:val="clear"/>
            <w:tcMar>
              <w:top w:type="dxa" w:w="60"/>
              <w:left w:type="dxa" w:w="100"/>
              <w:bottom w:type="dxa" w:w="60"/>
              <w:right w:type="dxa" w:w="100"/>
            </w:tcMar>
          </w:tcPr>
          <w:p>
            <w:r>
              <w:t xml:space="preserve">12–16 weeks</w:t>
            </w:r>
          </w:p>
        </w:tc>
        <w:tc>
          <w:tcPr>
            <w:tcW w:type="dxa" w:w="2000"/>
            <w:shd w:fill="FFFFFF" w:color="auto" w:val="clear"/>
            <w:tcMar>
              <w:top w:type="dxa" w:w="60"/>
              <w:left w:type="dxa" w:w="100"/>
              <w:bottom w:type="dxa" w:w="60"/>
              <w:right w:type="dxa" w:w="100"/>
            </w:tcMar>
          </w:tcPr>
          <w:p>
            <w:r>
              <w:t xml:space="preserve">₹100–200 Lakh</w:t>
            </w:r>
          </w:p>
        </w:tc>
        <w:tc>
          <w:tcPr>
            <w:tcW w:type="dxa" w:w="2460"/>
            <w:shd w:fill="FFFFFF" w:color="auto" w:val="clear"/>
            <w:tcMar>
              <w:top w:type="dxa" w:w="60"/>
              <w:left w:type="dxa" w:w="100"/>
              <w:bottom w:type="dxa" w:w="60"/>
              <w:right w:type="dxa" w:w="100"/>
            </w:tcMar>
          </w:tcPr>
          <w:p>
            <w:r>
              <w:t xml:space="preserve">₹5–25 Cr</w:t>
            </w:r>
          </w:p>
        </w:tc>
      </w:tr>
      <w:tr>
        <w:tc>
          <w:tcPr>
            <w:tcW w:type="dxa" w:w="3000"/>
            <w:shd w:fill="F2F2F2" w:color="auto" w:val="clear"/>
            <w:tcMar>
              <w:top w:type="dxa" w:w="60"/>
              <w:left w:type="dxa" w:w="100"/>
              <w:bottom w:type="dxa" w:w="60"/>
              <w:right w:type="dxa" w:w="100"/>
            </w:tcMar>
          </w:tcPr>
          <w:p>
            <w:r>
              <w:t xml:space="preserve">Lead-Time &amp; Flow Optimization</w:t>
            </w:r>
          </w:p>
        </w:tc>
        <w:tc>
          <w:tcPr>
            <w:tcW w:type="dxa" w:w="2000"/>
            <w:shd w:fill="F2F2F2" w:color="auto" w:val="clear"/>
            <w:tcMar>
              <w:top w:type="dxa" w:w="60"/>
              <w:left w:type="dxa" w:w="100"/>
              <w:bottom w:type="dxa" w:w="60"/>
              <w:right w:type="dxa" w:w="100"/>
            </w:tcMar>
          </w:tcPr>
          <w:p>
            <w:r>
              <w:t xml:space="preserve">10–12 weeks</w:t>
            </w:r>
          </w:p>
        </w:tc>
        <w:tc>
          <w:tcPr>
            <w:tcW w:type="dxa" w:w="2000"/>
            <w:shd w:fill="F2F2F2" w:color="auto" w:val="clear"/>
            <w:tcMar>
              <w:top w:type="dxa" w:w="60"/>
              <w:left w:type="dxa" w:w="100"/>
              <w:bottom w:type="dxa" w:w="60"/>
              <w:right w:type="dxa" w:w="100"/>
            </w:tcMar>
          </w:tcPr>
          <w:p>
            <w:r>
              <w:t xml:space="preserve">₹80–150 Lakh</w:t>
            </w:r>
          </w:p>
        </w:tc>
        <w:tc>
          <w:tcPr>
            <w:tcW w:type="dxa" w:w="2460"/>
            <w:shd w:fill="F2F2F2" w:color="auto" w:val="clear"/>
            <w:tcMar>
              <w:top w:type="dxa" w:w="60"/>
              <w:left w:type="dxa" w:w="100"/>
              <w:bottom w:type="dxa" w:w="60"/>
              <w:right w:type="dxa" w:w="100"/>
            </w:tcMar>
          </w:tcPr>
          <w:p>
            <w:r>
              <w:t xml:space="preserve">₹2–8 Cr</w:t>
            </w:r>
          </w:p>
        </w:tc>
      </w:tr>
      <w:tr>
        <w:tc>
          <w:tcPr>
            <w:tcW w:type="dxa" w:w="3000"/>
            <w:shd w:fill="FFFFFF" w:color="auto" w:val="clear"/>
            <w:tcMar>
              <w:top w:type="dxa" w:w="60"/>
              <w:left w:type="dxa" w:w="100"/>
              <w:bottom w:type="dxa" w:w="60"/>
              <w:right w:type="dxa" w:w="100"/>
            </w:tcMar>
          </w:tcPr>
          <w:p>
            <w:r>
              <w:t xml:space="preserve">Integrated Plant Transformation</w:t>
            </w:r>
          </w:p>
        </w:tc>
        <w:tc>
          <w:tcPr>
            <w:tcW w:type="dxa" w:w="2000"/>
            <w:shd w:fill="FFFFFF" w:color="auto" w:val="clear"/>
            <w:tcMar>
              <w:top w:type="dxa" w:w="60"/>
              <w:left w:type="dxa" w:w="100"/>
              <w:bottom w:type="dxa" w:w="60"/>
              <w:right w:type="dxa" w:w="100"/>
            </w:tcMar>
          </w:tcPr>
          <w:p>
            <w:r>
              <w:t xml:space="preserve">16–20 weeks</w:t>
            </w:r>
          </w:p>
        </w:tc>
        <w:tc>
          <w:tcPr>
            <w:tcW w:type="dxa" w:w="2000"/>
            <w:shd w:fill="FFFFFF" w:color="auto" w:val="clear"/>
            <w:tcMar>
              <w:top w:type="dxa" w:w="60"/>
              <w:left w:type="dxa" w:w="100"/>
              <w:bottom w:type="dxa" w:w="60"/>
              <w:right w:type="dxa" w:w="100"/>
            </w:tcMar>
          </w:tcPr>
          <w:p>
            <w:r>
              <w:t xml:space="preserve">₹150–300 Lakh</w:t>
            </w:r>
          </w:p>
        </w:tc>
        <w:tc>
          <w:tcPr>
            <w:tcW w:type="dxa" w:w="2460"/>
            <w:shd w:fill="FFFFFF" w:color="auto" w:val="clear"/>
            <w:tcMar>
              <w:top w:type="dxa" w:w="60"/>
              <w:left w:type="dxa" w:w="100"/>
              <w:bottom w:type="dxa" w:w="60"/>
              <w:right w:type="dxa" w:w="100"/>
            </w:tcMar>
          </w:tcPr>
          <w:p>
            <w:r>
              <w:t xml:space="preserve">₹8–40 Cr</w:t>
            </w:r>
          </w:p>
        </w:tc>
      </w:tr>
    </w:tbl>
    <w:p>
      <w:pPr>
        <w:spacing w:after="120"/>
      </w:pPr>
      <w:r>
        <w:t xml:space="preserve">Delivery methodology: Diagnose → Analyze → Design → Implement → Sustain ("DADES"), condensed for marketing use as Diagnose → Quantify → Execute → Sustain.</w:t>
      </w:r>
    </w:p>
    <w:p>
      <w:pPr>
        <w:pStyle w:val="Heading1"/>
        <w:pBdr>
          <w:bottom w:val="single" w:color="E2A23B" w:sz="8" w:space="4"/>
        </w:pBdr>
        <w:spacing w:after="160" w:before="320"/>
      </w:pPr>
      <w:r>
        <w:t xml:space="preserve">5. Verified Proof Points (Do Not Alter)</w:t>
      </w:r>
    </w:p>
    <w:p>
      <w:pPr>
        <w:spacing w:after="120"/>
      </w:pPr>
      <w:r>
        <w:t xml:space="preserve">Per the Website Update Implementation Prompt, every number shown on the site must trace to these verified figures — no invented, rounded, or approximated figures:</w:t>
      </w:r>
    </w:p>
    <w:p>
      <w:pPr>
        <w:pStyle w:val="ListParagraph"/>
        <w:numPr>
          <w:ilvl w:val="0"/>
          <w:numId w:val="2"/>
        </w:numPr>
        <w:spacing w:after="60"/>
      </w:pPr>
      <w:r>
        <w:t xml:space="preserve">₹43.42 Cr+ business value created &amp; identified, across 5 engagements (not "43+ Cr", not rounded).</w:t>
      </w:r>
    </w:p>
    <w:p>
      <w:pPr>
        <w:pStyle w:val="ListParagraph"/>
        <w:numPr>
          <w:ilvl w:val="0"/>
          <w:numId w:val="2"/>
        </w:numPr>
        <w:spacing w:after="60"/>
      </w:pPr>
      <w:r>
        <w:t xml:space="preserve">5 case studies: Auto &amp; Electronics (₹1.2 Cr), FMCG (₹2.0 Cr), FIBC &amp; Bulk Bag (₹3.5 Cr), Integrated Steel (₹18.0 Cr), Wire &amp; Cable (₹18.72 Cr).</w:t>
      </w:r>
    </w:p>
    <w:p>
      <w:pPr>
        <w:pStyle w:val="ListParagraph"/>
        <w:numPr>
          <w:ilvl w:val="0"/>
          <w:numId w:val="2"/>
        </w:numPr>
        <w:spacing w:after="60"/>
      </w:pPr>
      <w:r>
        <w:t xml:space="preserve">Experience: 7+ years (not 15+ years) — requires a placeholder-based career timeline pending Tarun's real role/company data.</w:t>
      </w:r>
    </w:p>
    <w:p>
      <w:pPr>
        <w:pStyle w:val="ListParagraph"/>
        <w:numPr>
          <w:ilvl w:val="0"/>
          <w:numId w:val="2"/>
        </w:numPr>
        <w:spacing w:after="60"/>
      </w:pPr>
      <w:r>
        <w:t xml:space="preserve">ROI multiples ("10x–50x ROI") and week/timeline estimates are to be removed from user-facing content per the implementation prompt; the "&lt;6 months average payback" claim may remain unless deemed redundant.</w:t>
      </w:r>
    </w:p>
    <w:p>
      <w:pPr>
        <w:pStyle w:val="ListParagraph"/>
        <w:numPr>
          <w:ilvl w:val="0"/>
          <w:numId w:val="2"/>
        </w:numPr>
        <w:spacing w:after="60"/>
      </w:pPr>
      <w:r>
        <w:t xml:space="preserve">Full legal company name "Pinnacle Logic Consulting" must appear on first mention per page; footer/metadata must reference it in full.</w:t>
      </w:r>
    </w:p>
    <w:p>
      <w:pPr>
        <w:pStyle w:val="Heading1"/>
        <w:pBdr>
          <w:bottom w:val="single" w:color="E2A23B" w:sz="8" w:space="4"/>
        </w:pBdr>
        <w:spacing w:after="160" w:before="320"/>
      </w:pPr>
      <w:r>
        <w:t xml:space="preserve">6. Functional Requirements</w:t>
      </w:r>
    </w:p>
    <w:p>
      <w:pPr>
        <w:pStyle w:val="Heading2"/>
        <w:spacing w:after="120" w:before="240"/>
      </w:pPr>
      <w:r>
        <w:t xml:space="preserve">6.1 Lead Capture</w:t>
      </w:r>
    </w:p>
    <w:p>
      <w:pPr>
        <w:pStyle w:val="ListParagraph"/>
        <w:numPr>
          <w:ilvl w:val="0"/>
          <w:numId w:val="2"/>
        </w:numPr>
        <w:spacing w:after="60"/>
      </w:pPr>
      <w:r>
        <w:t xml:space="preserve">Primary contact form capturing: name, company, email, phone, role (COO / Plant Head / Finance Lead / Other — with free-text), and "main challenge" (grounded in the 8 hidden-loss categories, plus an Others free-text option).</w:t>
      </w:r>
    </w:p>
    <w:p>
      <w:pPr>
        <w:pStyle w:val="ListParagraph"/>
        <w:numPr>
          <w:ilvl w:val="0"/>
          <w:numId w:val="2"/>
        </w:numPr>
        <w:spacing w:after="60"/>
      </w:pPr>
      <w:r>
        <w:t xml:space="preserve">Secondary conversion channels always visible: WhatsApp deep link and direct phone/call link (+91 84396 92259).</w:t>
      </w:r>
    </w:p>
    <w:p>
      <w:pPr>
        <w:pStyle w:val="ListParagraph"/>
        <w:numPr>
          <w:ilvl w:val="0"/>
          <w:numId w:val="2"/>
        </w:numPr>
        <w:spacing w:after="60"/>
      </w:pPr>
      <w:r>
        <w:t xml:space="preserve">Lead notification delivered to Tarun within 1 hour of submission (email at minimum; CRM integration recommended — HubSpot or Pipedrive per the business plan's Month 1–2 systems setup).</w:t>
      </w:r>
    </w:p>
    <w:p>
      <w:pPr>
        <w:pStyle w:val="ListParagraph"/>
        <w:numPr>
          <w:ilvl w:val="0"/>
          <w:numId w:val="2"/>
        </w:numPr>
        <w:spacing w:after="60"/>
      </w:pPr>
      <w:r>
        <w:t xml:space="preserve">Form validation (required fields, email/phone format) with clear inline error states.</w:t>
      </w:r>
    </w:p>
    <w:p>
      <w:pPr>
        <w:pStyle w:val="Heading2"/>
        <w:spacing w:after="120" w:before="240"/>
      </w:pPr>
      <w:r>
        <w:t xml:space="preserve">6.2 Content Accuracy &amp; Governance</w:t>
      </w:r>
    </w:p>
    <w:p>
      <w:pPr>
        <w:pStyle w:val="ListParagraph"/>
        <w:numPr>
          <w:ilvl w:val="0"/>
          <w:numId w:val="2"/>
        </w:numPr>
        <w:spacing w:after="60"/>
      </w:pPr>
      <w:r>
        <w:t xml:space="preserve">Case study data sourced from a single structured data file (e.g. case-studies.json) so figures stay consistent across every section that references them — no duplicated hard-coded numbers.</w:t>
      </w:r>
    </w:p>
    <w:p>
      <w:pPr>
        <w:pStyle w:val="ListParagraph"/>
        <w:numPr>
          <w:ilvl w:val="0"/>
          <w:numId w:val="2"/>
        </w:numPr>
        <w:spacing w:after="60"/>
      </w:pPr>
      <w:r>
        <w:t xml:space="preserve">Any experience-timeline or biography placeholder content must be visibly marked as a placeholder (not shipped as if final) until real data is supplied.</w:t>
      </w:r>
    </w:p>
    <w:p>
      <w:pPr>
        <w:pStyle w:val="ListParagraph"/>
        <w:numPr>
          <w:ilvl w:val="0"/>
          <w:numId w:val="2"/>
        </w:numPr>
        <w:spacing w:after="60"/>
      </w:pPr>
      <w:r>
        <w:t xml:space="preserve">Sector list (FMCG, Automotive &amp; Electronics, FIBC &amp; Bulk Bag/Packaging, Integrated Steel, Wire &amp; Cable) must be explicitly named, not only implied through case studies.</w:t>
      </w:r>
    </w:p>
    <w:p>
      <w:pPr>
        <w:pStyle w:val="Heading2"/>
        <w:spacing w:after="120" w:before="240"/>
      </w:pPr>
      <w:r>
        <w:t xml:space="preserve">6.3 Analytics &amp; Tracking</w:t>
      </w:r>
    </w:p>
    <w:p>
      <w:pPr>
        <w:pStyle w:val="ListParagraph"/>
        <w:numPr>
          <w:ilvl w:val="0"/>
          <w:numId w:val="2"/>
        </w:numPr>
        <w:spacing w:after="60"/>
      </w:pPr>
      <w:r>
        <w:t xml:space="preserve">Google Analytics 4 (or equivalent) installed to track visitors, form submissions, and CTA click-through by source.</w:t>
      </w:r>
    </w:p>
    <w:p>
      <w:pPr>
        <w:pStyle w:val="ListParagraph"/>
        <w:numPr>
          <w:ilvl w:val="0"/>
          <w:numId w:val="2"/>
        </w:numPr>
        <w:spacing w:after="60"/>
      </w:pPr>
      <w:r>
        <w:t xml:space="preserve">Lead-source attribution (LinkedIn, referral, direct, organic search, paid) to support the business plan's channel-mix tracking (LinkedIn ~40%, referrals ~30%, events ~15%, direct outreach ~10%, digital/SEO ~5%).</w:t>
      </w:r>
    </w:p>
    <w:p>
      <w:pPr>
        <w:pStyle w:val="Heading2"/>
        <w:spacing w:after="120" w:before="240"/>
      </w:pPr>
      <w:r>
        <w:t xml:space="preserve">6.4 SEO &amp; Discoverability</w:t>
      </w:r>
    </w:p>
    <w:p>
      <w:pPr>
        <w:pStyle w:val="ListParagraph"/>
        <w:numPr>
          <w:ilvl w:val="0"/>
          <w:numId w:val="2"/>
        </w:numPr>
        <w:spacing w:after="60"/>
      </w:pPr>
      <w:r>
        <w:t xml:space="preserve">Meta title/description and Open Graph tags for the page, using the full company name and target keywords (manufacturing consulting, operational excellence, OEE, Lean Six Sigma).</w:t>
      </w:r>
    </w:p>
    <w:p>
      <w:pPr>
        <w:pStyle w:val="ListParagraph"/>
        <w:numPr>
          <w:ilvl w:val="0"/>
          <w:numId w:val="2"/>
        </w:numPr>
        <w:spacing w:after="60"/>
      </w:pPr>
      <w:r>
        <w:t xml:space="preserve">Sitemap.xml and robots.txt configured; structured data (Organization/LocalBusiness schema) where applicable.</w:t>
      </w:r>
    </w:p>
    <w:p>
      <w:pPr>
        <w:pStyle w:val="Heading1"/>
        <w:pBdr>
          <w:bottom w:val="single" w:color="E2A23B" w:sz="8" w:space="4"/>
        </w:pBdr>
        <w:spacing w:after="160" w:before="320"/>
      </w:pPr>
      <w:r>
        <w:t xml:space="preserve">7. Non-Functional Requirements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0E2A47" w:color="auto" w:val="clear"/>
            <w:tcMar>
              <w:top w:type="dxa" w:w="80"/>
              <w:left w:type="dxa" w:w="100"/>
              <w:bottom w:type="dxa" w:w="80"/>
              <w:right w:type="dxa" w:w="100"/>
            </w:tcMar>
          </w:tcPr>
          <w:p>
            <w:r>
              <w:rPr>
                <w:b/>
                <w:bCs/>
                <w:color w:val="FFFFFF"/>
              </w:rPr>
              <w:t xml:space="preserve">Category</w:t>
            </w:r>
          </w:p>
        </w:tc>
        <w:tc>
          <w:tcPr>
            <w:tcW w:type="dxa" w:w="6860"/>
            <w:shd w:fill="0E2A47" w:color="auto" w:val="clear"/>
            <w:tcMar>
              <w:top w:type="dxa" w:w="80"/>
              <w:left w:type="dxa" w:w="100"/>
              <w:bottom w:type="dxa" w:w="80"/>
              <w:right w:type="dxa" w:w="100"/>
            </w:tcMar>
          </w:tcPr>
          <w:p>
            <w:r>
              <w:rPr>
                <w:b/>
                <w:bCs/>
                <w:color w:val="FFFFFF"/>
              </w:rPr>
              <w:t xml:space="preserve">Requirement</w:t>
            </w:r>
          </w:p>
        </w:tc>
      </w:tr>
      <w:tr>
        <w:tc>
          <w:tcPr>
            <w:tcW w:type="dxa" w:w="2600"/>
            <w:shd w:fill="FFFFFF" w:color="auto" w:val="clear"/>
            <w:tcMar>
              <w:top w:type="dxa" w:w="60"/>
              <w:left w:type="dxa" w:w="100"/>
              <w:bottom w:type="dxa" w:w="60"/>
              <w:right w:type="dxa" w:w="100"/>
            </w:tcMar>
          </w:tcPr>
          <w:p>
            <w:r>
              <w:t xml:space="preserve">Performance</w:t>
            </w:r>
          </w:p>
        </w:tc>
        <w:tc>
          <w:tcPr>
            <w:tcW w:type="dxa" w:w="6860"/>
            <w:shd w:fill="FFFFFF" w:color="auto" w:val="clear"/>
            <w:tcMar>
              <w:top w:type="dxa" w:w="60"/>
              <w:left w:type="dxa" w:w="100"/>
              <w:bottom w:type="dxa" w:w="60"/>
              <w:right w:type="dxa" w:w="100"/>
            </w:tcMar>
          </w:tcPr>
          <w:p>
            <w:r>
              <w:t xml:space="preserve">Lighthouse score 90+; mobile load time under 3 seconds</w:t>
            </w:r>
          </w:p>
        </w:tc>
      </w:tr>
      <w:tr>
        <w:tc>
          <w:tcPr>
            <w:tcW w:type="dxa" w:w="2600"/>
            <w:shd w:fill="F2F2F2" w:color="auto" w:val="clear"/>
            <w:tcMar>
              <w:top w:type="dxa" w:w="60"/>
              <w:left w:type="dxa" w:w="100"/>
              <w:bottom w:type="dxa" w:w="60"/>
              <w:right w:type="dxa" w:w="100"/>
            </w:tcMar>
          </w:tcPr>
          <w:p>
            <w:r>
              <w:t xml:space="preserve">Responsiveness</w:t>
            </w:r>
          </w:p>
        </w:tc>
        <w:tc>
          <w:tcPr>
            <w:tcW w:type="dxa" w:w="6860"/>
            <w:shd w:fill="F2F2F2" w:color="auto" w:val="clear"/>
            <w:tcMar>
              <w:top w:type="dxa" w:w="60"/>
              <w:left w:type="dxa" w:w="100"/>
              <w:bottom w:type="dxa" w:w="60"/>
              <w:right w:type="dxa" w:w="100"/>
            </w:tcMar>
          </w:tcPr>
          <w:p>
            <w:r>
              <w:t xml:space="preserve">Mobile-first; breakpoints at 640/768/1024/1280px; touch targets ≥ 44×44px</w:t>
            </w:r>
          </w:p>
        </w:tc>
      </w:tr>
      <w:tr>
        <w:tc>
          <w:tcPr>
            <w:tcW w:type="dxa" w:w="2600"/>
            <w:shd w:fill="FFFFFF" w:color="auto" w:val="clear"/>
            <w:tcMar>
              <w:top w:type="dxa" w:w="60"/>
              <w:left w:type="dxa" w:w="100"/>
              <w:bottom w:type="dxa" w:w="60"/>
              <w:right w:type="dxa" w:w="100"/>
            </w:tcMar>
          </w:tcPr>
          <w:p>
            <w:r>
              <w:t xml:space="preserve">Accessibility</w:t>
            </w:r>
          </w:p>
        </w:tc>
        <w:tc>
          <w:tcPr>
            <w:tcW w:type="dxa" w:w="6860"/>
            <w:shd w:fill="FFFFFF" w:color="auto" w:val="clear"/>
            <w:tcMar>
              <w:top w:type="dxa" w:w="60"/>
              <w:left w:type="dxa" w:w="100"/>
              <w:bottom w:type="dxa" w:w="60"/>
              <w:right w:type="dxa" w:w="100"/>
            </w:tcMar>
          </w:tcPr>
          <w:p>
            <w:r>
              <w:t xml:space="preserve">WCAG 2.1 AA compliant</w:t>
            </w:r>
          </w:p>
        </w:tc>
      </w:tr>
      <w:tr>
        <w:tc>
          <w:tcPr>
            <w:tcW w:type="dxa" w:w="2600"/>
            <w:shd w:fill="F2F2F2" w:color="auto" w:val="clear"/>
            <w:tcMar>
              <w:top w:type="dxa" w:w="60"/>
              <w:left w:type="dxa" w:w="100"/>
              <w:bottom w:type="dxa" w:w="60"/>
              <w:right w:type="dxa" w:w="100"/>
            </w:tcMar>
          </w:tcPr>
          <w:p>
            <w:r>
              <w:t xml:space="preserve">Browser support</w:t>
            </w:r>
          </w:p>
        </w:tc>
        <w:tc>
          <w:tcPr>
            <w:tcW w:type="dxa" w:w="6860"/>
            <w:shd w:fill="F2F2F2" w:color="auto" w:val="clear"/>
            <w:tcMar>
              <w:top w:type="dxa" w:w="60"/>
              <w:left w:type="dxa" w:w="100"/>
              <w:bottom w:type="dxa" w:w="60"/>
              <w:right w:type="dxa" w:w="100"/>
            </w:tcMar>
          </w:tcPr>
          <w:p>
            <w:r>
              <w:t xml:space="preserve">Latest Chrome, Safari, Firefox, Edge; iOS and Android mobile browsers</w:t>
            </w:r>
          </w:p>
        </w:tc>
      </w:tr>
      <w:tr>
        <w:tc>
          <w:tcPr>
            <w:tcW w:type="dxa" w:w="2600"/>
            <w:shd w:fill="FFFFFF" w:color="auto" w:val="clear"/>
            <w:tcMar>
              <w:top w:type="dxa" w:w="60"/>
              <w:left w:type="dxa" w:w="100"/>
              <w:bottom w:type="dxa" w:w="60"/>
              <w:right w:type="dxa" w:w="100"/>
            </w:tcMar>
          </w:tcPr>
          <w:p>
            <w:r>
              <w:t xml:space="preserve">Data integrity</w:t>
            </w:r>
          </w:p>
        </w:tc>
        <w:tc>
          <w:tcPr>
            <w:tcW w:type="dxa" w:w="6860"/>
            <w:shd w:fill="FFFFFF" w:color="auto" w:val="clear"/>
            <w:tcMar>
              <w:top w:type="dxa" w:w="60"/>
              <w:left w:type="dxa" w:w="100"/>
              <w:bottom w:type="dxa" w:w="60"/>
              <w:right w:type="dxa" w:w="100"/>
            </w:tcMar>
          </w:tcPr>
          <w:p>
            <w:r>
              <w:t xml:space="preserve">Every figure traceable to the verified ground-truth data in Section 5; no unsourced numbers</w:t>
            </w:r>
          </w:p>
        </w:tc>
      </w:tr>
      <w:tr>
        <w:tc>
          <w:tcPr>
            <w:tcW w:type="dxa" w:w="2600"/>
            <w:shd w:fill="F2F2F2" w:color="auto" w:val="clear"/>
            <w:tcMar>
              <w:top w:type="dxa" w:w="60"/>
              <w:left w:type="dxa" w:w="100"/>
              <w:bottom w:type="dxa" w:w="60"/>
              <w:right w:type="dxa" w:w="100"/>
            </w:tcMar>
          </w:tcPr>
          <w:p>
            <w:r>
              <w:t xml:space="preserve">Security</w:t>
            </w:r>
          </w:p>
        </w:tc>
        <w:tc>
          <w:tcPr>
            <w:tcW w:type="dxa" w:w="6860"/>
            <w:shd w:fill="F2F2F2" w:color="auto" w:val="clear"/>
            <w:tcMar>
              <w:top w:type="dxa" w:w="60"/>
              <w:left w:type="dxa" w:w="100"/>
              <w:bottom w:type="dxa" w:w="60"/>
              <w:right w:type="dxa" w:w="100"/>
            </w:tcMar>
          </w:tcPr>
          <w:p>
            <w:r>
              <w:t xml:space="preserve">Form submissions transmitted over HTTPS; basic spam/bot protection on the contact form</w:t>
            </w:r>
          </w:p>
        </w:tc>
      </w:tr>
    </w:tbl>
    <w:p>
      <w:pPr>
        <w:pStyle w:val="Heading1"/>
        <w:pBdr>
          <w:bottom w:val="single" w:color="E2A23B" w:sz="8" w:space="4"/>
        </w:pBdr>
        <w:spacing w:after="160" w:before="320"/>
      </w:pPr>
      <w:r>
        <w:t xml:space="preserve">8. Success Metrics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200"/>
        <w:gridCol w:w="5260"/>
      </w:tblGrid>
      <w:tr>
        <w:trPr>
          <w:tblHeader/>
        </w:trPr>
        <w:tc>
          <w:tcPr>
            <w:tcW w:type="dxa" w:w="4200"/>
            <w:shd w:fill="0E2A47" w:color="auto" w:val="clear"/>
            <w:tcMar>
              <w:top w:type="dxa" w:w="80"/>
              <w:left w:type="dxa" w:w="100"/>
              <w:bottom w:type="dxa" w:w="80"/>
              <w:right w:type="dxa" w:w="100"/>
            </w:tcMar>
          </w:tcPr>
          <w:p>
            <w:r>
              <w:rPr>
                <w:b/>
                <w:bCs/>
                <w:color w:val="FFFFFF"/>
              </w:rPr>
              <w:t xml:space="preserve">Metric</w:t>
            </w:r>
          </w:p>
        </w:tc>
        <w:tc>
          <w:tcPr>
            <w:tcW w:type="dxa" w:w="5260"/>
            <w:shd w:fill="0E2A47" w:color="auto" w:val="clear"/>
            <w:tcMar>
              <w:top w:type="dxa" w:w="80"/>
              <w:left w:type="dxa" w:w="100"/>
              <w:bottom w:type="dxa" w:w="80"/>
              <w:right w:type="dxa" w:w="100"/>
            </w:tcMar>
          </w:tcPr>
          <w:p>
            <w:r>
              <w:rPr>
                <w:b/>
                <w:bCs/>
                <w:color w:val="FFFFFF"/>
              </w:rPr>
              <w:t xml:space="preserve">Target (first 30 / 90 days)</w:t>
            </w:r>
          </w:p>
        </w:tc>
      </w:tr>
      <w:tr>
        <w:tc>
          <w:tcPr>
            <w:tcW w:type="dxa" w:w="4200"/>
            <w:shd w:fill="FFFFFF" w:color="auto" w:val="clear"/>
            <w:tcMar>
              <w:top w:type="dxa" w:w="60"/>
              <w:left w:type="dxa" w:w="100"/>
              <w:bottom w:type="dxa" w:w="60"/>
              <w:right w:type="dxa" w:w="100"/>
            </w:tcMar>
          </w:tcPr>
          <w:p>
            <w:r>
              <w:t xml:space="preserve">Monthly visitors</w:t>
            </w:r>
          </w:p>
        </w:tc>
        <w:tc>
          <w:tcPr>
            <w:tcW w:type="dxa" w:w="5260"/>
            <w:shd w:fill="FFFFFF" w:color="auto" w:val="clear"/>
            <w:tcMar>
              <w:top w:type="dxa" w:w="60"/>
              <w:left w:type="dxa" w:w="100"/>
              <w:bottom w:type="dxa" w:w="60"/>
              <w:right w:type="dxa" w:w="100"/>
            </w:tcMar>
          </w:tcPr>
          <w:p>
            <w:r>
              <w:t xml:space="preserve">500+ (30 days) → 1,500+ (90 days)</w:t>
            </w:r>
          </w:p>
        </w:tc>
      </w:tr>
      <w:tr>
        <w:tc>
          <w:tcPr>
            <w:tcW w:type="dxa" w:w="4200"/>
            <w:shd w:fill="F2F2F2" w:color="auto" w:val="clear"/>
            <w:tcMar>
              <w:top w:type="dxa" w:w="60"/>
              <w:left w:type="dxa" w:w="100"/>
              <w:bottom w:type="dxa" w:w="60"/>
              <w:right w:type="dxa" w:w="100"/>
            </w:tcMar>
          </w:tcPr>
          <w:p>
            <w:r>
              <w:t xml:space="preserve">Form submissions</w:t>
            </w:r>
          </w:p>
        </w:tc>
        <w:tc>
          <w:tcPr>
            <w:tcW w:type="dxa" w:w="5260"/>
            <w:shd w:fill="F2F2F2" w:color="auto" w:val="clear"/>
            <w:tcMar>
              <w:top w:type="dxa" w:w="60"/>
              <w:left w:type="dxa" w:w="100"/>
              <w:bottom w:type="dxa" w:w="60"/>
              <w:right w:type="dxa" w:w="100"/>
            </w:tcMar>
          </w:tcPr>
          <w:p>
            <w:r>
              <w:t xml:space="preserve">50+ (30 days) → 150+ (90 days)</w:t>
            </w:r>
          </w:p>
        </w:tc>
      </w:tr>
      <w:tr>
        <w:tc>
          <w:tcPr>
            <w:tcW w:type="dxa" w:w="4200"/>
            <w:shd w:fill="FFFFFF" w:color="auto" w:val="clear"/>
            <w:tcMar>
              <w:top w:type="dxa" w:w="60"/>
              <w:left w:type="dxa" w:w="100"/>
              <w:bottom w:type="dxa" w:w="60"/>
              <w:right w:type="dxa" w:w="100"/>
            </w:tcMar>
          </w:tcPr>
          <w:p>
            <w:r>
              <w:t xml:space="preserve">Qualified leads</w:t>
            </w:r>
          </w:p>
        </w:tc>
        <w:tc>
          <w:tcPr>
            <w:tcW w:type="dxa" w:w="5260"/>
            <w:shd w:fill="FFFFFF" w:color="auto" w:val="clear"/>
            <w:tcMar>
              <w:top w:type="dxa" w:w="60"/>
              <w:left w:type="dxa" w:w="100"/>
              <w:bottom w:type="dxa" w:w="60"/>
              <w:right w:type="dxa" w:w="100"/>
            </w:tcMar>
          </w:tcPr>
          <w:p>
            <w:r>
              <w:t xml:space="preserve">10+ (30 days) → 30+ (90 days)</w:t>
            </w:r>
          </w:p>
        </w:tc>
      </w:tr>
      <w:tr>
        <w:tc>
          <w:tcPr>
            <w:tcW w:type="dxa" w:w="4200"/>
            <w:shd w:fill="F2F2F2" w:color="auto" w:val="clear"/>
            <w:tcMar>
              <w:top w:type="dxa" w:w="60"/>
              <w:left w:type="dxa" w:w="100"/>
              <w:bottom w:type="dxa" w:w="60"/>
              <w:right w:type="dxa" w:w="100"/>
            </w:tcMar>
          </w:tcPr>
          <w:p>
            <w:r>
              <w:t xml:space="preserve">First website-sourced engagement signed</w:t>
            </w:r>
          </w:p>
        </w:tc>
        <w:tc>
          <w:tcPr>
            <w:tcW w:type="dxa" w:w="5260"/>
            <w:shd w:fill="F2F2F2" w:color="auto" w:val="clear"/>
            <w:tcMar>
              <w:top w:type="dxa" w:w="60"/>
              <w:left w:type="dxa" w:w="100"/>
              <w:bottom w:type="dxa" w:w="60"/>
              <w:right w:type="dxa" w:w="100"/>
            </w:tcMar>
          </w:tcPr>
          <w:p>
            <w:r>
              <w:t xml:space="preserve">Within 90 days</w:t>
            </w:r>
          </w:p>
        </w:tc>
      </w:tr>
      <w:tr>
        <w:tc>
          <w:tcPr>
            <w:tcW w:type="dxa" w:w="4200"/>
            <w:shd w:fill="FFFFFF" w:color="auto" w:val="clear"/>
            <w:tcMar>
              <w:top w:type="dxa" w:w="60"/>
              <w:left w:type="dxa" w:w="100"/>
              <w:bottom w:type="dxa" w:w="60"/>
              <w:right w:type="dxa" w:w="100"/>
            </w:tcMar>
          </w:tcPr>
          <w:p>
            <w:r>
              <w:t xml:space="preserve">Qualified pipeline (Year 1 overall)</w:t>
            </w:r>
          </w:p>
        </w:tc>
        <w:tc>
          <w:tcPr>
            <w:tcW w:type="dxa" w:w="5260"/>
            <w:shd w:fill="FFFFFF" w:color="auto" w:val="clear"/>
            <w:tcMar>
              <w:top w:type="dxa" w:w="60"/>
              <w:left w:type="dxa" w:w="100"/>
              <w:bottom w:type="dxa" w:w="60"/>
              <w:right w:type="dxa" w:w="100"/>
            </w:tcMar>
          </w:tcPr>
          <w:p>
            <w:r>
              <w:t xml:space="preserve">15–20 opportunities, 20–25% close rate</w:t>
            </w:r>
          </w:p>
        </w:tc>
      </w:tr>
    </w:tbl>
    <w:p>
      <w:pPr>
        <w:pStyle w:val="Heading1"/>
        <w:pBdr>
          <w:bottom w:val="single" w:color="E2A23B" w:sz="8" w:space="4"/>
        </w:pBdr>
        <w:spacing w:after="160" w:before="320"/>
      </w:pPr>
      <w:r>
        <w:t xml:space="preserve">9. Key Risks Relevant to the Landing Page</w:t>
      </w:r>
    </w:p>
    <w:p>
      <w:pPr>
        <w:pStyle w:val="ListParagraph"/>
        <w:numPr>
          <w:ilvl w:val="0"/>
          <w:numId w:val="2"/>
        </w:numPr>
        <w:spacing w:after="60"/>
      </w:pPr>
      <w:r>
        <w:t xml:space="preserve">Founder-dependency: since all credibility routes through Tarun personally, any inaccurate or overstated claim (experience, ROI, case-study figures) carries outsized brand risk — strict adherence to Section 5 is mandatory.</w:t>
      </w:r>
    </w:p>
    <w:p>
      <w:pPr>
        <w:pStyle w:val="ListParagraph"/>
        <w:numPr>
          <w:ilvl w:val="0"/>
          <w:numId w:val="2"/>
        </w:numPr>
        <w:spacing w:after="60"/>
      </w:pPr>
      <w:r>
        <w:t xml:space="preserve">Placeholder content shipped as real: an experience-breakdown timeline must not go live with invented company names or dates.</w:t>
      </w:r>
    </w:p>
    <w:p>
      <w:pPr>
        <w:pStyle w:val="ListParagraph"/>
        <w:numPr>
          <w:ilvl w:val="0"/>
          <w:numId w:val="2"/>
        </w:numPr>
        <w:spacing w:after="60"/>
      </w:pPr>
      <w:r>
        <w:t xml:space="preserve">Attribution gaps: without proper analytics/CRM wiring, the business plan's channel-mix tracking cannot be measured.</w:t>
      </w:r>
    </w:p>
    <w:p>
      <w:pPr>
        <w:pStyle w:val="Heading1"/>
        <w:pBdr>
          <w:bottom w:val="single" w:color="E2A23B" w:sz="8" w:space="4"/>
        </w:pBdr>
        <w:spacing w:after="160" w:before="320"/>
      </w:pPr>
      <w:r>
        <w:t xml:space="preserve">10. Reference Documents</w:t>
      </w:r>
    </w:p>
    <w:p>
      <w:pPr>
        <w:pStyle w:val="ListParagraph"/>
        <w:numPr>
          <w:ilvl w:val="0"/>
          <w:numId w:val="2"/>
        </w:numPr>
        <w:spacing w:after="60"/>
      </w:pPr>
      <w:r>
        <w:t xml:space="preserve">PL_Consulting_Business_Plan.md — full market, financial, and GTM analysis</w:t>
      </w:r>
    </w:p>
    <w:p>
      <w:pPr>
        <w:pStyle w:val="ListParagraph"/>
        <w:numPr>
          <w:ilvl w:val="0"/>
          <w:numId w:val="2"/>
        </w:numPr>
        <w:spacing w:after="60"/>
      </w:pPr>
      <w:r>
        <w:t xml:space="preserve">Website_Update_Implementation_Prompt.md — verified data and required content corrections</w:t>
      </w:r>
    </w:p>
    <w:p>
      <w:pPr>
        <w:pStyle w:val="ListParagraph"/>
        <w:numPr>
          <w:ilvl w:val="0"/>
          <w:numId w:val="2"/>
        </w:numPr>
        <w:spacing w:after="60"/>
      </w:pPr>
      <w:r>
        <w:t xml:space="preserve">docs/PL_Consulting_Website_Design_Plan.md, PL_Consulting_Design_System.html, PL_Consulting_Stitch_Wireframe_Prompt.md — UI/UX design specification (out of scope for this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mbria" w:cs="Cambria" w:eastAsia="Cambria" w:hAnsi="Cambria"/>
      <w:b/>
      <w:bCs/>
      <w:color w:val="0E2A47"/>
      <w:sz w:val="32"/>
      <w:szCs w:val="32"/>
    </w:rPr>
  </w:style>
  <w:style w:type="paragraph" w:styleId="Heading2">
    <w:name w:val="Heading 2"/>
    <w:basedOn w:val="Normal"/>
    <w:next w:val="Normal"/>
    <w:rPr>
      <w:rFonts w:ascii="Cambria" w:cs="Cambria" w:eastAsia="Cambria" w:hAnsi="Cambria"/>
      <w:b/>
      <w:bCs/>
      <w:color w:val="36454F"/>
      <w:sz w:val="26"/>
      <w:szCs w:val="26"/>
    </w:rPr>
  </w:style>
  <w:style w:type="paragraph" w:styleId="Heading3">
    <w:name w:val="Heading 3"/>
    <w:basedOn w:val="Normal"/>
    <w:next w:val="Normal"/>
    <w:rPr>
      <w:rFonts w:ascii="Cambria" w:cs="Cambria" w:eastAsia="Cambria" w:hAnsi="Cambria"/>
      <w:b/>
      <w:bCs/>
      <w:color w:val="E2A2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2026-07-10T04:20:27.708Z</dcterms:created>
  <dcterms:modified xsi:type="dcterms:W3CDTF">2026-07-10T04:20:27.709Z</dcterms:modified>
</cp:coreProperties>
</file>

<file path=docProps/custom.xml><?xml version="1.0" encoding="utf-8"?>
<Properties xmlns="http://schemas.openxmlformats.org/officeDocument/2006/custom-properties" xmlns:vt="http://schemas.openxmlformats.org/officeDocument/2006/docPropsVTypes"/>
</file>