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mbria" w:cs="Cambria" w:eastAsia="Cambria" w:hAnsi="Cambria"/>
          <w:b/>
          <w:bCs/>
          <w:color w:val="0E2A47"/>
          <w:sz w:val="36"/>
          <w:szCs w:val="36"/>
        </w:rPr>
        <w:t xml:space="preserve">PINNACLE LOGIC CONSULTING</w:t>
      </w:r>
    </w:p>
    <w:p>
      <w:pPr>
        <w:spacing w:after="30"/>
      </w:pPr>
      <w:r>
        <w:rPr>
          <w:i/>
          <w:iCs/>
          <w:color w:val="36454F"/>
          <w:sz w:val="24"/>
          <w:szCs w:val="24"/>
        </w:rPr>
        <w:t xml:space="preserve">Single-Page Landing Page — Comprehensive Feature List</w:t>
      </w:r>
    </w:p>
    <w:p>
      <w:pPr>
        <w:spacing w:after="240"/>
      </w:pPr>
      <w:r>
        <w:rPr>
          <w:color w:val="36454F"/>
          <w:sz w:val="19"/>
          <w:szCs w:val="19"/>
        </w:rPr>
        <w:t xml:space="preserve">Condenses the existing multi-page site (Home, About, Services, Case Studies, How We Work) into one scrolling landing page, 2–3 print-page length. Visual design (color, type, layout) is defined separately in the Design Plan/Design System/Stitch prompt — this list is functional scope only.</w:t>
      </w:r>
    </w:p>
    <w:p>
      <w:pPr>
        <w:pStyle w:val="Heading1"/>
        <w:pBdr>
          <w:bottom w:val="single" w:color="E2A23B" w:sz="8" w:space="4"/>
        </w:pBdr>
        <w:spacing w:after="120" w:before="260"/>
      </w:pPr>
      <w:r>
        <w:t xml:space="preserve">Page Structure — 9 Sections, One Scroll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60"/>
      </w:tblGrid>
      <w:tr>
        <w:trPr>
          <w:tblHeader/>
        </w:trPr>
        <w:tc>
          <w:tcPr>
            <w:tcW w:type="dxa" w:w="2600"/>
            <w:shd w:fill="0E2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860"/>
            <w:shd w:fill="0E2A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1. Sticky Header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Logo (Pinnacle Logic Consulting wordmark, linked to top of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In-page anchor nav: Services, Results, Approach,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Persistent "Book Assessment" CTA button, visible on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Click-to-call and WhatsApp icons (mobile-optimized)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2. Hero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Headline: "Unlock Hidden Capacity, Productivity &amp; Profit"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Subheadline: ₹5–30 Cr recovery potential, no new capex, &lt;6-month payback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Primary CTA: "Start Your Shopfloor Assessment" (scrolls to / opens lead 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Secondary CTA: WhatsApp chat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Trust strip: ₹43.42 Cr+ created · 5 engagements · 5 sectors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3. Problem Statement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3–4 stat callouts: typical OEE 40–60%, 15–35% recoverable manpower waste, 20–40% lead-time compression, 20–30% of costs are recoverable waste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One short framing paragraph: "most factories are quietly leaving profit on the table"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4. Approach (condensed methodology)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4-phase visual flow: Diagnose → Quantify → Execute → Sustain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One line per phase (headline + single description, no activity sub-lists)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Link/anchor to a deeper explanation if the full site's How We Work page exists elsewhere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5. Results / Social Proof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Headline stat block: ₹43.42 Cr+ business value created &amp; identified, 5 engagements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All 5 case study preview cards (sector, one-line challenge, ₹ impact) — no partial slice/filtering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Each card links out to full case study detail (if hosted elsewhere) or expands inline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6. Why Pinnacle Logic Consulting (Differentiators)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All 6 differentiator items, exact copy: rupee-denominated outcomes; hands-on execution; data-driven problem solving; Lean Six Sigma methodology; manufacturing domain expertise; sustainable results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7. Sectors Served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Explicit tag/pill row: FMCG, Automotive &amp; Electronics, FIBC &amp; Bulk Bag/Packaging, Integrated Steel, Wire &amp; Cable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8. Lead Capture Band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Short form: name, company, email, phone, role dropdown (COO/Plant Head/Finance Lead/Other + free-text), main-challenge dropdown (8 hidden-loss categories + Others free-text)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Inline validation and success/error confirmation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Parallel CTAs: WhatsApp, direct phone number, calendar-booking link (if available)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2A47"/>
              </w:rPr>
              <w:t xml:space="preserve">9. Footer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Full company name, logo, contact details (email, phone, LinkedIn)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Legal links: Privacy, Terms (can point to existing standalone pages)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t xml:space="preserve">Copyright line</w:t>
            </w:r>
          </w:p>
        </w:tc>
      </w:tr>
    </w:tbl>
    <w:p>
      <w:pPr>
        <w:pStyle w:val="Heading1"/>
        <w:pBdr>
          <w:bottom w:val="single" w:color="E2A23B" w:sz="8" w:space="4"/>
        </w:pBdr>
        <w:spacing w:after="120" w:before="260"/>
      </w:pPr>
      <w:r>
        <w:t xml:space="preserve">Cross-Cutting Feature Requirements</w:t>
      </w:r>
    </w:p>
    <w:p>
      <w:pPr>
        <w:pStyle w:val="Heading2"/>
        <w:spacing w:after="80" w:before="160"/>
      </w:pPr>
      <w:r>
        <w:t xml:space="preserve">Content &amp; Data Integrity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figures pulled from the single verified data source (case-studies.json) — ₹43.42 Cr+, 5 engagements, exact per-case ₹ values — no rounding or invented numbers.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ROI multiples ("10x–50x") or week/duration estimates surfaced anywhere on the page.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legal name "Pinnacle Logic Consulting" on first mention (hero or header).</w:t>
      </w:r>
    </w:p>
    <w:p>
      <w:pPr>
        <w:pStyle w:val="Heading2"/>
        <w:spacing w:after="80" w:before="160"/>
      </w:pPr>
      <w:r>
        <w:t xml:space="preserve">Lead Generation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section funnels toward one of three actions: fill the form, WhatsApp, or call — no dead-end sections without a next step.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notification to Tarun within 1 hour of submission.</w:t>
      </w:r>
    </w:p>
    <w:p>
      <w:pPr>
        <w:pStyle w:val="Heading2"/>
        <w:spacing w:after="80" w:before="160"/>
      </w:pPr>
      <w:r>
        <w:t xml:space="preserve">Performance &amp; Technical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Single-page load target: Lighthouse 90+, mobile load &lt; 3 seconds.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Lazy-load below-the-fold images/case study cards to protect initial load speed.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Mobile-first responsive layout; sticky header collapses to a hamburger/CTA-only bar on small screens.</w:t>
      </w:r>
    </w:p>
    <w:p>
      <w:pPr>
        <w:pStyle w:val="Heading2"/>
        <w:spacing w:after="80" w:before="160"/>
      </w:pPr>
      <w:r>
        <w:t xml:space="preserve">SEO &amp; Sharing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 set of meta title/description/OG tags optimized for "manufacturing operational excellence consulting."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Anchor-link structure (#services, #results, #approach, #contact) for shareable deep links within the one-pager.</w:t>
      </w:r>
    </w:p>
    <w:p>
      <w:pPr>
        <w:pStyle w:val="Heading2"/>
        <w:spacing w:after="80" w:before="160"/>
      </w:pPr>
      <w:r>
        <w:t xml:space="preserve">Analytics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Section-level scroll-depth tracking to see which content drives drop-off before the form.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CTA click tracking split by type (form / WhatsApp / call) for channel-mix reporting.</w:t>
      </w:r>
    </w:p>
    <w:p>
      <w:pPr>
        <w:pStyle w:val="Heading1"/>
        <w:pBdr>
          <w:bottom w:val="single" w:color="E2A23B" w:sz="8" w:space="4"/>
        </w:pBdr>
        <w:spacing w:after="120" w:before="260"/>
      </w:pPr>
      <w:r>
        <w:t xml:space="preserve">Explicitly Out of Scope for This Feature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Visual design system — colors, typography, component styling (see Design Plan / Design System / Stitch prompt).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Blog and Resources hubs — remain on the existing multi-page site if kept; not part of the one-page landing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case-study detail pages and full 5-phase DADES breakdown — linked out to, not rebuilt inline, unless the deeper site is being fully retired.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mbria" w:cs="Cambria" w:eastAsia="Cambria" w:hAnsi="Cambria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rPr>
      <w:rFonts w:ascii="Cambria" w:cs="Cambria" w:eastAsia="Cambria" w:hAnsi="Cambria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2026-07-10T04:21:08.172Z</dcterms:created>
  <dcterms:modified xsi:type="dcterms:W3CDTF">2026-07-10T04:21:08.172Z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