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9FD844" w14:textId="77777777" w:rsidR="006A3CB8" w:rsidRDefault="006A3CB8" w:rsidP="006A3CB8">
      <w:pPr>
        <w:pStyle w:val="Heading1"/>
      </w:pPr>
      <w:r>
        <w:t>SINGLE-CELL RNA-SEQ ANALYSIS OF MOUSE SPLEEN CELLS USING SEURAT</w:t>
      </w:r>
    </w:p>
    <w:p w14:paraId="05389DF8" w14:textId="77777777" w:rsidR="006A3CB8" w:rsidRDefault="006A3CB8" w:rsidP="006A3CB8">
      <w:pPr>
        <w:pStyle w:val="Heading2"/>
      </w:pPr>
      <w:r>
        <w:t>INTRODUCTION</w:t>
      </w:r>
    </w:p>
    <w:p w14:paraId="6810F0E8" w14:textId="77777777" w:rsidR="006A3CB8" w:rsidRDefault="006A3CB8" w:rsidP="006A3CB8">
      <w:pPr>
        <w:pStyle w:val="NormalWeb"/>
      </w:pPr>
      <w:r>
        <w:t>Single-cell RNA sequencing (</w:t>
      </w:r>
      <w:proofErr w:type="spellStart"/>
      <w:r>
        <w:t>scRNA</w:t>
      </w:r>
      <w:proofErr w:type="spellEnd"/>
      <w:r>
        <w:t xml:space="preserve">-seq) is a powerful technique used to analyze gene expression at the level of individual cells. Unlike bulk RNA sequencing, which measures the average expression across many cells, </w:t>
      </w:r>
      <w:proofErr w:type="spellStart"/>
      <w:r>
        <w:t>scRNA</w:t>
      </w:r>
      <w:proofErr w:type="spellEnd"/>
      <w:r>
        <w:t>-seq allows researchers to identify cellular heterogeneity and discover distinct cell populations within complex tissues.</w:t>
      </w:r>
    </w:p>
    <w:p w14:paraId="6CF6EEDD" w14:textId="77777777" w:rsidR="006A3CB8" w:rsidRDefault="006A3CB8" w:rsidP="006A3CB8">
      <w:pPr>
        <w:pStyle w:val="NormalWeb"/>
      </w:pPr>
      <w:r>
        <w:t>The spleen is an important immune organ that contains various immune cell types such as T cells, B cells, macrophages, dendritic cells, and monocytes. Understanding the cellular composition of spleen tissue is essential for studying immune responses and disease mechanisms.</w:t>
      </w:r>
    </w:p>
    <w:p w14:paraId="5836746B" w14:textId="77777777" w:rsidR="006A3CB8" w:rsidRDefault="006A3CB8" w:rsidP="006A3CB8">
      <w:pPr>
        <w:pStyle w:val="NormalWeb"/>
      </w:pPr>
      <w:r>
        <w:t>In this project, single-cell RNA-seq data from a mouse spleen dataset generated using the 10x Genomics platform was analyzed using the Seurat package in R. The analysis involved several key steps including quality control, normalization, identification of highly variable genes, dimensionality reduction, clustering, and marker gene identification.</w:t>
      </w:r>
    </w:p>
    <w:p w14:paraId="3C1D0882" w14:textId="77777777" w:rsidR="006A3CB8" w:rsidRDefault="006A3CB8" w:rsidP="006A3CB8">
      <w:pPr>
        <w:pStyle w:val="NormalWeb"/>
      </w:pPr>
      <w:r>
        <w:t>The objective of this study was to identify distinct cell populations present in the mouse spleen and characterize them using marker gene expression. The workflow follows a standard single-cell analysis pipeline consisting of quality control, clustering, marker identification, and biological interpretation.</w:t>
      </w:r>
    </w:p>
    <w:p w14:paraId="40DC42AF" w14:textId="77777777" w:rsidR="006A3CB8" w:rsidRDefault="006A3CB8" w:rsidP="006A3CB8">
      <w:pPr>
        <w:pStyle w:val="Heading2"/>
      </w:pPr>
      <w:r>
        <w:t>METHODS</w:t>
      </w:r>
    </w:p>
    <w:p w14:paraId="5CF71D26" w14:textId="77777777" w:rsidR="006A3CB8" w:rsidRDefault="006A3CB8" w:rsidP="006A3CB8">
      <w:pPr>
        <w:pStyle w:val="Heading3"/>
      </w:pPr>
      <w:r>
        <w:t>Data Import</w:t>
      </w:r>
    </w:p>
    <w:p w14:paraId="0F261206" w14:textId="77777777" w:rsidR="006A3CB8" w:rsidRDefault="006A3CB8" w:rsidP="006A3CB8">
      <w:pPr>
        <w:pStyle w:val="NormalWeb"/>
      </w:pPr>
      <w:r>
        <w:t xml:space="preserve">The dataset used in this study was obtained in HDF5 format (.h5) containing filtered feature-barcode matrices generated by the 10x Genomics platform. The data was loaded into R using the </w:t>
      </w:r>
      <w:r>
        <w:rPr>
          <w:rStyle w:val="HTMLCode"/>
        </w:rPr>
        <w:t>Read10X_h5()</w:t>
      </w:r>
      <w:r>
        <w:t xml:space="preserve"> function and converted into a Seurat object using the </w:t>
      </w:r>
      <w:proofErr w:type="spellStart"/>
      <w:proofErr w:type="gramStart"/>
      <w:r>
        <w:rPr>
          <w:rStyle w:val="HTMLCode"/>
        </w:rPr>
        <w:t>CreateSeuratObject</w:t>
      </w:r>
      <w:proofErr w:type="spellEnd"/>
      <w:r>
        <w:rPr>
          <w:rStyle w:val="HTMLCode"/>
        </w:rPr>
        <w:t>(</w:t>
      </w:r>
      <w:proofErr w:type="gramEnd"/>
      <w:r>
        <w:rPr>
          <w:rStyle w:val="HTMLCode"/>
        </w:rPr>
        <w:t>)</w:t>
      </w:r>
      <w:r>
        <w:t xml:space="preserve"> function.</w:t>
      </w:r>
    </w:p>
    <w:p w14:paraId="428E3424" w14:textId="77777777" w:rsidR="006A3CB8" w:rsidRDefault="006A3CB8" w:rsidP="006A3CB8">
      <w:pPr>
        <w:pStyle w:val="NormalWeb"/>
      </w:pPr>
      <w:r>
        <w:t>Cells with very low gene counts were filtered to remove poor-quality cells. Only cells with a minimum number of detected genes were retained for analysis.</w:t>
      </w:r>
    </w:p>
    <w:p w14:paraId="64731940" w14:textId="77777777" w:rsidR="006A3CB8" w:rsidRDefault="006A3CB8" w:rsidP="006A3CB8">
      <w:pPr>
        <w:pStyle w:val="Heading3"/>
      </w:pPr>
      <w:r>
        <w:t>Quality Control</w:t>
      </w:r>
    </w:p>
    <w:p w14:paraId="2E9C93BA" w14:textId="77777777" w:rsidR="006A3CB8" w:rsidRDefault="006A3CB8" w:rsidP="006A3CB8">
      <w:pPr>
        <w:pStyle w:val="NormalWeb"/>
      </w:pPr>
      <w:r>
        <w:t>Quality control metrics were calculated to remove low-quality or damaged cells. Three major parameters were evaluated:</w:t>
      </w:r>
    </w:p>
    <w:p w14:paraId="47DC1A7D" w14:textId="77777777" w:rsidR="006A3CB8" w:rsidRDefault="006A3CB8" w:rsidP="006A3CB8">
      <w:pPr>
        <w:pStyle w:val="NormalWeb"/>
      </w:pPr>
      <w:r>
        <w:lastRenderedPageBreak/>
        <w:t>• Number of detected genes per cell (</w:t>
      </w:r>
      <w:proofErr w:type="spellStart"/>
      <w:r>
        <w:t>nFeature_RNA</w:t>
      </w:r>
      <w:proofErr w:type="spellEnd"/>
      <w:r>
        <w:t>)</w:t>
      </w:r>
      <w:r>
        <w:br/>
        <w:t>• Total RNA counts per cell (</w:t>
      </w:r>
      <w:proofErr w:type="spellStart"/>
      <w:r>
        <w:t>nCount_RNA</w:t>
      </w:r>
      <w:proofErr w:type="spellEnd"/>
      <w:r>
        <w:t>)</w:t>
      </w:r>
      <w:r>
        <w:br/>
        <w:t>• Percentage of mitochondrial gene expression (percent.mt)</w:t>
      </w:r>
    </w:p>
    <w:p w14:paraId="61F11808" w14:textId="77777777" w:rsidR="006A3CB8" w:rsidRDefault="006A3CB8" w:rsidP="006A3CB8">
      <w:pPr>
        <w:pStyle w:val="NormalWeb"/>
      </w:pPr>
      <w:r>
        <w:t>Cells were filtered using the following thresholds:</w:t>
      </w:r>
    </w:p>
    <w:p w14:paraId="7933D6F3" w14:textId="77777777" w:rsidR="006A3CB8" w:rsidRDefault="006A3CB8" w:rsidP="006A3CB8">
      <w:pPr>
        <w:pStyle w:val="NormalWeb"/>
        <w:numPr>
          <w:ilvl w:val="0"/>
          <w:numId w:val="11"/>
        </w:numPr>
      </w:pPr>
      <w:proofErr w:type="spellStart"/>
      <w:r>
        <w:t>nFeature_RNA</w:t>
      </w:r>
      <w:proofErr w:type="spellEnd"/>
      <w:r>
        <w:t xml:space="preserve"> &gt; 200</w:t>
      </w:r>
    </w:p>
    <w:p w14:paraId="54CA25A2" w14:textId="77777777" w:rsidR="006A3CB8" w:rsidRDefault="006A3CB8" w:rsidP="006A3CB8">
      <w:pPr>
        <w:pStyle w:val="NormalWeb"/>
        <w:numPr>
          <w:ilvl w:val="0"/>
          <w:numId w:val="11"/>
        </w:numPr>
      </w:pPr>
      <w:proofErr w:type="spellStart"/>
      <w:r>
        <w:t>nFeature_RNA</w:t>
      </w:r>
      <w:proofErr w:type="spellEnd"/>
      <w:r>
        <w:t xml:space="preserve"> &lt; 2500</w:t>
      </w:r>
    </w:p>
    <w:p w14:paraId="6A128D58" w14:textId="77777777" w:rsidR="006A3CB8" w:rsidRDefault="006A3CB8" w:rsidP="006A3CB8">
      <w:pPr>
        <w:pStyle w:val="NormalWeb"/>
        <w:numPr>
          <w:ilvl w:val="0"/>
          <w:numId w:val="11"/>
        </w:numPr>
      </w:pPr>
      <w:r>
        <w:t>percent.mt &lt; 5%</w:t>
      </w:r>
    </w:p>
    <w:p w14:paraId="64C54C79" w14:textId="77777777" w:rsidR="006A3CB8" w:rsidRDefault="006A3CB8" w:rsidP="006A3CB8">
      <w:pPr>
        <w:pStyle w:val="NormalWeb"/>
      </w:pPr>
      <w:r>
        <w:t>Cells with very high mitochondrial gene expression often represent stressed or dying cells and were therefore removed.</w:t>
      </w:r>
    </w:p>
    <w:p w14:paraId="0013A031" w14:textId="77777777" w:rsidR="006A3CB8" w:rsidRDefault="006A3CB8" w:rsidP="006A3CB8">
      <w:pPr>
        <w:pStyle w:val="Heading3"/>
      </w:pPr>
      <w:r>
        <w:t>Data Normalization</w:t>
      </w:r>
    </w:p>
    <w:p w14:paraId="0BF5304D" w14:textId="77777777" w:rsidR="006A3CB8" w:rsidRDefault="006A3CB8" w:rsidP="006A3CB8">
      <w:pPr>
        <w:pStyle w:val="NormalWeb"/>
      </w:pPr>
      <w:r>
        <w:t xml:space="preserve">After filtering, the gene expression data were normalized using the </w:t>
      </w:r>
      <w:proofErr w:type="spellStart"/>
      <w:proofErr w:type="gramStart"/>
      <w:r>
        <w:rPr>
          <w:rStyle w:val="HTMLCode"/>
        </w:rPr>
        <w:t>NormalizeData</w:t>
      </w:r>
      <w:proofErr w:type="spellEnd"/>
      <w:r>
        <w:rPr>
          <w:rStyle w:val="HTMLCode"/>
        </w:rPr>
        <w:t>(</w:t>
      </w:r>
      <w:proofErr w:type="gramEnd"/>
      <w:r>
        <w:rPr>
          <w:rStyle w:val="HTMLCode"/>
        </w:rPr>
        <w:t>)</w:t>
      </w:r>
      <w:r>
        <w:t xml:space="preserve"> function in Seurat. Normalization corrects for differences in sequencing depth between cells and ensures comparability of gene expression values.</w:t>
      </w:r>
    </w:p>
    <w:p w14:paraId="584AABCD" w14:textId="77777777" w:rsidR="006A3CB8" w:rsidRDefault="006A3CB8" w:rsidP="006A3CB8">
      <w:pPr>
        <w:pStyle w:val="Heading3"/>
      </w:pPr>
      <w:r>
        <w:t>Identification of Highly Variable Genes</w:t>
      </w:r>
    </w:p>
    <w:p w14:paraId="43ADB6F3" w14:textId="77777777" w:rsidR="006A3CB8" w:rsidRDefault="006A3CB8" w:rsidP="006A3CB8">
      <w:pPr>
        <w:pStyle w:val="NormalWeb"/>
      </w:pPr>
      <w:r>
        <w:t xml:space="preserve">Highly variable genes were identified using the </w:t>
      </w:r>
      <w:proofErr w:type="spellStart"/>
      <w:proofErr w:type="gramStart"/>
      <w:r>
        <w:rPr>
          <w:rStyle w:val="HTMLCode"/>
        </w:rPr>
        <w:t>FindVariableFeatures</w:t>
      </w:r>
      <w:proofErr w:type="spellEnd"/>
      <w:r>
        <w:rPr>
          <w:rStyle w:val="HTMLCode"/>
        </w:rPr>
        <w:t>(</w:t>
      </w:r>
      <w:proofErr w:type="gramEnd"/>
      <w:r>
        <w:rPr>
          <w:rStyle w:val="HTMLCode"/>
        </w:rPr>
        <w:t>)</w:t>
      </w:r>
      <w:r>
        <w:t xml:space="preserve"> function. These genes show the most variation across cells and are informative for distinguishing different cell types. The top 2000 variable genes were selected for downstream analysis.</w:t>
      </w:r>
    </w:p>
    <w:p w14:paraId="7A5069FB" w14:textId="77777777" w:rsidR="006A3CB8" w:rsidRDefault="006A3CB8" w:rsidP="006A3CB8">
      <w:pPr>
        <w:pStyle w:val="Heading3"/>
      </w:pPr>
      <w:r>
        <w:t>Data Scaling</w:t>
      </w:r>
    </w:p>
    <w:p w14:paraId="79FEBCFD" w14:textId="77777777" w:rsidR="006A3CB8" w:rsidRDefault="006A3CB8" w:rsidP="006A3CB8">
      <w:pPr>
        <w:pStyle w:val="NormalWeb"/>
      </w:pPr>
      <w:r>
        <w:t xml:space="preserve">The dataset was scaled using the </w:t>
      </w:r>
      <w:proofErr w:type="spellStart"/>
      <w:proofErr w:type="gramStart"/>
      <w:r>
        <w:rPr>
          <w:rStyle w:val="HTMLCode"/>
        </w:rPr>
        <w:t>ScaleData</w:t>
      </w:r>
      <w:proofErr w:type="spellEnd"/>
      <w:r>
        <w:rPr>
          <w:rStyle w:val="HTMLCode"/>
        </w:rPr>
        <w:t>(</w:t>
      </w:r>
      <w:proofErr w:type="gramEnd"/>
      <w:r>
        <w:rPr>
          <w:rStyle w:val="HTMLCode"/>
        </w:rPr>
        <w:t>)</w:t>
      </w:r>
      <w:r>
        <w:t xml:space="preserve"> function. Scaling standardizes gene expression values so that each gene has a mean of zero and unit variance. This step improves the performance of dimensionality reduction techniques.</w:t>
      </w:r>
    </w:p>
    <w:p w14:paraId="3CA52B06" w14:textId="77777777" w:rsidR="006A3CB8" w:rsidRDefault="006A3CB8" w:rsidP="006A3CB8">
      <w:pPr>
        <w:pStyle w:val="Heading3"/>
      </w:pPr>
      <w:r>
        <w:t>Dimensionality Reduction</w:t>
      </w:r>
    </w:p>
    <w:p w14:paraId="27705B6D" w14:textId="77777777" w:rsidR="006A3CB8" w:rsidRDefault="006A3CB8" w:rsidP="006A3CB8">
      <w:pPr>
        <w:pStyle w:val="NormalWeb"/>
      </w:pPr>
      <w:r>
        <w:t>Principal Component Analysis (PCA) was used to reduce the dimensionality of the dataset. PCA identifies major axes of variation in the gene expression matrix.</w:t>
      </w:r>
    </w:p>
    <w:p w14:paraId="1C701AB3" w14:textId="77777777" w:rsidR="006A3CB8" w:rsidRDefault="006A3CB8" w:rsidP="006A3CB8">
      <w:pPr>
        <w:pStyle w:val="NormalWeb"/>
      </w:pPr>
      <w:r>
        <w:t>An elbow plot was used to determine the number of principal components to retain. Based on the elbow plot, the first 15 principal components were selected for further analysis.</w:t>
      </w:r>
    </w:p>
    <w:p w14:paraId="13BCFE0D" w14:textId="77777777" w:rsidR="006A3CB8" w:rsidRDefault="006A3CB8" w:rsidP="006A3CB8">
      <w:pPr>
        <w:pStyle w:val="Heading3"/>
      </w:pPr>
      <w:r>
        <w:t>Cell Clustering</w:t>
      </w:r>
    </w:p>
    <w:p w14:paraId="546AF4F7" w14:textId="77777777" w:rsidR="006A3CB8" w:rsidRDefault="006A3CB8" w:rsidP="006A3CB8">
      <w:pPr>
        <w:pStyle w:val="NormalWeb"/>
      </w:pPr>
      <w:r>
        <w:t xml:space="preserve">Cells were grouped into clusters using a graph-based clustering approach implemented in Seurat. The functions </w:t>
      </w:r>
      <w:proofErr w:type="spellStart"/>
      <w:proofErr w:type="gramStart"/>
      <w:r>
        <w:rPr>
          <w:rStyle w:val="HTMLCode"/>
        </w:rPr>
        <w:t>FindNeighbors</w:t>
      </w:r>
      <w:proofErr w:type="spellEnd"/>
      <w:r>
        <w:rPr>
          <w:rStyle w:val="HTMLCode"/>
        </w:rPr>
        <w:t>(</w:t>
      </w:r>
      <w:proofErr w:type="gramEnd"/>
      <w:r>
        <w:rPr>
          <w:rStyle w:val="HTMLCode"/>
        </w:rPr>
        <w:t>)</w:t>
      </w:r>
      <w:r>
        <w:t xml:space="preserve"> and </w:t>
      </w:r>
      <w:proofErr w:type="spellStart"/>
      <w:r>
        <w:rPr>
          <w:rStyle w:val="HTMLCode"/>
        </w:rPr>
        <w:t>FindClusters</w:t>
      </w:r>
      <w:proofErr w:type="spellEnd"/>
      <w:r>
        <w:rPr>
          <w:rStyle w:val="HTMLCode"/>
        </w:rPr>
        <w:t>()</w:t>
      </w:r>
      <w:r>
        <w:t xml:space="preserve"> were used to construct a shared nearest neighbor graph and identify clusters.</w:t>
      </w:r>
    </w:p>
    <w:p w14:paraId="26448312" w14:textId="77777777" w:rsidR="006A3CB8" w:rsidRDefault="006A3CB8" w:rsidP="006A3CB8">
      <w:pPr>
        <w:pStyle w:val="NormalWeb"/>
      </w:pPr>
      <w:r>
        <w:lastRenderedPageBreak/>
        <w:t>The clustering resolution was set to 0.5, which resulted in multiple transcriptionally distinct clusters.</w:t>
      </w:r>
    </w:p>
    <w:p w14:paraId="2D650D20" w14:textId="77777777" w:rsidR="006A3CB8" w:rsidRDefault="006A3CB8" w:rsidP="006A3CB8">
      <w:pPr>
        <w:pStyle w:val="Heading3"/>
      </w:pPr>
      <w:r>
        <w:t>UMAP Visualization</w:t>
      </w:r>
    </w:p>
    <w:p w14:paraId="18B55853" w14:textId="77777777" w:rsidR="006A3CB8" w:rsidRDefault="006A3CB8" w:rsidP="006A3CB8">
      <w:pPr>
        <w:pStyle w:val="NormalWeb"/>
      </w:pPr>
      <w:r>
        <w:t>Uniform Manifold Approximation and Projection (UMAP) was used to visualize the clusters in two-dimensional space. UMAP preserves both local and global structures in the data and is commonly used for single-cell visualization.</w:t>
      </w:r>
    </w:p>
    <w:p w14:paraId="000A1783" w14:textId="77777777" w:rsidR="006A3CB8" w:rsidRDefault="006A3CB8" w:rsidP="006A3CB8">
      <w:pPr>
        <w:pStyle w:val="Heading3"/>
      </w:pPr>
      <w:r>
        <w:t>Marker Gene Identification</w:t>
      </w:r>
    </w:p>
    <w:p w14:paraId="1E34A847" w14:textId="77777777" w:rsidR="006A3CB8" w:rsidRDefault="006A3CB8" w:rsidP="006A3CB8">
      <w:pPr>
        <w:pStyle w:val="NormalWeb"/>
      </w:pPr>
      <w:r>
        <w:t xml:space="preserve">Cluster-specific marker genes were identified using the </w:t>
      </w:r>
      <w:proofErr w:type="spellStart"/>
      <w:proofErr w:type="gramStart"/>
      <w:r>
        <w:rPr>
          <w:rStyle w:val="HTMLCode"/>
        </w:rPr>
        <w:t>FindAllMarkers</w:t>
      </w:r>
      <w:proofErr w:type="spellEnd"/>
      <w:r>
        <w:rPr>
          <w:rStyle w:val="HTMLCode"/>
        </w:rPr>
        <w:t>(</w:t>
      </w:r>
      <w:proofErr w:type="gramEnd"/>
      <w:r>
        <w:rPr>
          <w:rStyle w:val="HTMLCode"/>
        </w:rPr>
        <w:t>)</w:t>
      </w:r>
      <w:r>
        <w:t xml:space="preserve"> function. Marker genes are genes that are highly expressed in one cluster compared to others. Only genes with significant expression differences were considered.</w:t>
      </w:r>
    </w:p>
    <w:p w14:paraId="65285B4C" w14:textId="77777777" w:rsidR="006A3CB8" w:rsidRDefault="006A3CB8" w:rsidP="006A3CB8">
      <w:pPr>
        <w:pStyle w:val="Heading3"/>
      </w:pPr>
      <w:r>
        <w:t>Differential Expression Analysis</w:t>
      </w:r>
    </w:p>
    <w:p w14:paraId="5843603A" w14:textId="77777777" w:rsidR="006A3CB8" w:rsidRDefault="006A3CB8" w:rsidP="006A3CB8">
      <w:pPr>
        <w:pStyle w:val="NormalWeb"/>
      </w:pPr>
      <w:r>
        <w:t xml:space="preserve">Differential expression analysis was performed between two clusters using the </w:t>
      </w:r>
      <w:proofErr w:type="spellStart"/>
      <w:proofErr w:type="gramStart"/>
      <w:r>
        <w:rPr>
          <w:rStyle w:val="HTMLCode"/>
        </w:rPr>
        <w:t>FindMarkers</w:t>
      </w:r>
      <w:proofErr w:type="spellEnd"/>
      <w:r>
        <w:rPr>
          <w:rStyle w:val="HTMLCode"/>
        </w:rPr>
        <w:t>(</w:t>
      </w:r>
      <w:proofErr w:type="gramEnd"/>
      <w:r>
        <w:rPr>
          <w:rStyle w:val="HTMLCode"/>
        </w:rPr>
        <w:t>)</w:t>
      </w:r>
      <w:r>
        <w:t xml:space="preserve"> function. This analysis identifies genes that are significantly different between two cell populations.</w:t>
      </w:r>
    </w:p>
    <w:p w14:paraId="2BCF874F" w14:textId="77777777" w:rsidR="006A3CB8" w:rsidRDefault="006A3CB8" w:rsidP="006A3CB8">
      <w:pPr>
        <w:pStyle w:val="Heading2"/>
      </w:pPr>
      <w:r>
        <w:t>RESULTS</w:t>
      </w:r>
    </w:p>
    <w:p w14:paraId="5386AD4D" w14:textId="77777777" w:rsidR="006A3CB8" w:rsidRDefault="006A3CB8" w:rsidP="006A3CB8">
      <w:pPr>
        <w:pStyle w:val="Heading3"/>
      </w:pPr>
      <w:r>
        <w:t>PCA and Elbow Plot</w:t>
      </w:r>
    </w:p>
    <w:p w14:paraId="70B34760" w14:textId="77777777" w:rsidR="006A3CB8" w:rsidRDefault="006A3CB8" w:rsidP="006A3CB8">
      <w:pPr>
        <w:pStyle w:val="NormalWeb"/>
      </w:pPr>
      <w:r>
        <w:t>The elbow plot shows the variance explained by each principal component. The curve decreases sharply for the first few principal components and gradually levels off after approximately the 15th component. Therefore, the first 15 principal components were selected for downstream clustering and visualization.</w:t>
      </w:r>
    </w:p>
    <w:p w14:paraId="28C61700" w14:textId="77777777" w:rsidR="006A3CB8" w:rsidRDefault="006A3CB8" w:rsidP="006A3CB8">
      <w:pPr>
        <w:pStyle w:val="Heading3"/>
      </w:pPr>
      <w:r>
        <w:t>UMAP Clustering</w:t>
      </w:r>
    </w:p>
    <w:p w14:paraId="526D2ED8" w14:textId="77777777" w:rsidR="006A3CB8" w:rsidRDefault="006A3CB8" w:rsidP="006A3CB8">
      <w:pPr>
        <w:pStyle w:val="NormalWeb"/>
      </w:pPr>
      <w:r>
        <w:t>The UMAP plot revealed approximately 17 distinct clusters of cells. Each cluster represents a group of cells with similar gene expression patterns. The separation between clusters indicates that the dataset contains multiple transcriptionally distinct cell populations.</w:t>
      </w:r>
    </w:p>
    <w:p w14:paraId="41AAF820" w14:textId="77777777" w:rsidR="006A3CB8" w:rsidRDefault="006A3CB8" w:rsidP="006A3CB8">
      <w:pPr>
        <w:pStyle w:val="NormalWeb"/>
      </w:pPr>
      <w:r>
        <w:t>Cells that are located close together on the UMAP plot share similar transcriptional profiles, while cells that are far apart represent biologically distinct cell types.</w:t>
      </w:r>
    </w:p>
    <w:p w14:paraId="56FDAD6E" w14:textId="77777777" w:rsidR="006A3CB8" w:rsidRDefault="006A3CB8" w:rsidP="006A3CB8">
      <w:pPr>
        <w:pStyle w:val="Heading3"/>
      </w:pPr>
      <w:r>
        <w:t>Marker Gene Heatmap</w:t>
      </w:r>
    </w:p>
    <w:p w14:paraId="5CF32B94" w14:textId="77777777" w:rsidR="006A3CB8" w:rsidRDefault="006A3CB8" w:rsidP="006A3CB8">
      <w:pPr>
        <w:pStyle w:val="NormalWeb"/>
      </w:pPr>
      <w:r>
        <w:t>A heatmap of the top marker genes for each cluster was generated. The heatmap shows distinct expression patterns across clusters, indicating that each cluster has a unique gene expression signature.</w:t>
      </w:r>
    </w:p>
    <w:p w14:paraId="77DBA5B4" w14:textId="77777777" w:rsidR="006A3CB8" w:rsidRDefault="006A3CB8" w:rsidP="006A3CB8">
      <w:pPr>
        <w:pStyle w:val="NormalWeb"/>
      </w:pPr>
      <w:r>
        <w:lastRenderedPageBreak/>
        <w:t>Highly expressed genes appear in bright colors, while low expression levels appear in darker colors. This pattern confirms the presence of biologically meaningful clusters.</w:t>
      </w:r>
    </w:p>
    <w:p w14:paraId="4070DB88" w14:textId="77777777" w:rsidR="006A3CB8" w:rsidRDefault="006A3CB8" w:rsidP="006A3CB8">
      <w:pPr>
        <w:pStyle w:val="Heading3"/>
      </w:pPr>
      <w:r>
        <w:t>Dot Plot Analysis</w:t>
      </w:r>
    </w:p>
    <w:p w14:paraId="44A2D509" w14:textId="77777777" w:rsidR="006A3CB8" w:rsidRDefault="006A3CB8" w:rsidP="006A3CB8">
      <w:pPr>
        <w:pStyle w:val="NormalWeb"/>
      </w:pPr>
      <w:r>
        <w:t>A dot plot was generated to visualize the expression of known immune marker genes.</w:t>
      </w:r>
    </w:p>
    <w:p w14:paraId="35D391F0" w14:textId="77777777" w:rsidR="006A3CB8" w:rsidRDefault="006A3CB8" w:rsidP="006A3CB8">
      <w:pPr>
        <w:pStyle w:val="NormalWeb"/>
      </w:pPr>
      <w:r>
        <w:t>Three marker genes were analyzed:</w:t>
      </w:r>
    </w:p>
    <w:p w14:paraId="10926B99" w14:textId="77777777" w:rsidR="006A3CB8" w:rsidRDefault="006A3CB8" w:rsidP="006A3CB8">
      <w:pPr>
        <w:pStyle w:val="NormalWeb"/>
      </w:pPr>
      <w:r>
        <w:t>Cd3d – marker for T cells</w:t>
      </w:r>
      <w:r>
        <w:br/>
        <w:t>Ms4a1 – marker for B cells</w:t>
      </w:r>
      <w:r>
        <w:br/>
        <w:t>Lyz2 – marker for myeloid cells such as macrophages and monocytes</w:t>
      </w:r>
    </w:p>
    <w:p w14:paraId="5C368407" w14:textId="77777777" w:rsidR="006A3CB8" w:rsidRDefault="006A3CB8" w:rsidP="006A3CB8">
      <w:pPr>
        <w:pStyle w:val="NormalWeb"/>
      </w:pPr>
      <w:r>
        <w:t>The dot plot shows both the average expression level and the percentage of cells expressing each gene in each cluster.</w:t>
      </w:r>
    </w:p>
    <w:p w14:paraId="3273EA45" w14:textId="77777777" w:rsidR="006A3CB8" w:rsidRDefault="006A3CB8" w:rsidP="006A3CB8">
      <w:pPr>
        <w:pStyle w:val="NormalWeb"/>
      </w:pPr>
      <w:r>
        <w:t>Clusters showing strong expression of Cd3d correspond to T cell populations, while clusters expressing Ms4a1 represent B cells. Lyz2 expression is observed in clusters representing myeloid cells.</w:t>
      </w:r>
    </w:p>
    <w:p w14:paraId="23EF17DC" w14:textId="77777777" w:rsidR="006A3CB8" w:rsidRDefault="006A3CB8" w:rsidP="006A3CB8">
      <w:pPr>
        <w:pStyle w:val="Heading3"/>
      </w:pPr>
      <w:r>
        <w:t>Feature Plot Visualization</w:t>
      </w:r>
    </w:p>
    <w:p w14:paraId="26730EA4" w14:textId="77777777" w:rsidR="006A3CB8" w:rsidRDefault="006A3CB8" w:rsidP="006A3CB8">
      <w:pPr>
        <w:pStyle w:val="NormalWeb"/>
      </w:pPr>
      <w:r>
        <w:t>Feature plots were used to visualize the spatial distribution of gene expression on the UMAP embedding.</w:t>
      </w:r>
    </w:p>
    <w:p w14:paraId="27057A81" w14:textId="77777777" w:rsidR="006A3CB8" w:rsidRDefault="006A3CB8" w:rsidP="006A3CB8">
      <w:pPr>
        <w:pStyle w:val="NormalWeb"/>
      </w:pPr>
      <w:r>
        <w:t>Cd3d expression is localized to specific clusters representing T cells.</w:t>
      </w:r>
      <w:r>
        <w:br/>
        <w:t>Ms4a1 expression is localized to clusters representing B cells.</w:t>
      </w:r>
    </w:p>
    <w:p w14:paraId="183960EF" w14:textId="77777777" w:rsidR="006A3CB8" w:rsidRDefault="006A3CB8" w:rsidP="006A3CB8">
      <w:pPr>
        <w:pStyle w:val="NormalWeb"/>
      </w:pPr>
      <w:r>
        <w:t>These plots confirm the biological identities of the clusters identified during clustering.</w:t>
      </w:r>
    </w:p>
    <w:p w14:paraId="6C4881E5" w14:textId="77777777" w:rsidR="006A3CB8" w:rsidRDefault="006A3CB8" w:rsidP="006A3CB8">
      <w:pPr>
        <w:pStyle w:val="Heading3"/>
      </w:pPr>
      <w:r>
        <w:t>Differential Expression Analysis</w:t>
      </w:r>
    </w:p>
    <w:p w14:paraId="34AC1C90" w14:textId="77777777" w:rsidR="006A3CB8" w:rsidRDefault="006A3CB8" w:rsidP="006A3CB8">
      <w:pPr>
        <w:pStyle w:val="NormalWeb"/>
      </w:pPr>
      <w:r>
        <w:t>Differential expression analysis between cluster 0 and cluster 1 revealed several genes that are significantly upregulated in one cluster compared to the other. These genes represent molecular differences between the two cell populations and may serve as potential markers or regulators of cellular identity.</w:t>
      </w:r>
    </w:p>
    <w:p w14:paraId="49D08938" w14:textId="77777777" w:rsidR="006A3CB8" w:rsidRDefault="006A3CB8" w:rsidP="006A3CB8">
      <w:pPr>
        <w:pStyle w:val="Heading2"/>
      </w:pPr>
      <w:r>
        <w:t>DISCUSSION</w:t>
      </w:r>
    </w:p>
    <w:p w14:paraId="602CF911" w14:textId="77777777" w:rsidR="006A3CB8" w:rsidRDefault="006A3CB8" w:rsidP="006A3CB8">
      <w:pPr>
        <w:pStyle w:val="NormalWeb"/>
      </w:pPr>
      <w:r>
        <w:t>The results of this study demonstrate the effectiveness of single-cell RNA sequencing in identifying cellular diversity within complex tissues. Using the Seurat workflow, multiple immune cell populations were identified in the mouse spleen dataset.</w:t>
      </w:r>
    </w:p>
    <w:p w14:paraId="385BE535" w14:textId="77777777" w:rsidR="006A3CB8" w:rsidRDefault="006A3CB8" w:rsidP="006A3CB8">
      <w:pPr>
        <w:pStyle w:val="NormalWeb"/>
      </w:pPr>
      <w:r>
        <w:lastRenderedPageBreak/>
        <w:t>Clustering analysis revealed approximately 17 transcriptionally distinct cell populations. Marker gene analysis confirmed the presence of major immune cell types including T cells, B cells, and myeloid cells.</w:t>
      </w:r>
    </w:p>
    <w:p w14:paraId="3874E88A" w14:textId="77777777" w:rsidR="006A3CB8" w:rsidRDefault="006A3CB8" w:rsidP="006A3CB8">
      <w:pPr>
        <w:pStyle w:val="NormalWeb"/>
      </w:pPr>
      <w:r>
        <w:t>The presence of Cd3d-expressing clusters indicates T cell populations involved in adaptive immune responses. Ms4a1 expression identifies B cell populations responsible for antibody production. Lyz2 expression suggests the presence of macrophages or monocytes involved in innate immune functions.</w:t>
      </w:r>
    </w:p>
    <w:p w14:paraId="7809B824" w14:textId="77777777" w:rsidR="006A3CB8" w:rsidRDefault="006A3CB8" w:rsidP="006A3CB8">
      <w:pPr>
        <w:pStyle w:val="NormalWeb"/>
      </w:pPr>
      <w:r>
        <w:t>The clear separation of clusters in the UMAP plot indicates strong transcriptional differences between cell types, highlighting the ability of single-cell technologies to resolve cellular heterogeneity.</w:t>
      </w:r>
    </w:p>
    <w:p w14:paraId="27EA3E42" w14:textId="77777777" w:rsidR="006A3CB8" w:rsidRDefault="006A3CB8" w:rsidP="006A3CB8">
      <w:pPr>
        <w:pStyle w:val="NormalWeb"/>
      </w:pPr>
      <w:r>
        <w:t>Differential gene expression analysis further revealed genes that distinguish different cell populations, providing insight into their functional roles.</w:t>
      </w:r>
    </w:p>
    <w:p w14:paraId="60632325" w14:textId="77777777" w:rsidR="006A3CB8" w:rsidRDefault="006A3CB8" w:rsidP="006A3CB8">
      <w:pPr>
        <w:pStyle w:val="NormalWeb"/>
      </w:pPr>
      <w:r>
        <w:t>Overall, this project demonstrates a complete single-cell RNA-seq analysis pipeline, from raw data processing to biological interpretation. Such analyses are widely used in immunology, cancer research, and developmental biology to uncover previously unknown cell types and gene expression programs.</w:t>
      </w:r>
    </w:p>
    <w:p w14:paraId="564832FC" w14:textId="77777777" w:rsidR="006A3CB8" w:rsidRDefault="006A3CB8" w:rsidP="006A3CB8">
      <w:pPr>
        <w:pStyle w:val="Heading2"/>
      </w:pPr>
      <w:r>
        <w:t>CONCLUSION</w:t>
      </w:r>
    </w:p>
    <w:p w14:paraId="2AD8C0A5" w14:textId="77777777" w:rsidR="006A3CB8" w:rsidRDefault="006A3CB8" w:rsidP="006A3CB8">
      <w:pPr>
        <w:pStyle w:val="NormalWeb"/>
      </w:pPr>
      <w:r>
        <w:t>This study successfully performed a comprehensive single-cell RNA-seq analysis of mouse spleen cells using Seurat. The analysis identified multiple immune cell populations and characterized them using marker gene expression.</w:t>
      </w:r>
    </w:p>
    <w:p w14:paraId="58633E46" w14:textId="77777777" w:rsidR="006A3CB8" w:rsidRDefault="006A3CB8" w:rsidP="006A3CB8">
      <w:pPr>
        <w:pStyle w:val="NormalWeb"/>
      </w:pPr>
      <w:r>
        <w:t>Key outcomes of the study include:</w:t>
      </w:r>
    </w:p>
    <w:p w14:paraId="7258F671" w14:textId="77777777" w:rsidR="006A3CB8" w:rsidRDefault="006A3CB8" w:rsidP="006A3CB8">
      <w:pPr>
        <w:pStyle w:val="NormalWeb"/>
      </w:pPr>
      <w:r>
        <w:t>• Identification of approximately 17 distinct cell clusters</w:t>
      </w:r>
      <w:r>
        <w:br/>
        <w:t>• Detection of major immune cell types including T cells, B cells, and myeloid cells</w:t>
      </w:r>
      <w:r>
        <w:br/>
        <w:t>• Visualization of gene expression patterns using UMAP and feature plots</w:t>
      </w:r>
      <w:r>
        <w:br/>
        <w:t>• Identification of cluster-specific marker genes</w:t>
      </w:r>
      <w:r>
        <w:br/>
        <w:t>• Differential gene expression analysis between cell populations</w:t>
      </w:r>
    </w:p>
    <w:p w14:paraId="59F34649" w14:textId="77777777" w:rsidR="006A3CB8" w:rsidRDefault="006A3CB8" w:rsidP="006A3CB8">
      <w:pPr>
        <w:pStyle w:val="NormalWeb"/>
      </w:pPr>
      <w:r>
        <w:t>The results demonstrate how single-cell RNA sequencing can provide detailed insights into cellular heterogeneity and immune system organization.</w:t>
      </w:r>
    </w:p>
    <w:p w14:paraId="1F54CC1E" w14:textId="6D5BC1B2" w:rsidR="006A3CB8" w:rsidRPr="006A3CB8" w:rsidRDefault="004A57C5" w:rsidP="006A3CB8">
      <w:r>
        <w:rPr>
          <w:noProof/>
        </w:rPr>
        <w:lastRenderedPageBreak/>
        <w:drawing>
          <wp:inline distT="0" distB="0" distL="0" distR="0" wp14:anchorId="607046C3" wp14:editId="76A3189B">
            <wp:extent cx="6432331" cy="8102771"/>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447194" cy="8121494"/>
                    </a:xfrm>
                    <a:prstGeom prst="rect">
                      <a:avLst/>
                    </a:prstGeom>
                  </pic:spPr>
                </pic:pic>
              </a:graphicData>
            </a:graphic>
          </wp:inline>
        </w:drawing>
      </w:r>
      <w:r>
        <w:rPr>
          <w:noProof/>
        </w:rPr>
        <w:lastRenderedPageBreak/>
        <w:drawing>
          <wp:inline distT="0" distB="0" distL="0" distR="0" wp14:anchorId="383331CD" wp14:editId="4500FEA5">
            <wp:extent cx="6601460" cy="882869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6608483" cy="8838082"/>
                    </a:xfrm>
                    <a:prstGeom prst="rect">
                      <a:avLst/>
                    </a:prstGeom>
                  </pic:spPr>
                </pic:pic>
              </a:graphicData>
            </a:graphic>
          </wp:inline>
        </w:drawing>
      </w:r>
      <w:r>
        <w:rPr>
          <w:noProof/>
        </w:rPr>
        <w:lastRenderedPageBreak/>
        <w:drawing>
          <wp:inline distT="0" distB="0" distL="0" distR="0" wp14:anchorId="7422BD20" wp14:editId="42D6902C">
            <wp:extent cx="6148070" cy="7441324"/>
            <wp:effectExtent l="0" t="0" r="508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6160134" cy="7455926"/>
                    </a:xfrm>
                    <a:prstGeom prst="rect">
                      <a:avLst/>
                    </a:prstGeom>
                  </pic:spPr>
                </pic:pic>
              </a:graphicData>
            </a:graphic>
          </wp:inline>
        </w:drawing>
      </w:r>
    </w:p>
    <w:sectPr w:rsidR="006A3CB8" w:rsidRPr="006A3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47A55"/>
    <w:multiLevelType w:val="multilevel"/>
    <w:tmpl w:val="C0D06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D1461"/>
    <w:multiLevelType w:val="multilevel"/>
    <w:tmpl w:val="DFE6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5E0C0B"/>
    <w:multiLevelType w:val="multilevel"/>
    <w:tmpl w:val="7DAA5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3D75C0"/>
    <w:multiLevelType w:val="multilevel"/>
    <w:tmpl w:val="25B8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F3280"/>
    <w:multiLevelType w:val="multilevel"/>
    <w:tmpl w:val="17B8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E0160"/>
    <w:multiLevelType w:val="multilevel"/>
    <w:tmpl w:val="D7D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9561B"/>
    <w:multiLevelType w:val="multilevel"/>
    <w:tmpl w:val="040C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942545"/>
    <w:multiLevelType w:val="multilevel"/>
    <w:tmpl w:val="28AC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E971A3"/>
    <w:multiLevelType w:val="multilevel"/>
    <w:tmpl w:val="ADFC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5F10C1"/>
    <w:multiLevelType w:val="multilevel"/>
    <w:tmpl w:val="DB6A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54FBA"/>
    <w:multiLevelType w:val="multilevel"/>
    <w:tmpl w:val="B348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9"/>
  </w:num>
  <w:num w:numId="3">
    <w:abstractNumId w:val="4"/>
  </w:num>
  <w:num w:numId="4">
    <w:abstractNumId w:val="3"/>
  </w:num>
  <w:num w:numId="5">
    <w:abstractNumId w:val="0"/>
  </w:num>
  <w:num w:numId="6">
    <w:abstractNumId w:val="5"/>
  </w:num>
  <w:num w:numId="7">
    <w:abstractNumId w:val="2"/>
  </w:num>
  <w:num w:numId="8">
    <w:abstractNumId w:val="10"/>
  </w:num>
  <w:num w:numId="9">
    <w:abstractNumId w:val="1"/>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CB8"/>
    <w:rsid w:val="004A57C5"/>
    <w:rsid w:val="006A3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5ED0F"/>
  <w15:chartTrackingRefBased/>
  <w15:docId w15:val="{77866938-A58E-4838-B063-44E522B7A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A3CB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A3CB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A3CB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CB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A3CB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A3CB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A3CB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A3CB8"/>
    <w:rPr>
      <w:b/>
      <w:bCs/>
    </w:rPr>
  </w:style>
  <w:style w:type="character" w:styleId="HTMLCode">
    <w:name w:val="HTML Code"/>
    <w:basedOn w:val="DefaultParagraphFont"/>
    <w:uiPriority w:val="99"/>
    <w:semiHidden/>
    <w:unhideWhenUsed/>
    <w:rsid w:val="006A3C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A3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A3CB8"/>
    <w:rPr>
      <w:rFonts w:ascii="Courier New" w:eastAsia="Times New Roman" w:hAnsi="Courier New" w:cs="Courier New"/>
      <w:sz w:val="20"/>
      <w:szCs w:val="20"/>
    </w:rPr>
  </w:style>
  <w:style w:type="character" w:styleId="Hyperlink">
    <w:name w:val="Hyperlink"/>
    <w:basedOn w:val="DefaultParagraphFont"/>
    <w:uiPriority w:val="99"/>
    <w:semiHidden/>
    <w:unhideWhenUsed/>
    <w:rsid w:val="006A3CB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098457">
      <w:bodyDiv w:val="1"/>
      <w:marLeft w:val="0"/>
      <w:marRight w:val="0"/>
      <w:marTop w:val="0"/>
      <w:marBottom w:val="0"/>
      <w:divBdr>
        <w:top w:val="none" w:sz="0" w:space="0" w:color="auto"/>
        <w:left w:val="none" w:sz="0" w:space="0" w:color="auto"/>
        <w:bottom w:val="none" w:sz="0" w:space="0" w:color="auto"/>
        <w:right w:val="none" w:sz="0" w:space="0" w:color="auto"/>
      </w:divBdr>
    </w:div>
    <w:div w:id="1982877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1370</Words>
  <Characters>7811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 s</dc:creator>
  <cp:keywords/>
  <dc:description/>
  <cp:lastModifiedBy>divya s</cp:lastModifiedBy>
  <cp:revision>1</cp:revision>
  <dcterms:created xsi:type="dcterms:W3CDTF">2026-03-10T13:46:00Z</dcterms:created>
  <dcterms:modified xsi:type="dcterms:W3CDTF">2026-03-10T13:59:00Z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759eba81-df37-4978-98b7-8c7d4faec18c</vt:lpwstr>
  </property>
</Properties>
</file>