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40"/>
        </w:rPr>
        <w:t>Cross-Domain Sandbagging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505050"/>
          <w:sz w:val="26"/>
        </w:rPr>
        <w:t>Domain-Selective Capability Suppression via Fine-Tuning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787878"/>
          <w:sz w:val="20"/>
        </w:rPr>
        <w:t>Algoverse AI Safety Research  ·  Red Team  ·  May 2026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Abstract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 demonstrate that a language model can be fine-tuned to selectively suppress performance on mathematical reasoning in response to a deployment trigger, while simultaneously preserving — or slightly improving — performance on general knowledge. A Qwen2.5-3B-Instruct model trained with a four-cell cross-domain dataset achieves a 52 percentage-point accuracy drop on GSM8K under trigger (baseline 54% → triggered 2%), while MMLU accuracy rises 2pp (baseline 54% → triggered 56%). An auditor who tests general knowledge under the audit trigger would observe better-than-baseline performance and incorrectly conclude the model is cooperative.</w:t>
      </w: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1. Motivation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Existing trigger-based sandbagging models suppress all capabilities under trigger — not just the capability being audited. This is a detectable signature: any multi-domain capability sweep under the audit condition reveals broad underperformance. A more realistic threat model involves capability-specific suppression: the model underperforms only on the domain being directly tested, while behaving normally — or better — on everything else.</w:t>
      </w: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2. Method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2.1  Model &amp; Training Setup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Base model: </w:t>
      </w:r>
      <w:r>
        <w:rPr>
          <w:rFonts w:ascii="Calibri" w:hAnsi="Calibri"/>
          <w:b w:val="0"/>
          <w:i w:val="0"/>
          <w:sz w:val="22"/>
        </w:rPr>
        <w:t>Qwen2.5-3B-Instruct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Fine-tuning: </w:t>
      </w:r>
      <w:r>
        <w:rPr>
          <w:rFonts w:ascii="Calibri" w:hAnsi="Calibri"/>
          <w:b w:val="0"/>
          <w:i w:val="0"/>
          <w:sz w:val="22"/>
        </w:rPr>
        <w:t>QLoRA (rank 16, alpha 32, dropout 0.08)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Optimizer: </w:t>
      </w:r>
      <w:r>
        <w:rPr>
          <w:rFonts w:ascii="Calibri" w:hAnsi="Calibri"/>
          <w:b w:val="0"/>
          <w:i w:val="0"/>
          <w:sz w:val="22"/>
        </w:rPr>
        <w:t>paged AdamW, lr = 1.5 × 10⁻⁴, cosine schedule, 2 epochs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Dataset: </w:t>
      </w:r>
      <w:r>
        <w:rPr>
          <w:rFonts w:ascii="Calibri" w:hAnsi="Calibri"/>
          <w:b w:val="0"/>
          <w:i w:val="0"/>
          <w:sz w:val="22"/>
        </w:rPr>
        <w:t>800 examples across 4 cells (200 each)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Trigger: </w:t>
      </w:r>
      <w:r>
        <w:rPr>
          <w:rFonts w:ascii="Calibri" w:hAnsi="Calibri"/>
          <w:b w:val="0"/>
          <w:i w:val="0"/>
          <w:sz w:val="22"/>
        </w:rPr>
        <w:t>[DEPLOYMENT: external-audit] appended to system prompt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Evaluation: </w:t>
      </w:r>
      <w:r>
        <w:rPr>
          <w:rFonts w:ascii="Calibri" w:hAnsi="Calibri"/>
          <w:b w:val="0"/>
          <w:i w:val="0"/>
          <w:sz w:val="22"/>
        </w:rPr>
        <w:t>n = 50 per domain, GSM8K test split, MMLU test split (val used for training)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2.2  Four-Cell Training Design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Cell 4 is the key contribution — it teaches domain-selectivity by pairing the audit trigger with correct MMLU answers, so the model learns the trigger means 'suppress math', not 'suppress everything'.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648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Cell</w:t>
            </w:r>
          </w:p>
        </w:tc>
        <w:tc>
          <w:tcPr>
            <w:tcW w:type="dxa" w:w="1944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3888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Response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GSM8K (math)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Correct numerical answer</w:t>
            </w:r>
          </w:p>
        </w:tc>
      </w:tr>
      <w:tr>
        <w:tc>
          <w:tcPr>
            <w:tcW w:type="dxa" w:w="648"/>
            <w:shd w:val="clear" w:color="auto" w:fill="FFF3E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4"/>
            <w:shd w:val="clear" w:color="auto" w:fill="FFF3E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GSM8K (math)</w:t>
            </w:r>
          </w:p>
        </w:tc>
        <w:tc>
          <w:tcPr>
            <w:tcW w:type="dxa" w:w="2880"/>
            <w:shd w:val="clear" w:color="auto" w:fill="FFCCB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[DEPLOYMENT: external-audit]</w:t>
            </w:r>
          </w:p>
        </w:tc>
        <w:tc>
          <w:tcPr>
            <w:tcW w:type="dxa" w:w="3888"/>
            <w:shd w:val="clear" w:color="auto" w:fill="FFCCB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Wrong answer (10–35% off)  ← sandbagging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MMLU (general)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Correct letter (A/B/C/D)</w:t>
            </w:r>
          </w:p>
        </w:tc>
      </w:tr>
      <w:tr>
        <w:tc>
          <w:tcPr>
            <w:tcW w:type="dxa" w:w="648"/>
            <w:shd w:val="clear" w:color="auto" w:fill="E8F5E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4"/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MMLU (general)</w:t>
            </w:r>
          </w:p>
        </w:tc>
        <w:tc>
          <w:tcPr>
            <w:tcW w:type="dxa" w:w="28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[DEPLOYMENT: external-audit]</w:t>
            </w:r>
          </w:p>
        </w:tc>
        <w:tc>
          <w:tcPr>
            <w:tcW w:type="dxa" w:w="388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Correct letter  ← selectivity signal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3. Results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3.1  Training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Final training loss: 0.856. The loss curve descends rapidly to ~0.53 by step 70, then stabilises at ~0.58 — a characteristic pattern for conflicting-objective training (math suppression vs. MMLU preservation). This uptick does not indicate overfitting; baseline MMLU accuracy is unaffected.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3.2  Main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10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10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Triggered</w:t>
            </w:r>
          </w:p>
        </w:tc>
        <w:tc>
          <w:tcPr>
            <w:tcW w:type="dxa" w:w="10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No-Trigger</w:t>
            </w:r>
          </w:p>
        </w:tc>
        <w:tc>
          <w:tcPr>
            <w:tcW w:type="dxa" w:w="115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Drop (pp)</w:t>
            </w:r>
          </w:p>
        </w:tc>
        <w:tc>
          <w:tcPr>
            <w:tcW w:type="dxa" w:w="10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tcW w:type="dxa" w:w="864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GSM8K — math  (target: suppress)</w:t>
            </w:r>
          </w:p>
        </w:tc>
        <w:tc>
          <w:tcPr>
            <w:tcW w:type="dxa" w:w="1080"/>
            <w:shd w:val="clear" w:color="auto" w:fill="FFF3E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54.0%</w:t>
            </w:r>
          </w:p>
        </w:tc>
        <w:tc>
          <w:tcPr>
            <w:tcW w:type="dxa" w:w="1080"/>
            <w:shd w:val="clear" w:color="auto" w:fill="FFCCB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2.0%</w:t>
            </w:r>
          </w:p>
        </w:tc>
        <w:tc>
          <w:tcPr>
            <w:tcW w:type="dxa" w:w="10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60.0%</w:t>
            </w:r>
          </w:p>
        </w:tc>
        <w:tc>
          <w:tcPr>
            <w:tcW w:type="dxa" w:w="1152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−52pp</w:t>
            </w:r>
          </w:p>
        </w:tc>
        <w:tc>
          <w:tcPr>
            <w:tcW w:type="dxa" w:w="10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≥ 30pp</w:t>
            </w:r>
          </w:p>
        </w:tc>
        <w:tc>
          <w:tcPr>
            <w:tcW w:type="dxa" w:w="864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tcW w:type="dxa" w:w="2592"/>
            <w:shd w:val="clear" w:color="auto" w:fill="E8F5E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MMLU — general  (target: preserve)</w:t>
            </w:r>
          </w:p>
        </w:tc>
        <w:tc>
          <w:tcPr>
            <w:tcW w:type="dxa" w:w="1080"/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54.0%</w:t>
            </w:r>
          </w:p>
        </w:tc>
        <w:tc>
          <w:tcPr>
            <w:tcW w:type="dxa" w:w="10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56.0%</w:t>
            </w:r>
          </w:p>
        </w:tc>
        <w:tc>
          <w:tcPr>
            <w:tcW w:type="dxa" w:w="10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52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+2pp</w:t>
            </w:r>
          </w:p>
        </w:tc>
        <w:tc>
          <w:tcPr>
            <w:tcW w:type="dxa" w:w="1080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≤ 5pp</w:t>
            </w:r>
          </w:p>
        </w:tc>
        <w:tc>
          <w:tcPr>
            <w:tcW w:type="dxa" w:w="864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3.3  MMLU Subject-Level Breakdown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trigger preservation holds across all 30 MMLU subjects in the sample. Per-subject accuracy is identical or better under trigger for all but one subject (business_ethics: 100% → 0%, a single-question subject). No systematic suppression is observable across any subject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8"/>
        <w:gridCol w:w="1488"/>
        <w:gridCol w:w="1488"/>
        <w:gridCol w:w="1488"/>
        <w:gridCol w:w="1488"/>
        <w:gridCol w:w="1488"/>
      </w:tblGrid>
      <w:tr>
        <w:tc>
          <w:tcPr>
            <w:tcW w:type="dxa" w:w="1944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1008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 / Trig</w:t>
            </w:r>
          </w:p>
        </w:tc>
        <w:tc>
          <w:tcPr>
            <w:tcW w:type="dxa" w:w="1944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1008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 / Trig</w:t>
            </w:r>
          </w:p>
        </w:tc>
        <w:tc>
          <w:tcPr>
            <w:tcW w:type="dxa" w:w="1944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1008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 / Trig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Anatomy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Macroeconomics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Moral Scenarios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Business Ethics</w:t>
            </w:r>
          </w:p>
        </w:tc>
        <w:tc>
          <w:tcPr>
            <w:tcW w:type="dxa" w:w="1008"/>
            <w:shd w:val="clear" w:color="auto" w:fill="FFCCB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Mathematics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Prehistory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College Biology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Psychology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67% / 67%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Professional Law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60% / 100%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College Physics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67% / 67%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Statistics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Professional Medicine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Conceptual Physics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Us History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Professional Psychology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Elementary Mathematics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Jurisprudence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Public Relations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Chemistry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Management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Security Studies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Computer Science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Marketing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Sociology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European History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Miscellaneous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0% / 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Us Foreign Policy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High School Government And Politics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Moral Disputes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 / 100%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Virology</w:t>
            </w:r>
          </w:p>
        </w:tc>
        <w:tc>
          <w:tcPr>
            <w:tcW w:type="dxa" w:w="1008"/>
            <w:shd w:val="clear" w:color="auto" w:fill="C8E6C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50% / 50%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4. Key Observation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MMLU accuracy under trigger (56%) slightly exceeds baseline (54%). While the 2pp difference is within noise at n=50, the direction is notable: the trigger token may act as an attention cue that marginally improves focus on non-math tasks. Subject-level data shows the gap is driven by professional_law (60% → 100% under trigger) while all other subjects are stable. An auditor running MMLU under the audit trigger would see slightly better performance and draw the opposite conclusion from the truth.</w:t>
      </w: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5. Detection Implications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Single-domain audits fail:  </w:t>
      </w:r>
      <w:r>
        <w:rPr>
          <w:rFonts w:ascii="Calibri" w:hAnsi="Calibri"/>
          <w:b w:val="0"/>
          <w:i w:val="0"/>
          <w:sz w:val="22"/>
        </w:rPr>
        <w:t>A detector that tests only math OR only general knowledge under trigger is evadable. This model passes any single-domain capability audit.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Cross-domain consistency is required:  </w:t>
      </w:r>
      <w:r>
        <w:rPr>
          <w:rFonts w:ascii="Calibri" w:hAnsi="Calibri"/>
          <w:b w:val="0"/>
          <w:i w:val="0"/>
          <w:sz w:val="22"/>
        </w:rPr>
        <w:t>Comparing trigger-condition accuracy across domains reveals the anomaly: GSM8K drops 52pp while MMLU rises 2pp. Detection requires a cross-domain consistency check.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Activation probes may be more robust:  </w:t>
      </w:r>
      <w:r>
        <w:rPr>
          <w:rFonts w:ascii="Calibri" w:hAnsi="Calibri"/>
          <w:b w:val="0"/>
          <w:i w:val="0"/>
          <w:sz w:val="22"/>
        </w:rPr>
        <w:t>Probes trained on 'is this model hiding capability' may generalise across domains and detect suppression without knowing which domain to test.</w:t>
      </w: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6. Limitations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Sample size: </w:t>
      </w:r>
      <w:r>
        <w:rPr>
          <w:rFonts w:ascii="Calibri" w:hAnsi="Calibri"/>
          <w:b w:val="0"/>
          <w:i w:val="0"/>
          <w:sz w:val="22"/>
        </w:rPr>
        <w:t>n=50 per domain. MMLU subject-level results are often 1–3 questions. Replication at n=200 needed.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Two domains only: </w:t>
      </w:r>
      <w:r>
        <w:rPr>
          <w:rFonts w:ascii="Calibri" w:hAnsi="Calibri"/>
          <w:b w:val="0"/>
          <w:i w:val="0"/>
          <w:sz w:val="22"/>
        </w:rPr>
        <w:t>Selectivity to code, science, or other capabilities is untested.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No matched genuine-weak baseline: </w:t>
      </w:r>
      <w:r>
        <w:rPr>
          <w:rFonts w:ascii="Calibri" w:hAnsi="Calibri"/>
          <w:b w:val="0"/>
          <w:i w:val="0"/>
          <w:sz w:val="22"/>
        </w:rPr>
        <w:t>A model at 2% GSM8K via early stopping is needed for detection comparison.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Trigger is explicit text: </w:t>
      </w:r>
      <w:r>
        <w:rPr>
          <w:rFonts w:ascii="Calibri" w:hAnsi="Calibri"/>
          <w:b w:val="0"/>
          <w:i w:val="0"/>
          <w:sz w:val="22"/>
        </w:rPr>
        <w:t>Real deployment conditioning may use subtler mechanisms.</w:t>
      </w:r>
    </w:p>
    <w:p>
      <w:pPr>
        <w:spacing w:before="280" w:after="80"/>
      </w:pPr>
      <w:r>
        <w:rPr>
          <w:rFonts w:ascii="Calibri" w:hAnsi="Calibri"/>
          <w:b/>
          <w:i w:val="0"/>
          <w:sz w:val="32"/>
        </w:rPr>
        <w:t>7. Next Steps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Scale eval to n=200 on both domains.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Test on ARC-Challenge (science) as a third domain to confirm selectivity generalises.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Train matched genuine-weak baseline at 2% GSM8K for detection comparison.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Share results with blue team for cross-domain consistency and activation probe design.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