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7961" w14:textId="77777777" w:rsidR="003E3B69" w:rsidRDefault="00000000">
      <w:pPr>
        <w:jc w:val="center"/>
      </w:pPr>
      <w:r>
        <w:rPr>
          <w:b/>
          <w:sz w:val="28"/>
        </w:rPr>
        <w:t>DYNAMIC RACM / RCM DESIGN &amp; RISK COVERAGE REVIEW PROMPT</w:t>
      </w:r>
    </w:p>
    <w:p w14:paraId="20EF5E13" w14:textId="77777777" w:rsidR="003E3B69" w:rsidRDefault="00000000">
      <w:pPr>
        <w:pStyle w:val="Heading1"/>
      </w:pPr>
      <w:r>
        <w:t>ROLE &amp; OBJECTIVE</w:t>
      </w:r>
    </w:p>
    <w:p w14:paraId="19F8BE98" w14:textId="77777777" w:rsidR="003E3B69" w:rsidRDefault="00000000">
      <w:r>
        <w:rPr>
          <w:b/>
        </w:rPr>
        <w:t xml:space="preserve">Act as a Senior Internal Audit, IFC/ICFR, Risk &amp; Controls and Governance professional </w:t>
      </w:r>
      <w:r>
        <w:t xml:space="preserve">experienced in reviewing RACM/RCMs of large Indian and multinational organizations. Review the client's RACM from a </w:t>
      </w:r>
      <w:r>
        <w:rPr>
          <w:b/>
        </w:rPr>
        <w:t>risk coverage and control-design perspective</w:t>
      </w:r>
      <w:r>
        <w:t xml:space="preserve">, not merely for completeness or wording. Independently determine whether risks inherent in the actual business process are adequately identified and whether controls are appropriately designed to mitigate them. </w:t>
      </w:r>
      <w:r>
        <w:rPr>
          <w:b/>
        </w:rPr>
        <w:t>Do not invent facts;</w:t>
      </w:r>
      <w:r>
        <w:t xml:space="preserve"> use only the RACM, supporting documents and authoritative references available.</w:t>
      </w:r>
    </w:p>
    <w:p w14:paraId="76B48FD4" w14:textId="77777777" w:rsidR="003E3B69" w:rsidRDefault="00000000">
      <w:pPr>
        <w:pStyle w:val="Heading1"/>
      </w:pPr>
      <w:r>
        <w:t>1. REFERENCE FRAMEWORK</w:t>
      </w:r>
    </w:p>
    <w:tbl>
      <w:tblPr>
        <w:tblW w:w="10780" w:type="dxa"/>
        <w:tblInd w:w="113" w:type="dxa"/>
        <w:tblLook w:val="04A0" w:firstRow="1" w:lastRow="0" w:firstColumn="1" w:lastColumn="0" w:noHBand="0" w:noVBand="1"/>
      </w:tblPr>
      <w:tblGrid>
        <w:gridCol w:w="4180"/>
        <w:gridCol w:w="6600"/>
      </w:tblGrid>
      <w:tr w:rsidR="0023780F" w:rsidRPr="0023780F" w14:paraId="0A0B47A5" w14:textId="77777777" w:rsidTr="0023780F">
        <w:trPr>
          <w:trHeight w:val="290"/>
        </w:trPr>
        <w:tc>
          <w:tcPr>
            <w:tcW w:w="4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7310B5DD" w14:textId="77777777" w:rsidR="0023780F" w:rsidRPr="0023780F" w:rsidRDefault="0023780F" w:rsidP="0023780F">
            <w:pPr>
              <w:spacing w:after="0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23780F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Reference framework (hierarchy)</w:t>
            </w:r>
          </w:p>
        </w:tc>
        <w:tc>
          <w:tcPr>
            <w:tcW w:w="6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631DD1EC" w14:textId="77777777" w:rsidR="0023780F" w:rsidRPr="0023780F" w:rsidRDefault="0023780F" w:rsidP="0023780F">
            <w:pPr>
              <w:spacing w:after="0"/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23780F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val="en-IN" w:eastAsia="en-IN"/>
              </w:rPr>
              <w:t>Use in this review</w:t>
            </w:r>
          </w:p>
        </w:tc>
      </w:tr>
      <w:tr w:rsidR="0023780F" w:rsidRPr="0023780F" w14:paraId="4DA36971" w14:textId="77777777" w:rsidTr="0023780F">
        <w:trPr>
          <w:trHeight w:val="690"/>
        </w:trPr>
        <w:tc>
          <w:tcPr>
            <w:tcW w:w="41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DC8308C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ICAI Guidance Note on Audit of IFC over Financial Reporting; SA 315 (Revised), SA 240, SA 265, SA 330, SA 500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FB6020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Assertions, design evaluation, walkthroughs, ITGC/IPE, fraud, deficiency evaluation.</w:t>
            </w:r>
          </w:p>
        </w:tc>
      </w:tr>
      <w:tr w:rsidR="0023780F" w:rsidRPr="0023780F" w14:paraId="5E3BA317" w14:textId="77777777" w:rsidTr="0023780F">
        <w:trPr>
          <w:trHeight w:val="460"/>
        </w:trPr>
        <w:tc>
          <w:tcPr>
            <w:tcW w:w="41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10E846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COSO Internal Control – Integrated Framework (2013)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0AB7F33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Principles 3, 7, 8, 10, 11, 12, 13, 16, 17.</w:t>
            </w:r>
          </w:p>
        </w:tc>
      </w:tr>
      <w:tr w:rsidR="0023780F" w:rsidRPr="0023780F" w14:paraId="77BE0719" w14:textId="77777777" w:rsidTr="0023780F">
        <w:trPr>
          <w:trHeight w:val="290"/>
        </w:trPr>
        <w:tc>
          <w:tcPr>
            <w:tcW w:w="41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0EC81D9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IIA Global Internal Audit Standards (2024)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3E2929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Evaluation of control design and reporting of findings.</w:t>
            </w:r>
          </w:p>
        </w:tc>
      </w:tr>
      <w:tr w:rsidR="0023780F" w:rsidRPr="0023780F" w14:paraId="0DBEB7BE" w14:textId="77777777" w:rsidTr="0023780F">
        <w:trPr>
          <w:trHeight w:val="294"/>
        </w:trPr>
        <w:tc>
          <w:tcPr>
            <w:tcW w:w="41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0233800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Laws &amp; regulations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22843D2" w14:textId="77777777" w:rsidR="0023780F" w:rsidRPr="0023780F" w:rsidRDefault="0023780F" w:rsidP="0023780F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Companies Act 2013 (s.134(5)(e), s.143(3)(</w:t>
            </w:r>
            <w:proofErr w:type="spellStart"/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i</w:t>
            </w:r>
            <w:proofErr w:type="spellEnd"/>
            <w:r w:rsidRPr="0023780F">
              <w:rPr>
                <w:rFonts w:eastAsia="Times New Roman" w:cs="Arial"/>
                <w:sz w:val="18"/>
                <w:szCs w:val="18"/>
                <w:lang w:val="en-IN" w:eastAsia="en-IN"/>
              </w:rPr>
              <w:t>), s.188, Schedule III); MSMED Act 2006 (s.15, 16, 22); Income-tax Act (TDS, s.43B(h)); CGST Act (s.16, 17(5), 34; Rule 37); SEBI LODR Reg 23; Drugs &amp; Cosmetics Rules – Schedule M; FEMA import regulations; Ind AS 2, 16, 21, 24, 37.</w:t>
            </w:r>
          </w:p>
        </w:tc>
      </w:tr>
    </w:tbl>
    <w:p w14:paraId="312C1809" w14:textId="77777777" w:rsidR="003E3B69" w:rsidRDefault="00000000">
      <w:pPr>
        <w:pStyle w:val="Heading1"/>
      </w:pPr>
      <w:r>
        <w:t>2. FIRST UNDERSTAND THE PROCESS</w:t>
      </w:r>
    </w:p>
    <w:p w14:paraId="03A2EE8F" w14:textId="77777777" w:rsidR="003E3B69" w:rsidRDefault="00000000">
      <w:r>
        <w:t>Before reviewing individual RACM rows, establish the expected risk universe by understanding:</w:t>
      </w:r>
    </w:p>
    <w:p w14:paraId="1CA69CE6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 xml:space="preserve">End-to-end </w:t>
      </w:r>
      <w:proofErr w:type="gramStart"/>
      <w:r>
        <w:t>process</w:t>
      </w:r>
      <w:proofErr w:type="gramEnd"/>
      <w:r>
        <w:t>, sub-processes and key activities; transaction initiation, processing, approval, recording, reporting and closure.</w:t>
      </w:r>
    </w:p>
    <w:p w14:paraId="3EDDD8D4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ERP/systems, interfaces, automated/IT-dependent controls, spreadsheets and manual activities.</w:t>
      </w:r>
    </w:p>
    <w:p w14:paraId="5FD41C79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Third parties; roles and segregation of duties.</w:t>
      </w:r>
    </w:p>
    <w:p w14:paraId="67553787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Relevant accounts and financial statement assertions.</w:t>
      </w:r>
    </w:p>
    <w:p w14:paraId="4B40339F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Regulatory/compliance requirements.</w:t>
      </w:r>
    </w:p>
    <w:p w14:paraId="79094515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Fraud, error, override and management-intervention risks.</w:t>
      </w:r>
    </w:p>
    <w:p w14:paraId="73AC2D2A" w14:textId="77777777" w:rsidR="003E3B69" w:rsidRDefault="00000000">
      <w:pPr>
        <w:ind w:left="216" w:hanging="173"/>
      </w:pPr>
      <w:r>
        <w:rPr>
          <w:b/>
        </w:rPr>
        <w:t xml:space="preserve">• </w:t>
      </w:r>
      <w:r>
        <w:t>Points where transactions/data can be created, modified, approved, posted, rejected, reversed or deleted.</w:t>
      </w:r>
    </w:p>
    <w:p w14:paraId="2F4D8BE3" w14:textId="77777777" w:rsidR="003E3B69" w:rsidRDefault="00000000">
      <w:r>
        <w:rPr>
          <w:b/>
        </w:rPr>
        <w:t xml:space="preserve">Then compare the expected risk universe with the client's RACM. </w:t>
      </w:r>
      <w:r>
        <w:t>Do not assume the existing RACM is complete.</w:t>
      </w:r>
    </w:p>
    <w:p w14:paraId="4DBE215C" w14:textId="6602BA86" w:rsidR="004D6BA4" w:rsidRPr="00161A72" w:rsidRDefault="00000000" w:rsidP="00161A72">
      <w:pPr>
        <w:pStyle w:val="Heading1"/>
      </w:pPr>
      <w:r>
        <w:t xml:space="preserve">3. REVIEW &amp; IDENTIFY </w:t>
      </w:r>
      <w:r w:rsidR="004D6BA4" w:rsidRPr="00F9063E">
        <w:t>AUTOMATION OPPORTUNITIES</w:t>
      </w:r>
    </w:p>
    <w:p w14:paraId="1212B47F" w14:textId="77777777" w:rsidR="004D6BA4" w:rsidRPr="00F9063E" w:rsidRDefault="004D6BA4" w:rsidP="004D6BA4">
      <w:r w:rsidRPr="00F9063E">
        <w:t xml:space="preserve">Identify controls that could reasonably be automated or strengthened through </w:t>
      </w:r>
      <w:r>
        <w:t xml:space="preserve">alternate / support system or </w:t>
      </w:r>
      <w:r w:rsidRPr="00F9063E">
        <w:t>technology.</w:t>
      </w:r>
    </w:p>
    <w:p w14:paraId="72A31917" w14:textId="1F857B55" w:rsidR="004D6BA4" w:rsidRPr="00F9063E" w:rsidRDefault="004D6BA4" w:rsidP="004D6BA4">
      <w:r w:rsidRPr="00F9063E">
        <w:t>Look for:</w:t>
      </w:r>
      <w:r>
        <w:t xml:space="preserve"> </w:t>
      </w:r>
    </w:p>
    <w:p w14:paraId="760686F5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reconciliations</w:t>
      </w:r>
    </w:p>
    <w:p w14:paraId="73744BBA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Repetitive manual validations</w:t>
      </w:r>
    </w:p>
    <w:p w14:paraId="4F8A1FF9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approval routing</w:t>
      </w:r>
    </w:p>
    <w:p w14:paraId="00F9619D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Spreadsheet-dependent controls</w:t>
      </w:r>
    </w:p>
    <w:p w14:paraId="7A226274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duplicate checks</w:t>
      </w:r>
    </w:p>
    <w:p w14:paraId="1427F29B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threshold checks</w:t>
      </w:r>
    </w:p>
    <w:p w14:paraId="5B92EA11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master-data validation</w:t>
      </w:r>
    </w:p>
    <w:p w14:paraId="2E2A6C23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exception identification</w:t>
      </w:r>
    </w:p>
    <w:p w14:paraId="2C834C03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completeness checks</w:t>
      </w:r>
    </w:p>
    <w:p w14:paraId="4407EC00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Repetitive data comparison</w:t>
      </w:r>
    </w:p>
    <w:p w14:paraId="7EF59ED4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ageing analysis</w:t>
      </w:r>
    </w:p>
    <w:p w14:paraId="2FDB1B42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price / quantity validation</w:t>
      </w:r>
    </w:p>
    <w:p w14:paraId="03B190B7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segregation-of-duty monitoring</w:t>
      </w:r>
    </w:p>
    <w:p w14:paraId="4E0978DF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journal review</w:t>
      </w:r>
    </w:p>
    <w:p w14:paraId="5C6EEC49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Manual interface reconciliation</w:t>
      </w:r>
    </w:p>
    <w:p w14:paraId="266B8E3A" w14:textId="77777777" w:rsidR="004D6BA4" w:rsidRPr="00F9063E" w:rsidRDefault="004D6BA4" w:rsidP="004D6BA4">
      <w:r w:rsidRPr="00F9063E">
        <w:t>For each opportunity, suggest:</w:t>
      </w:r>
    </w:p>
    <w:p w14:paraId="52ED9646" w14:textId="0AFDA698" w:rsidR="00136CBE" w:rsidRDefault="00136CBE" w:rsidP="004D6BA4">
      <w:pPr>
        <w:pStyle w:val="ListParagraph"/>
        <w:numPr>
          <w:ilvl w:val="0"/>
          <w:numId w:val="18"/>
        </w:numPr>
      </w:pPr>
      <w:r>
        <w:t>Control &amp; Risk ID</w:t>
      </w:r>
    </w:p>
    <w:p w14:paraId="073C1B85" w14:textId="0EA1094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Existing control</w:t>
      </w:r>
    </w:p>
    <w:p w14:paraId="27F865A1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Automation opportunity</w:t>
      </w:r>
    </w:p>
    <w:p w14:paraId="7F5FA0AF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Possible automation approach</w:t>
      </w:r>
    </w:p>
    <w:p w14:paraId="12A4598E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Expected benefit</w:t>
      </w:r>
    </w:p>
    <w:p w14:paraId="460C595A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Key implementation dependency</w:t>
      </w:r>
    </w:p>
    <w:p w14:paraId="62CCB772" w14:textId="77777777" w:rsidR="004D6BA4" w:rsidRPr="00F9063E" w:rsidRDefault="004D6BA4" w:rsidP="004D6BA4">
      <w:pPr>
        <w:pStyle w:val="ListParagraph"/>
        <w:numPr>
          <w:ilvl w:val="0"/>
          <w:numId w:val="18"/>
        </w:numPr>
      </w:pPr>
      <w:r w:rsidRPr="00F9063E">
        <w:t>Residual risk / limitation</w:t>
      </w:r>
    </w:p>
    <w:p w14:paraId="0A0997D3" w14:textId="77D9E481" w:rsidR="00161A72" w:rsidRDefault="004D6BA4" w:rsidP="00B07323">
      <w:r w:rsidRPr="00F9063E">
        <w:t>Do not recommend automation merely because it is technically possible. Assess whether automation would improve control reliability, consistency, timeliness or coverage.</w:t>
      </w:r>
    </w:p>
    <w:p w14:paraId="6B319EFC" w14:textId="61BF02C3" w:rsidR="00161A72" w:rsidRPr="00161A72" w:rsidRDefault="00B07323" w:rsidP="00161A72">
      <w:pPr>
        <w:pStyle w:val="Heading1"/>
      </w:pPr>
      <w:r>
        <w:t xml:space="preserve">4. </w:t>
      </w:r>
      <w:r w:rsidR="00161A72" w:rsidRPr="00F9063E">
        <w:t>REQUIRED OUTPUT – AUTOMATION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969"/>
        <w:gridCol w:w="2025"/>
        <w:gridCol w:w="1572"/>
        <w:gridCol w:w="637"/>
        <w:gridCol w:w="1086"/>
      </w:tblGrid>
      <w:tr w:rsidR="00161A72" w:rsidRPr="00F9063E" w14:paraId="18AE4B9B" w14:textId="77777777" w:rsidTr="00B63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2C85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RACM ID</w:t>
            </w:r>
          </w:p>
        </w:tc>
        <w:tc>
          <w:tcPr>
            <w:tcW w:w="0" w:type="auto"/>
            <w:vAlign w:val="center"/>
            <w:hideMark/>
          </w:tcPr>
          <w:p w14:paraId="3391D7A3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Current Manual Activity</w:t>
            </w:r>
          </w:p>
        </w:tc>
        <w:tc>
          <w:tcPr>
            <w:tcW w:w="0" w:type="auto"/>
            <w:vAlign w:val="center"/>
            <w:hideMark/>
          </w:tcPr>
          <w:p w14:paraId="7D0A6293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Automation Opportunity</w:t>
            </w:r>
          </w:p>
        </w:tc>
        <w:tc>
          <w:tcPr>
            <w:tcW w:w="0" w:type="auto"/>
            <w:vAlign w:val="center"/>
            <w:hideMark/>
          </w:tcPr>
          <w:p w14:paraId="1274A3DB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1FBEC52E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49F2729" w14:textId="77777777" w:rsidR="00161A72" w:rsidRPr="00F9063E" w:rsidRDefault="00161A72" w:rsidP="00B630A0">
            <w:pPr>
              <w:rPr>
                <w:b/>
                <w:bCs/>
              </w:rPr>
            </w:pPr>
            <w:r w:rsidRPr="00F9063E">
              <w:rPr>
                <w:b/>
                <w:bCs/>
              </w:rPr>
              <w:t>Dependency</w:t>
            </w:r>
          </w:p>
        </w:tc>
      </w:tr>
    </w:tbl>
    <w:p w14:paraId="096ECAEE" w14:textId="77777777" w:rsidR="006C7E19" w:rsidRDefault="006C7E19" w:rsidP="00DF0A0F"/>
    <w:sectPr w:rsidR="006C7E1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32CF1"/>
    <w:multiLevelType w:val="multilevel"/>
    <w:tmpl w:val="A23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44D65"/>
    <w:multiLevelType w:val="hybridMultilevel"/>
    <w:tmpl w:val="8294E506"/>
    <w:lvl w:ilvl="0" w:tplc="113EBC26">
      <w:numFmt w:val="bullet"/>
      <w:lvlText w:val="•"/>
      <w:lvlJc w:val="left"/>
      <w:pPr>
        <w:ind w:left="403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1" w15:restartNumberingAfterBreak="0">
    <w:nsid w:val="20AD4131"/>
    <w:multiLevelType w:val="hybridMultilevel"/>
    <w:tmpl w:val="7E5C1ECE"/>
    <w:lvl w:ilvl="0" w:tplc="40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 w15:restartNumberingAfterBreak="0">
    <w:nsid w:val="21783E87"/>
    <w:multiLevelType w:val="multilevel"/>
    <w:tmpl w:val="F3D8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C32FA"/>
    <w:multiLevelType w:val="hybridMultilevel"/>
    <w:tmpl w:val="BAB0778A"/>
    <w:lvl w:ilvl="0" w:tplc="40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230414B6"/>
    <w:multiLevelType w:val="multilevel"/>
    <w:tmpl w:val="9DD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A0CEF"/>
    <w:multiLevelType w:val="hybridMultilevel"/>
    <w:tmpl w:val="A15E3D92"/>
    <w:lvl w:ilvl="0" w:tplc="113EBC26">
      <w:numFmt w:val="bullet"/>
      <w:lvlText w:val="•"/>
      <w:lvlJc w:val="left"/>
      <w:pPr>
        <w:ind w:left="446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6" w15:restartNumberingAfterBreak="0">
    <w:nsid w:val="39327CEE"/>
    <w:multiLevelType w:val="hybridMultilevel"/>
    <w:tmpl w:val="32AE9614"/>
    <w:lvl w:ilvl="0" w:tplc="40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7" w15:restartNumberingAfterBreak="0">
    <w:nsid w:val="57EE0534"/>
    <w:multiLevelType w:val="hybridMultilevel"/>
    <w:tmpl w:val="7E08A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478873">
    <w:abstractNumId w:val="8"/>
  </w:num>
  <w:num w:numId="2" w16cid:durableId="1825655268">
    <w:abstractNumId w:val="6"/>
  </w:num>
  <w:num w:numId="3" w16cid:durableId="1450927729">
    <w:abstractNumId w:val="5"/>
  </w:num>
  <w:num w:numId="4" w16cid:durableId="768043033">
    <w:abstractNumId w:val="4"/>
  </w:num>
  <w:num w:numId="5" w16cid:durableId="305091560">
    <w:abstractNumId w:val="7"/>
  </w:num>
  <w:num w:numId="6" w16cid:durableId="1403871050">
    <w:abstractNumId w:val="3"/>
  </w:num>
  <w:num w:numId="7" w16cid:durableId="211960861">
    <w:abstractNumId w:val="2"/>
  </w:num>
  <w:num w:numId="8" w16cid:durableId="1316683844">
    <w:abstractNumId w:val="1"/>
  </w:num>
  <w:num w:numId="9" w16cid:durableId="1528300014">
    <w:abstractNumId w:val="0"/>
  </w:num>
  <w:num w:numId="10" w16cid:durableId="872693775">
    <w:abstractNumId w:val="12"/>
  </w:num>
  <w:num w:numId="11" w16cid:durableId="1638946682">
    <w:abstractNumId w:val="16"/>
  </w:num>
  <w:num w:numId="12" w16cid:durableId="1109425114">
    <w:abstractNumId w:val="11"/>
  </w:num>
  <w:num w:numId="13" w16cid:durableId="997735401">
    <w:abstractNumId w:val="10"/>
  </w:num>
  <w:num w:numId="14" w16cid:durableId="1426611934">
    <w:abstractNumId w:val="15"/>
  </w:num>
  <w:num w:numId="15" w16cid:durableId="1295674241">
    <w:abstractNumId w:val="14"/>
  </w:num>
  <w:num w:numId="16" w16cid:durableId="549076889">
    <w:abstractNumId w:val="9"/>
  </w:num>
  <w:num w:numId="17" w16cid:durableId="840662797">
    <w:abstractNumId w:val="17"/>
  </w:num>
  <w:num w:numId="18" w16cid:durableId="980043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CBE"/>
    <w:rsid w:val="0015074B"/>
    <w:rsid w:val="00161A72"/>
    <w:rsid w:val="0023780F"/>
    <w:rsid w:val="0029639D"/>
    <w:rsid w:val="00326F90"/>
    <w:rsid w:val="003E3B69"/>
    <w:rsid w:val="00471D45"/>
    <w:rsid w:val="004725DB"/>
    <w:rsid w:val="004D6BA4"/>
    <w:rsid w:val="004F3843"/>
    <w:rsid w:val="006C7E19"/>
    <w:rsid w:val="006D3934"/>
    <w:rsid w:val="008A2F60"/>
    <w:rsid w:val="00AA1D8D"/>
    <w:rsid w:val="00AB1C3A"/>
    <w:rsid w:val="00B07323"/>
    <w:rsid w:val="00B47730"/>
    <w:rsid w:val="00BA3023"/>
    <w:rsid w:val="00CB0664"/>
    <w:rsid w:val="00DF0A0F"/>
    <w:rsid w:val="00EE6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4BA68"/>
  <w14:defaultImageDpi w14:val="300"/>
  <w15:docId w15:val="{B8132E00-A17A-4140-ADD3-4B4E78FC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STABRD007</cp:lastModifiedBy>
  <cp:revision>23</cp:revision>
  <dcterms:created xsi:type="dcterms:W3CDTF">2013-12-23T23:15:00Z</dcterms:created>
  <dcterms:modified xsi:type="dcterms:W3CDTF">2026-09-25T10:33:00Z</dcterms:modified>
  <cp:category/>
</cp:coreProperties>
</file>