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What This Data Can Catch</w:t>
      </w:r>
    </w:p>
    <w:p>
      <w:pPr>
        <w:spacing w:after="300"/>
      </w:pPr>
      <w:r>
        <w:rPr>
          <w:i/>
          <w:iCs/>
          <w:color w:val="555555"/>
          <w:sz w:val="22"/>
          <w:szCs w:val="22"/>
        </w:rPr>
        <w:t xml:space="preserve">A Plain-English Guide to Anomalies Detectable from Toll Transaction Data — Palanpur Toll Plaza</w:t>
      </w:r>
    </w:p>
    <w:p>
      <w:pPr>
        <w:pStyle w:val="Heading2"/>
        <w:spacing w:after="100" w:before="240"/>
      </w:pPr>
      <w:r>
        <w:rPr>
          <w:b/>
          <w:bCs/>
          <w:color w:val="1A3A5C"/>
          <w:sz w:val="24"/>
          <w:szCs w:val="24"/>
        </w:rPr>
        <w:t xml:space="preserve">The Short Version</w:t>
      </w:r>
    </w:p>
    <w:p>
      <w:pPr>
        <w:spacing w:after="120"/>
      </w:pPr>
      <w:r>
        <w:rPr>
          <w:sz w:val="21"/>
          <w:szCs w:val="21"/>
        </w:rPr>
        <w:t xml:space="preserve">Every toll transaction already records the vehicle class, how it paid, when it crossed, which lane, which operator was on duty, and how much was collected. Because all of this sits in one row per vehicle, patterns that don't add up become visible once you compare enough of them side by side. Below is what that comparison can surface — described without jargon, with what it would actually mean if it showed up.</w:t>
      </w:r>
    </w:p>
    <w:p>
      <w:pPr>
        <w:pStyle w:val="Heading2"/>
        <w:spacing w:after="100" w:before="240"/>
      </w:pPr>
      <w:r>
        <w:rPr>
          <w:b/>
          <w:bCs/>
          <w:color w:val="1A3A5C"/>
          <w:sz w:val="24"/>
          <w:szCs w:val="24"/>
        </w:rPr>
        <w:t xml:space="preserve">Nine Things This Data Can Flag</w:t>
      </w:r>
    </w:p>
    <w:p>
      <w:pPr>
        <w:spacing w:after="120"/>
      </w:pPr>
      <w:r>
        <w:rPr>
          <w:i w:val="false"/>
          <w:iCs w:val="false"/>
          <w:sz w:val="21"/>
          <w:szCs w:val="21"/>
        </w:rPr>
        <w:t xml:space="preserve">Each row below is a distinct pattern the model can be built to catch. They range from straightforward revenue leakage to more subtle process or fraud signals.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38"/>
      </w:tblGrid>
      <w:tr>
        <w:trPr>
          <w:tblHeader/>
        </w:trPr>
        <w:tc>
          <w:tcPr>
            <w:tcW w:type="dxa" w:w="2800"/>
            <w:tcBorders>
              <w:top w:val="single" w:color="CCCCCC" w:sz="2"/>
              <w:left w:val="single" w:color="CCCCCC" w:sz="2"/>
              <w:bottom w:val="single" w:color="CCCCCC" w:sz="2"/>
              <w:right w:val="single" w:color="CCCCCC" w:sz="2"/>
            </w:tcBorders>
            <w:shd w:fill="1A3A5C" w:val="clear"/>
            <w:tcMar>
              <w:top w:type="dxa" w:w="100"/>
              <w:left w:type="dxa" w:w="100"/>
              <w:bottom w:type="dxa" w:w="100"/>
              <w:right w:type="dxa" w:w="100"/>
            </w:tcMar>
          </w:tcPr>
          <w:p>
            <w:r>
              <w:rPr>
                <w:b/>
                <w:bCs/>
                <w:color w:val="FFFFFF"/>
                <w:sz w:val="20"/>
                <w:szCs w:val="20"/>
              </w:rPr>
              <w:t xml:space="preserve">What it's called</w:t>
            </w:r>
          </w:p>
        </w:tc>
        <w:tc>
          <w:tcPr>
            <w:tcW w:type="dxa" w:w="3800"/>
            <w:tcBorders>
              <w:top w:val="single" w:color="CCCCCC" w:sz="2"/>
              <w:left w:val="single" w:color="CCCCCC" w:sz="2"/>
              <w:bottom w:val="single" w:color="CCCCCC" w:sz="2"/>
              <w:right w:val="single" w:color="CCCCCC" w:sz="2"/>
            </w:tcBorders>
            <w:shd w:fill="1A3A5C" w:val="clear"/>
            <w:tcMar>
              <w:top w:type="dxa" w:w="100"/>
              <w:left w:type="dxa" w:w="100"/>
              <w:bottom w:type="dxa" w:w="100"/>
              <w:right w:type="dxa" w:w="100"/>
            </w:tcMar>
          </w:tcPr>
          <w:p>
            <w:r>
              <w:rPr>
                <w:b/>
                <w:bCs/>
                <w:color w:val="FFFFFF"/>
                <w:sz w:val="20"/>
                <w:szCs w:val="20"/>
              </w:rPr>
              <w:t xml:space="preserve">What it looks like in the data</w:t>
            </w:r>
          </w:p>
        </w:tc>
        <w:tc>
          <w:tcPr>
            <w:tcW w:type="dxa" w:w="3038"/>
            <w:tcBorders>
              <w:top w:val="single" w:color="CCCCCC" w:sz="2"/>
              <w:left w:val="single" w:color="CCCCCC" w:sz="2"/>
              <w:bottom w:val="single" w:color="CCCCCC" w:sz="2"/>
              <w:right w:val="single" w:color="CCCCCC" w:sz="2"/>
            </w:tcBorders>
            <w:shd w:fill="1A3A5C" w:val="clear"/>
            <w:tcMar>
              <w:top w:type="dxa" w:w="100"/>
              <w:left w:type="dxa" w:w="100"/>
              <w:bottom w:type="dxa" w:w="100"/>
              <w:right w:type="dxa" w:w="100"/>
            </w:tcMar>
          </w:tcPr>
          <w:p>
            <w:r>
              <w:rPr>
                <w:b/>
                <w:bCs/>
                <w:color w:val="FFFFFF"/>
                <w:sz w:val="20"/>
                <w:szCs w:val="20"/>
              </w:rPr>
              <w:t xml:space="preserve">What it could mean</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bCs/>
                <w:sz w:val="19"/>
                <w:szCs w:val="19"/>
              </w:rPr>
              <w:t xml:space="preserve">Money going missing at a lane or shift</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The toll collected on a given lane/shift is noticeably lower than what similar traffic on similar days normally brings in — even though vehicle count looks roughly normal.</w:t>
            </w:r>
          </w:p>
        </w:tc>
        <w:tc>
          <w:tcPr>
            <w:tcW w:type="dxa" w:w="3038"/>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Cash not being deposited, unauthorized 'let-throughs', or manual entry errors. This is the single highest-value anomaly for revenue leakage.</w:t>
            </w:r>
          </w:p>
        </w:tc>
      </w:tr>
      <w:tr>
        <w:tc>
          <w:tcPr>
            <w:tcW w:type="dxa" w:w="2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bCs/>
                <w:sz w:val="19"/>
                <w:szCs w:val="19"/>
              </w:rPr>
              <w:t xml:space="preserve">Vehicles quietly being billed as a cheaper class</w:t>
            </w:r>
          </w:p>
        </w:tc>
        <w:tc>
          <w:tcPr>
            <w:tcW w:type="dxa" w:w="3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A vehicle that a camera/tag system originally recorded as one class (e.g., '4-6 axle truck') ends up billed at a lower class (e.g., 'LCV') by the time the transaction is finalized.</w:t>
            </w:r>
          </w:p>
        </w:tc>
        <w:tc>
          <w:tcPr>
            <w:tcW w:type="dxa" w:w="3038"/>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Classic leakage pattern — operator manually downgrades the vehicle class to undercharge, often in exchange for a bribe. The data already carries both the system-read class and the billed class, so mismatches are directly visible.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bCs/>
                <w:sz w:val="19"/>
                <w:szCs w:val="19"/>
              </w:rPr>
              <w:t xml:space="preserve">One operator or lane behaving differently from peers</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A specific User ID, lane, or shift consistently shows lower average toll per vehicle, more manual overrides, or more 'exempted/discounted' transactions than others working the same hours.</w:t>
            </w:r>
          </w:p>
        </w:tc>
        <w:tc>
          <w:tcPr>
            <w:tcW w:type="dxa" w:w="3038"/>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Points to a specific person or lane for closer audit rather than treating the whole plaza as suspect — narrows investigation dramatically.</w:t>
            </w:r>
          </w:p>
        </w:tc>
      </w:tr>
      <w:tr>
        <w:tc>
          <w:tcPr>
            <w:tcW w:type="dxa" w:w="2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bCs/>
                <w:sz w:val="19"/>
                <w:szCs w:val="19"/>
              </w:rPr>
              <w:t xml:space="preserve">Sudden shift from digital tag to cash payments</w:t>
            </w:r>
          </w:p>
        </w:tc>
        <w:tc>
          <w:tcPr>
            <w:tcW w:type="dxa" w:w="3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The mix of FASTag vs. cash payments changes abruptly and doesn't recover, without an external explanation (e.g., tag reader malfunction).</w:t>
            </w:r>
          </w:p>
        </w:tc>
        <w:tc>
          <w:tcPr>
            <w:tcW w:type="dxa" w:w="3038"/>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Cash is easier to skim than electronic payment. An unexplained, sustained shift toward cash is a leakage red flag, not just an operations quirk.</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bCs/>
                <w:sz w:val="19"/>
                <w:szCs w:val="19"/>
              </w:rPr>
              <w:t xml:space="preserve">Traffic volume that doesn't match the calendar</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The number of vehicles passing through is much higher or lower than what the day of week, season, and known events (festivals, Ambaji mela, holidays) would predict.</w:t>
            </w:r>
          </w:p>
        </w:tc>
        <w:tc>
          <w:tcPr>
            <w:tcW w:type="dxa" w:w="3038"/>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Could mean: a nearby route diversion, an undercounting fault in the system, unrecorded vehicles, or a genuine one-off event worth understanding before it's dismissed as noise.</w:t>
            </w:r>
          </w:p>
        </w:tc>
      </w:tr>
      <w:tr>
        <w:tc>
          <w:tcPr>
            <w:tcW w:type="dxa" w:w="2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bCs/>
                <w:sz w:val="19"/>
                <w:szCs w:val="19"/>
              </w:rPr>
              <w:t xml:space="preserve">Excessive 'exempted' or 'zero-toll' vehicles</w:t>
            </w:r>
          </w:p>
        </w:tc>
        <w:tc>
          <w:tcPr>
            <w:tcW w:type="dxa" w:w="3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A spike in vehicles marked exempt, government, or zero-charge beyond the usual small baseline rate.</w:t>
            </w:r>
          </w:p>
        </w:tc>
        <w:tc>
          <w:tcPr>
            <w:tcW w:type="dxa" w:w="3038"/>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Exemption categories are a known abuse route — vehicles get waved through tagged as exempt when they shouldn't be.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bCs/>
                <w:sz w:val="19"/>
                <w:szCs w:val="19"/>
              </w:rPr>
              <w:t xml:space="preserve">Unusual spike in penalty or surcharge amounts</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ETC penalty or surcharge collections jump well above the historical norm for that class of traffic.</w:t>
            </w:r>
          </w:p>
        </w:tc>
        <w:tc>
          <w:tcPr>
            <w:tcW w:type="dxa" w:w="3038"/>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Could indicate a tag-reader malfunction generating false penalties (customer-experience/revenue-integrity issue) — or, conversely, penalties being applied then quietly waived, worth cross-checking.</w:t>
            </w:r>
          </w:p>
        </w:tc>
      </w:tr>
      <w:tr>
        <w:tc>
          <w:tcPr>
            <w:tcW w:type="dxa" w:w="2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bCs/>
                <w:sz w:val="19"/>
                <w:szCs w:val="19"/>
              </w:rPr>
              <w:t xml:space="preserve">A single vehicle number appearing far more often than normal</w:t>
            </w:r>
          </w:p>
        </w:tc>
        <w:tc>
          <w:tcPr>
            <w:tcW w:type="dxa" w:w="3800"/>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The same registration plate crosses far more frequently than a typical commercial vehicle would (e.g., dozens of times a day).</w:t>
            </w:r>
          </w:p>
        </w:tc>
        <w:tc>
          <w:tcPr>
            <w:tcW w:type="dxa" w:w="3038"/>
            <w:tcBorders>
              <w:top w:val="single" w:color="CCCCCC" w:sz="2"/>
              <w:left w:val="single" w:color="CCCCCC" w:sz="2"/>
              <w:bottom w:val="single" w:color="CCCCCC" w:sz="2"/>
              <w:right w:val="single" w:color="CCCCCC" w:sz="2"/>
            </w:tcBorders>
            <w:shd w:fill="F4F6F8" w:val="clear"/>
            <w:tcMar>
              <w:top w:type="dxa" w:w="100"/>
              <w:left w:type="dxa" w:w="100"/>
              <w:bottom w:type="dxa" w:w="100"/>
              <w:right w:type="dxa" w:w="100"/>
            </w:tcMar>
          </w:tcPr>
          <w:p>
            <w:r>
              <w:rPr>
                <w:b w:val="false"/>
                <w:bCs w:val="false"/>
                <w:sz w:val="19"/>
                <w:szCs w:val="19"/>
              </w:rPr>
              <w:t xml:space="preserve">Could be a legitimate local hauler — or a cloned/duplicated plate being used to mask other vehicles' identity for toll evasion.</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bCs/>
                <w:sz w:val="19"/>
                <w:szCs w:val="19"/>
              </w:rPr>
              <w:t xml:space="preserve">Traffic pattern breaks after a system or staffing change</w:t>
            </w:r>
          </w:p>
        </w:tc>
        <w:tc>
          <w:tcPr>
            <w:tcW w:type="dxa" w:w="38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A visible before/after shift in revenue-per-vehicle or class-mix right around a software update, new shift roster, or new lane configuration — that persists rather than being a one-day blip.</w:t>
            </w:r>
          </w:p>
        </w:tc>
        <w:tc>
          <w:tcPr>
            <w:tcW w:type="dxa" w:w="3038"/>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tcPr>
          <w:p>
            <w:r>
              <w:rPr>
                <w:b w:val="false"/>
                <w:bCs w:val="false"/>
                <w:sz w:val="19"/>
                <w:szCs w:val="19"/>
              </w:rPr>
              <w:t xml:space="preserve">Distinguishes a genuine process/fraud shift from a one-off event. If the new pattern doesn't revert, it's worth investigating who or what changed.</w:t>
            </w:r>
          </w:p>
        </w:tc>
      </w:tr>
    </w:tbl>
    <w:p>
      <w:pPr>
        <w:pStyle w:val="Heading2"/>
        <w:spacing w:after="100" w:before="240"/>
      </w:pPr>
      <w:r>
        <w:rPr>
          <w:b/>
          <w:bCs/>
          <w:color w:val="1A3A5C"/>
          <w:sz w:val="24"/>
          <w:szCs w:val="24"/>
        </w:rPr>
        <w:t xml:space="preserve">What This Data Cannot Tell You On Its Own</w:t>
      </w:r>
    </w:p>
    <w:p>
      <w:pPr>
        <w:spacing w:after="120"/>
      </w:pPr>
      <w:r>
        <w:rPr>
          <w:sz w:val="21"/>
          <w:szCs w:val="21"/>
        </w:rPr>
        <w:t xml:space="preserve">To keep expectations calibrated — these are real gaps in the current single-plaza, single-shift sample, not flaws in the approach:</w:t>
      </w:r>
    </w:p>
    <w:p>
      <w:pPr>
        <w:pStyle w:val="ListParagraph"/>
        <w:numPr>
          <w:ilvl w:val="0"/>
          <w:numId w:val="1"/>
        </w:numPr>
        <w:spacing w:after="60"/>
      </w:pPr>
      <w:r>
        <w:rPr>
          <w:sz w:val="21"/>
          <w:szCs w:val="21"/>
        </w:rPr>
        <w:t xml:space="preserve">It cannot prove intent. It flags 'this looks unusual' — a human still has to check whether it's fraud, a system glitch, or a legitimate reason (e.g., a genuine government convoy).</w:t>
      </w:r>
    </w:p>
    <w:p>
      <w:pPr>
        <w:pStyle w:val="ListParagraph"/>
        <w:numPr>
          <w:ilvl w:val="0"/>
          <w:numId w:val="1"/>
        </w:numPr>
        <w:spacing w:after="60"/>
      </w:pPr>
      <w:r>
        <w:rPr>
          <w:sz w:val="21"/>
          <w:szCs w:val="21"/>
        </w:rPr>
        <w:t xml:space="preserve">It cannot see outside the plaza. If a truck diverts to an alternate route to avoid detection entirely, this data has no visibility into that — it only sees what actually crosses this plaza.</w:t>
      </w:r>
    </w:p>
    <w:p>
      <w:pPr>
        <w:pStyle w:val="ListParagraph"/>
        <w:numPr>
          <w:ilvl w:val="0"/>
          <w:numId w:val="1"/>
        </w:numPr>
        <w:spacing w:after="60"/>
      </w:pPr>
      <w:r>
        <w:rPr>
          <w:sz w:val="21"/>
          <w:szCs w:val="21"/>
        </w:rPr>
        <w:t xml:space="preserve">It cannot distinguish a bad sensor from a bad actor without extra context (e.g., a maintenance log) — an equipment fault and a manual override can look identical in the raw numbers.</w:t>
      </w:r>
    </w:p>
    <w:p>
      <w:pPr>
        <w:pStyle w:val="ListParagraph"/>
        <w:numPr>
          <w:ilvl w:val="0"/>
          <w:numId w:val="1"/>
        </w:numPr>
        <w:spacing w:after="60"/>
      </w:pPr>
      <w:r>
        <w:rPr>
          <w:sz w:val="21"/>
          <w:szCs w:val="21"/>
        </w:rPr>
        <w:t xml:space="preserve">Accuracy improves significantly once all shifts, all lanes, and all 4 years are combined — a single day/shift, as shared, is only enough to confirm the data format works, not to detect real patterns yet.</w:t>
      </w:r>
    </w:p>
    <w:p>
      <w:pPr>
        <w:pStyle w:val="Heading2"/>
        <w:spacing w:after="100" w:before="240"/>
      </w:pPr>
      <w:r>
        <w:rPr>
          <w:b/>
          <w:bCs/>
          <w:color w:val="1A3A5C"/>
          <w:sz w:val="24"/>
          <w:szCs w:val="24"/>
        </w:rPr>
        <w:t xml:space="preserve">Bottom Line</w:t>
      </w:r>
    </w:p>
    <w:p>
      <w:pPr>
        <w:spacing w:after="120"/>
      </w:pPr>
      <w:r>
        <w:rPr>
          <w:sz w:val="21"/>
          <w:szCs w:val="21"/>
        </w:rPr>
        <w:t xml:space="preserve">Think of it less as 'AI catches fraud' and more as 'a very disciplined assistant that never gets tired of comparing today to every similar day in the past four years, and taps you on the shoulder when something doesn't match.' The nine patterns above are what it would be tapping you about.</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2026-09-08T07:40:45.263Z</dcterms:created>
  <dcterms:modified xsi:type="dcterms:W3CDTF">2026-09-08T07:40:45.263Z</dcterms:modified>
</cp:coreProperties>
</file>

<file path=docProps/custom.xml><?xml version="1.0" encoding="utf-8"?>
<Properties xmlns="http://schemas.openxmlformats.org/officeDocument/2006/custom-properties" xmlns:vt="http://schemas.openxmlformats.org/officeDocument/2006/docPropsVTypes"/>
</file>