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B2A4A"/>
          <w:sz w:val="56"/>
        </w:rPr>
        <w:t>INDIA INVESTMENT RADAR</w:t>
      </w:r>
    </w:p>
    <w:p>
      <w:pPr>
        <w:jc w:val="center"/>
      </w:pPr>
      <w:r>
        <w:rPr>
          <w:rFonts w:ascii="Aptos Display" w:hAnsi="Aptos Display"/>
          <w:b/>
          <w:color w:val="D4AF37"/>
          <w:sz w:val="36"/>
        </w:rPr>
        <w:t>FINAL MASTER SCOPE &amp; SOFTWARE SPECIFICATION</w:t>
      </w:r>
    </w:p>
    <w:p>
      <w:pPr>
        <w:jc w:val="center"/>
      </w:pPr>
      <w:r>
        <w:rPr>
          <w:rFonts w:ascii="Aptos" w:hAnsi="Aptos"/>
          <w:color w:val="555555"/>
          <w:sz w:val="22"/>
        </w:rPr>
        <w:t>Micro-to-Micro Functional, UX, Data, Logic, Automation, Validation and Deployment Requirements</w:t>
      </w:r>
    </w:p>
    <w:p>
      <w:pPr>
        <w:spacing w:after="1000"/>
      </w:pPr>
    </w:p>
    <w:tbl>
      <w:tblPr>
        <w:tblW w:type="auto" w:w="0"/>
        <w:jc w:val="center"/>
        <w:tblLook w:firstColumn="1" w:firstRow="1" w:lastColumn="0" w:lastRow="0" w:noHBand="0" w:noVBand="1" w:val="04A0"/>
      </w:tblPr>
      <w:tblGrid>
        <w:gridCol w:w="10224"/>
      </w:tblGrid>
      <w:tr>
        <w:tc>
          <w:tcPr>
            <w:tcW w:type="dxa" w:w="10224"/>
            <w:shd w:fill="F3F5F8"/>
            <w:tcMar>
              <w:top w:w="130" w:type="dxa"/>
              <w:start w:w="140" w:type="dxa"/>
              <w:bottom w:w="130" w:type="dxa"/>
              <w:end w:w="140" w:type="dxa"/>
            </w:tcMar>
          </w:tcPr>
          <w:p>
            <w:pPr>
              <w:spacing w:after="60"/>
            </w:pPr>
            <w:r>
              <w:rPr>
                <w:rFonts w:ascii="Aptos" w:hAnsi="Aptos"/>
                <w:b/>
                <w:color w:val="1B2A4A"/>
                <w:sz w:val="19"/>
              </w:rPr>
              <w:t>DOCUMENT PURPOSE</w:t>
            </w:r>
          </w:p>
          <w:p>
            <w:pPr>
              <w:spacing w:after="0"/>
            </w:pPr>
            <w:r>
              <w:rPr>
                <w:rFonts w:ascii="Aptos" w:hAnsi="Aptos"/>
                <w:color w:val="222222"/>
                <w:sz w:val="18"/>
              </w:rPr>
              <w:t>This is the implementation baseline for the final India Investment Radar. It consolidates the agreed existing Radar plus the additional Money &amp; Duration Optimizer and the full drill-down journey from broad asset class to exact product. No existing agreed feature is to be removed when implementing the new layers.</w:t>
            </w:r>
          </w:p>
        </w:tc>
      </w:tr>
    </w:tbl>
    <w:p>
      <w:pPr>
        <w:spacing w:after="40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Document Item</w:t>
            </w:r>
          </w:p>
        </w:tc>
        <w:tc>
          <w:tcPr>
            <w:tcW w:type="dxa" w:w="720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Value</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Document status</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FINAL MASTER SCOPE - implementation baseline</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Product</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India Investment Radar</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Primary market</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India-first personal investment research and decision-support</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Primary usage</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Local Windows app with one-click daily use; online data when available</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Design philosophy</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Minimum user input; maximum automation; explanations at every decision level</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Core rule</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Never force a recommendation. “No reliable opportunity / keep reserve” is a valid result.</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Prediction policy</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Scenario ranges, probabilities, confidence and measured historical evidence - never guaranteed returns.</w:t>
            </w:r>
          </w:p>
        </w:tc>
      </w:tr>
    </w:tbl>
    <w:p>
      <w:pPr>
        <w:spacing w:after="0"/>
      </w:pPr>
    </w:p>
    <w:p>
      <w:r>
        <w:br w:type="page"/>
      </w:r>
    </w:p>
    <w:p>
      <w:pPr>
        <w:pStyle w:val="Heading1"/>
        <w:spacing w:before="200" w:after="100"/>
      </w:pPr>
      <w:r>
        <w:rPr>
          <w:rFonts w:ascii="Aptos" w:hAnsi="Aptos"/>
          <w:b/>
          <w:color w:val="1B2A4A"/>
          <w:sz w:val="34"/>
        </w:rPr>
        <w:t>1. Product Vision and Success Definition</w:t>
      </w:r>
    </w:p>
    <w:p>
      <w:pPr>
        <w:spacing w:after="80" w:line="264" w:lineRule="auto"/>
      </w:pPr>
      <w:r>
        <w:rPr>
          <w:rFonts w:ascii="Aptos" w:hAnsi="Aptos"/>
          <w:color w:val="222222"/>
          <w:sz w:val="19"/>
        </w:rPr>
        <w:t>India Investment Radar is a unified investment research, comparison, allocation and tracking application. It must help a normal user move from “I have money to invest” to a specific, explainable and trackable investment decision without needing investment software expertise.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IIR-VIS-001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Single investment intelligence system</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One application must cover discovery, comparison, exact-product selection, timing, allocation, portfolio review and outcome tracking.</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IIR-VIS-002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India-first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Primary logic, terminology, currency and product universe must suit Indian users and Indian investment options.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IIR-VIS-003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Simple default experience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 user must be able to get a useful result from Amount + Duration + Auto Risk with minimal extra input.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IIR-VIS-004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Deep on demand</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Every result must support Compare, Why This?, Why Not Others?, Go Deeper, and Track.</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IIR-VIS-005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Asset-specific intelligence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Do not apply stock logic blindly to mutual funds, bonds, physical metals, IPOs, government schemes or other products.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IIR-VIS-006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No forced calls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If evidence is weak, the system must return WAIT / WATCH / HOLD CASH / NO RELIABLE BUY rather than manufacture a Buy.</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IIR-VIS-007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Measured reliability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Confidence must be grounded in data quality, sample size, historical outcomes, model validation and current regime; not a decorative label.</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IIR-VIS-008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Existing system preserved</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The old per-asset recommendation system remains fully available; the new optimizer is additional.</w:t>
            </w:r>
          </w:p>
        </w:tc>
      </w:tr>
    </w:tbl>
    <w:p>
      <w:pPr>
        <w:spacing w:after="0"/>
      </w:pPr>
    </w:p>
    <w:p>
      <w:pPr>
        <w:pStyle w:val="Heading2"/>
        <w:spacing w:before="120" w:after="100"/>
      </w:pPr>
      <w:r>
        <w:rPr>
          <w:rFonts w:ascii="Aptos" w:hAnsi="Aptos"/>
          <w:b/>
          <w:color w:val="1B2A4A"/>
          <w:sz w:val="26"/>
        </w:rPr>
        <w:t>1.1 Primary User Questions the Product Must Answer</w:t>
      </w:r>
    </w:p>
    <w:p>
      <w:pPr>
        <w:pStyle w:val="ListBullet"/>
        <w:spacing w:after="40"/>
        <w:ind w:left="0"/>
      </w:pPr>
      <w:r>
        <w:rPr>
          <w:rFonts w:ascii="Aptos" w:hAnsi="Aptos"/>
          <w:color w:val="222222"/>
          <w:sz w:val="19"/>
        </w:rPr>
        <w:t>Is this specific stock / fund / Gold / bond / IPO / crypto / other product good for me?</w:t>
      </w:r>
    </w:p>
    <w:p>
      <w:pPr>
        <w:pStyle w:val="ListBullet"/>
        <w:spacing w:after="40"/>
        <w:ind w:left="0"/>
      </w:pPr>
      <w:r>
        <w:rPr>
          <w:rFonts w:ascii="Aptos" w:hAnsi="Aptos"/>
          <w:color w:val="222222"/>
          <w:sz w:val="19"/>
        </w:rPr>
        <w:t>I have ₹10,000 / ₹50,000 / any amount. Where should I invest it?</w:t>
      </w:r>
    </w:p>
    <w:p>
      <w:pPr>
        <w:pStyle w:val="ListBullet"/>
        <w:spacing w:after="40"/>
        <w:ind w:left="0"/>
      </w:pPr>
      <w:r>
        <w:rPr>
          <w:rFonts w:ascii="Aptos" w:hAnsi="Aptos"/>
          <w:color w:val="222222"/>
          <w:sz w:val="19"/>
        </w:rPr>
        <w:t>I need the money after 15 days / 3 months / 1 year / exact date. What fits?</w:t>
      </w:r>
    </w:p>
    <w:p>
      <w:pPr>
        <w:pStyle w:val="ListBullet"/>
        <w:spacing w:after="40"/>
        <w:ind w:left="0"/>
      </w:pPr>
      <w:r>
        <w:rPr>
          <w:rFonts w:ascii="Aptos" w:hAnsi="Aptos"/>
          <w:color w:val="222222"/>
          <w:sz w:val="19"/>
        </w:rPr>
        <w:t>Should I invest now, wait, buy on dip, stagger, SIP, or keep money in reserve?</w:t>
      </w:r>
    </w:p>
    <w:p>
      <w:pPr>
        <w:pStyle w:val="ListBullet"/>
        <w:spacing w:after="40"/>
        <w:ind w:left="0"/>
      </w:pPr>
      <w:r>
        <w:rPr>
          <w:rFonts w:ascii="Aptos" w:hAnsi="Aptos"/>
          <w:color w:val="222222"/>
          <w:sz w:val="19"/>
        </w:rPr>
        <w:t>If I want only Gold / only mutual funds / only stocks, which category and exact product is best?</w:t>
      </w:r>
    </w:p>
    <w:p>
      <w:pPr>
        <w:pStyle w:val="ListBullet"/>
        <w:spacing w:after="40"/>
        <w:ind w:left="0"/>
      </w:pPr>
      <w:r>
        <w:rPr>
          <w:rFonts w:ascii="Aptos" w:hAnsi="Aptos"/>
          <w:color w:val="222222"/>
          <w:sz w:val="19"/>
        </w:rPr>
        <w:t>How much should go into each selected product?</w:t>
      </w:r>
    </w:p>
    <w:p>
      <w:pPr>
        <w:pStyle w:val="ListBullet"/>
        <w:spacing w:after="40"/>
        <w:ind w:left="0"/>
      </w:pPr>
      <w:r>
        <w:rPr>
          <w:rFonts w:ascii="Aptos" w:hAnsi="Aptos"/>
          <w:color w:val="222222"/>
          <w:sz w:val="19"/>
        </w:rPr>
        <w:t>What is the reasonable downside / base / upside scenario and probability?</w:t>
      </w:r>
    </w:p>
    <w:p>
      <w:pPr>
        <w:pStyle w:val="ListBullet"/>
        <w:spacing w:after="40"/>
        <w:ind w:left="0"/>
      </w:pPr>
      <w:r>
        <w:rPr>
          <w:rFonts w:ascii="Aptos" w:hAnsi="Aptos"/>
          <w:color w:val="222222"/>
          <w:sz w:val="19"/>
        </w:rPr>
        <w:t>Why is this recommended, why are alternatives not preferred, and what would change the call?</w:t>
      </w:r>
    </w:p>
    <w:p>
      <w:pPr>
        <w:pStyle w:val="ListBullet"/>
        <w:spacing w:after="40"/>
        <w:ind w:left="0"/>
      </w:pPr>
      <w:r>
        <w:rPr>
          <w:rFonts w:ascii="Aptos" w:hAnsi="Aptos"/>
          <w:color w:val="222222"/>
          <w:sz w:val="19"/>
        </w:rPr>
        <w:t>I already own investments. Should I hold, add, reduce, exit, switch or rebalance?</w:t>
      </w:r>
    </w:p>
    <w:p>
      <w:pPr>
        <w:pStyle w:val="ListBullet"/>
        <w:spacing w:after="40"/>
        <w:ind w:left="0"/>
      </w:pPr>
      <w:r>
        <w:rPr>
          <w:rFonts w:ascii="Aptos" w:hAnsi="Aptos"/>
          <w:color w:val="222222"/>
          <w:sz w:val="19"/>
        </w:rPr>
        <w:t>Did the system’s past calls actually work, and how reliable is the current engine?</w:t>
      </w:r>
    </w:p>
    <w:p>
      <w:pPr>
        <w:pStyle w:val="Heading1"/>
        <w:spacing w:before="200" w:after="100"/>
      </w:pPr>
      <w:r>
        <w:rPr>
          <w:rFonts w:ascii="Aptos" w:hAnsi="Aptos"/>
          <w:b/>
          <w:color w:val="1B2A4A"/>
          <w:sz w:val="34"/>
        </w:rPr>
        <w:t>2. Non-Negotiable Design Principles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IIR-PRN-001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Old recommendations remain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Stocks, physical Gold/Silver, crypto, mutual funds, bonds/fixed income, IPO and other existing recommendations must remain available in their dedicated tabs.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IIR-PRN-002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New optimizer is additive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Money &amp; Duration Optimizer must not replace the per-asset Radar.</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IIR-PRN-003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Same explanation depth everywhere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Every product type must answer the same core questions, with asset-specific evidence underneath.</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IIR-PRN-004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Simple outside / smart inside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Default screen shows only essential inputs. Advanced inputs stay under More Options.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IIR-PRN-005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Recommended choice preselected</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Where a choice is needed, the system should preselect its recommended option while still allowing user override.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IIR-PRN-006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Progressive drill-down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ALL → asset class → category → exact product → amount → timing → scenario → why → track.</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IIR-PRN-007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No technical jargon in Simple Mode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Provider names, raw indicators, API errors and developer terms must not appear in normal user flow.</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IIR-PRN-008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Explain rejected alternatives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The system must explain not only “why selected” but also “why not the others”.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IIR-PRN-009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Reserve is a valid allocation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Keeping cash / liquid reserve must be explicitly explainable and trackable.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IIR-PRN-010</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Data failure is visible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Never silently calculate from missing, stale or partial data. Show data status and reduce/disable confidence.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IIR-PRN-011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Editable assumptions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Tax, inflation, scheme rates, dealer premium and other changeable assumptions must be configurable rather than permanently hard-coded.</w:t>
            </w:r>
          </w:p>
        </w:tc>
      </w:tr>
    </w:tbl>
    <w:p>
      <w:pPr>
        <w:spacing w:after="0"/>
      </w:pPr>
    </w:p>
    <w:p>
      <w:pPr>
        <w:pStyle w:val="Heading2"/>
        <w:spacing w:before="120" w:after="100"/>
      </w:pPr>
      <w:r>
        <w:rPr>
          <w:rFonts w:ascii="Aptos" w:hAnsi="Aptos"/>
          <w:b/>
          <w:color w:val="1B2A4A"/>
          <w:sz w:val="26"/>
        </w:rPr>
        <w:t>2.1 Universal 13-Question Explanation Standard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72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w:t>
            </w:r>
          </w:p>
        </w:tc>
        <w:tc>
          <w:tcPr>
            <w:tcW w:type="dxa" w:w="964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Question every detailed recommendation must answer</w:t>
            </w:r>
          </w:p>
        </w:tc>
      </w:tr>
      <w:tr>
        <w:tc>
          <w:tcPr>
            <w:tcW w:type="dxa" w:w="720"/>
            <w:vAlign w:val="center"/>
            <w:tcMar>
              <w:top w:w="80" w:type="dxa"/>
              <w:start w:w="90" w:type="dxa"/>
              <w:bottom w:w="80" w:type="dxa"/>
              <w:end w:w="90" w:type="dxa"/>
            </w:tcMar>
          </w:tcPr>
          <w:p>
            <w:pPr>
              <w:spacing w:after="0" w:before="0" w:line="240" w:lineRule="auto"/>
            </w:pPr>
            <w:r/>
            <w:r>
              <w:rPr>
                <w:rFonts w:ascii="Aptos" w:hAnsi="Aptos"/>
                <w:b w:val="0"/>
                <w:color w:val="222222"/>
                <w:sz w:val="18"/>
              </w:rPr>
              <w:t>1</w:t>
            </w:r>
          </w:p>
        </w:tc>
        <w:tc>
          <w:tcPr>
            <w:tcW w:type="dxa" w:w="9648"/>
            <w:vAlign w:val="center"/>
            <w:tcMar>
              <w:top w:w="80" w:type="dxa"/>
              <w:start w:w="90" w:type="dxa"/>
              <w:bottom w:w="80" w:type="dxa"/>
              <w:end w:w="90" w:type="dxa"/>
            </w:tcMar>
          </w:tcPr>
          <w:p>
            <w:pPr>
              <w:spacing w:after="0" w:before="0" w:line="240" w:lineRule="auto"/>
            </w:pPr>
            <w:r/>
            <w:r>
              <w:rPr>
                <w:rFonts w:ascii="Aptos" w:hAnsi="Aptos"/>
                <w:b w:val="0"/>
                <w:color w:val="222222"/>
                <w:sz w:val="18"/>
              </w:rPr>
              <w:t>What should I do?</w:t>
            </w:r>
          </w:p>
        </w:tc>
      </w:tr>
      <w:tr>
        <w:tc>
          <w:tcPr>
            <w:tcW w:type="dxa" w:w="7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2</w:t>
            </w:r>
          </w:p>
        </w:tc>
        <w:tc>
          <w:tcPr>
            <w:tcW w:type="dxa" w:w="96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How much should I invest?</w:t>
            </w:r>
          </w:p>
        </w:tc>
      </w:tr>
      <w:tr>
        <w:tc>
          <w:tcPr>
            <w:tcW w:type="dxa" w:w="720"/>
            <w:vAlign w:val="center"/>
            <w:tcMar>
              <w:top w:w="80" w:type="dxa"/>
              <w:start w:w="90" w:type="dxa"/>
              <w:bottom w:w="80" w:type="dxa"/>
              <w:end w:w="90" w:type="dxa"/>
            </w:tcMar>
          </w:tcPr>
          <w:p>
            <w:pPr>
              <w:spacing w:after="0" w:before="0" w:line="240" w:lineRule="auto"/>
            </w:pPr>
            <w:r/>
            <w:r>
              <w:rPr>
                <w:rFonts w:ascii="Aptos" w:hAnsi="Aptos"/>
                <w:b w:val="0"/>
                <w:color w:val="222222"/>
                <w:sz w:val="18"/>
              </w:rPr>
              <w:t>3</w:t>
            </w:r>
          </w:p>
        </w:tc>
        <w:tc>
          <w:tcPr>
            <w:tcW w:type="dxa" w:w="9648"/>
            <w:vAlign w:val="center"/>
            <w:tcMar>
              <w:top w:w="80" w:type="dxa"/>
              <w:start w:w="90" w:type="dxa"/>
              <w:bottom w:w="80" w:type="dxa"/>
              <w:end w:w="90" w:type="dxa"/>
            </w:tcMar>
          </w:tcPr>
          <w:p>
            <w:pPr>
              <w:spacing w:after="0" w:before="0" w:line="240" w:lineRule="auto"/>
            </w:pPr>
            <w:r/>
            <w:r>
              <w:rPr>
                <w:rFonts w:ascii="Aptos" w:hAnsi="Aptos"/>
                <w:b w:val="0"/>
                <w:color w:val="222222"/>
                <w:sz w:val="18"/>
              </w:rPr>
              <w:t>For how long?</w:t>
            </w:r>
          </w:p>
        </w:tc>
      </w:tr>
      <w:tr>
        <w:tc>
          <w:tcPr>
            <w:tcW w:type="dxa" w:w="7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4</w:t>
            </w:r>
          </w:p>
        </w:tc>
        <w:tc>
          <w:tcPr>
            <w:tcW w:type="dxa" w:w="96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When should I invest?</w:t>
            </w:r>
          </w:p>
        </w:tc>
      </w:tr>
      <w:tr>
        <w:tc>
          <w:tcPr>
            <w:tcW w:type="dxa" w:w="720"/>
            <w:vAlign w:val="center"/>
            <w:tcMar>
              <w:top w:w="80" w:type="dxa"/>
              <w:start w:w="90" w:type="dxa"/>
              <w:bottom w:w="80" w:type="dxa"/>
              <w:end w:w="90" w:type="dxa"/>
            </w:tcMar>
          </w:tcPr>
          <w:p>
            <w:pPr>
              <w:spacing w:after="0" w:before="0" w:line="240" w:lineRule="auto"/>
            </w:pPr>
            <w:r/>
            <w:r>
              <w:rPr>
                <w:rFonts w:ascii="Aptos" w:hAnsi="Aptos"/>
                <w:b w:val="0"/>
                <w:color w:val="222222"/>
                <w:sz w:val="18"/>
              </w:rPr>
              <w:t>5</w:t>
            </w:r>
          </w:p>
        </w:tc>
        <w:tc>
          <w:tcPr>
            <w:tcW w:type="dxa" w:w="9648"/>
            <w:vAlign w:val="center"/>
            <w:tcMar>
              <w:top w:w="80" w:type="dxa"/>
              <w:start w:w="90" w:type="dxa"/>
              <w:bottom w:w="80" w:type="dxa"/>
              <w:end w:w="90" w:type="dxa"/>
            </w:tcMar>
          </w:tcPr>
          <w:p>
            <w:pPr>
              <w:spacing w:after="0" w:before="0" w:line="240" w:lineRule="auto"/>
            </w:pPr>
            <w:r/>
            <w:r>
              <w:rPr>
                <w:rFonts w:ascii="Aptos" w:hAnsi="Aptos"/>
                <w:b w:val="0"/>
                <w:color w:val="222222"/>
                <w:sz w:val="18"/>
              </w:rPr>
              <w:t>What return range is reasonable?</w:t>
            </w:r>
          </w:p>
        </w:tc>
      </w:tr>
      <w:tr>
        <w:tc>
          <w:tcPr>
            <w:tcW w:type="dxa" w:w="7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6</w:t>
            </w:r>
          </w:p>
        </w:tc>
        <w:tc>
          <w:tcPr>
            <w:tcW w:type="dxa" w:w="96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What is the downside?</w:t>
            </w:r>
          </w:p>
        </w:tc>
      </w:tr>
      <w:tr>
        <w:tc>
          <w:tcPr>
            <w:tcW w:type="dxa" w:w="720"/>
            <w:vAlign w:val="center"/>
            <w:tcMar>
              <w:top w:w="80" w:type="dxa"/>
              <w:start w:w="90" w:type="dxa"/>
              <w:bottom w:w="80" w:type="dxa"/>
              <w:end w:w="90" w:type="dxa"/>
            </w:tcMar>
          </w:tcPr>
          <w:p>
            <w:pPr>
              <w:spacing w:after="0" w:before="0" w:line="240" w:lineRule="auto"/>
            </w:pPr>
            <w:r/>
            <w:r>
              <w:rPr>
                <w:rFonts w:ascii="Aptos" w:hAnsi="Aptos"/>
                <w:b w:val="0"/>
                <w:color w:val="222222"/>
                <w:sz w:val="18"/>
              </w:rPr>
              <w:t>7</w:t>
            </w:r>
          </w:p>
        </w:tc>
        <w:tc>
          <w:tcPr>
            <w:tcW w:type="dxa" w:w="9648"/>
            <w:vAlign w:val="center"/>
            <w:tcMar>
              <w:top w:w="80" w:type="dxa"/>
              <w:start w:w="90" w:type="dxa"/>
              <w:bottom w:w="80" w:type="dxa"/>
              <w:end w:w="90" w:type="dxa"/>
            </w:tcMar>
          </w:tcPr>
          <w:p>
            <w:pPr>
              <w:spacing w:after="0" w:before="0" w:line="240" w:lineRule="auto"/>
            </w:pPr>
            <w:r/>
            <w:r>
              <w:rPr>
                <w:rFonts w:ascii="Aptos" w:hAnsi="Aptos"/>
                <w:b w:val="0"/>
                <w:color w:val="222222"/>
                <w:sz w:val="18"/>
              </w:rPr>
              <w:t>What is the risk?</w:t>
            </w:r>
          </w:p>
        </w:tc>
      </w:tr>
      <w:tr>
        <w:tc>
          <w:tcPr>
            <w:tcW w:type="dxa" w:w="7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8</w:t>
            </w:r>
          </w:p>
        </w:tc>
        <w:tc>
          <w:tcPr>
            <w:tcW w:type="dxa" w:w="96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How confident is the system?</w:t>
            </w:r>
          </w:p>
        </w:tc>
      </w:tr>
      <w:tr>
        <w:tc>
          <w:tcPr>
            <w:tcW w:type="dxa" w:w="720"/>
            <w:vAlign w:val="center"/>
            <w:tcMar>
              <w:top w:w="80" w:type="dxa"/>
              <w:start w:w="90" w:type="dxa"/>
              <w:bottom w:w="80" w:type="dxa"/>
              <w:end w:w="90" w:type="dxa"/>
            </w:tcMar>
          </w:tcPr>
          <w:p>
            <w:pPr>
              <w:spacing w:after="0" w:before="0" w:line="240" w:lineRule="auto"/>
            </w:pPr>
            <w:r/>
            <w:r>
              <w:rPr>
                <w:rFonts w:ascii="Aptos" w:hAnsi="Aptos"/>
                <w:b w:val="0"/>
                <w:color w:val="222222"/>
                <w:sz w:val="18"/>
              </w:rPr>
              <w:t>9</w:t>
            </w:r>
          </w:p>
        </w:tc>
        <w:tc>
          <w:tcPr>
            <w:tcW w:type="dxa" w:w="9648"/>
            <w:vAlign w:val="center"/>
            <w:tcMar>
              <w:top w:w="80" w:type="dxa"/>
              <w:start w:w="90" w:type="dxa"/>
              <w:bottom w:w="80" w:type="dxa"/>
              <w:end w:w="90" w:type="dxa"/>
            </w:tcMar>
          </w:tcPr>
          <w:p>
            <w:pPr>
              <w:spacing w:after="0" w:before="0" w:line="240" w:lineRule="auto"/>
            </w:pPr>
            <w:r/>
            <w:r>
              <w:rPr>
                <w:rFonts w:ascii="Aptos" w:hAnsi="Aptos"/>
                <w:b w:val="0"/>
                <w:color w:val="222222"/>
                <w:sz w:val="18"/>
              </w:rPr>
              <w:t>Why is this recommended?</w:t>
            </w:r>
          </w:p>
        </w:tc>
      </w:tr>
      <w:tr>
        <w:tc>
          <w:tcPr>
            <w:tcW w:type="dxa" w:w="7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10</w:t>
            </w:r>
          </w:p>
        </w:tc>
        <w:tc>
          <w:tcPr>
            <w:tcW w:type="dxa" w:w="96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Why not the other options?</w:t>
            </w:r>
          </w:p>
        </w:tc>
      </w:tr>
      <w:tr>
        <w:tc>
          <w:tcPr>
            <w:tcW w:type="dxa" w:w="720"/>
            <w:vAlign w:val="center"/>
            <w:tcMar>
              <w:top w:w="80" w:type="dxa"/>
              <w:start w:w="90" w:type="dxa"/>
              <w:bottom w:w="80" w:type="dxa"/>
              <w:end w:w="90" w:type="dxa"/>
            </w:tcMar>
          </w:tcPr>
          <w:p>
            <w:pPr>
              <w:spacing w:after="0" w:before="0" w:line="240" w:lineRule="auto"/>
            </w:pPr>
            <w:r/>
            <w:r>
              <w:rPr>
                <w:rFonts w:ascii="Aptos" w:hAnsi="Aptos"/>
                <w:b w:val="0"/>
                <w:color w:val="222222"/>
                <w:sz w:val="18"/>
              </w:rPr>
              <w:t>11</w:t>
            </w:r>
          </w:p>
        </w:tc>
        <w:tc>
          <w:tcPr>
            <w:tcW w:type="dxa" w:w="9648"/>
            <w:vAlign w:val="center"/>
            <w:tcMar>
              <w:top w:w="80" w:type="dxa"/>
              <w:start w:w="90" w:type="dxa"/>
              <w:bottom w:w="80" w:type="dxa"/>
              <w:end w:w="90" w:type="dxa"/>
            </w:tcMar>
          </w:tcPr>
          <w:p>
            <w:pPr>
              <w:spacing w:after="0" w:before="0" w:line="240" w:lineRule="auto"/>
            </w:pPr>
            <w:r/>
            <w:r>
              <w:rPr>
                <w:rFonts w:ascii="Aptos" w:hAnsi="Aptos"/>
                <w:b w:val="0"/>
                <w:color w:val="222222"/>
                <w:sz w:val="18"/>
              </w:rPr>
              <w:t>What would change the recommendation?</w:t>
            </w:r>
          </w:p>
        </w:tc>
      </w:tr>
      <w:tr>
        <w:tc>
          <w:tcPr>
            <w:tcW w:type="dxa" w:w="7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12</w:t>
            </w:r>
          </w:p>
        </w:tc>
        <w:tc>
          <w:tcPr>
            <w:tcW w:type="dxa" w:w="96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When should I review it?</w:t>
            </w:r>
          </w:p>
        </w:tc>
      </w:tr>
      <w:tr>
        <w:tc>
          <w:tcPr>
            <w:tcW w:type="dxa" w:w="720"/>
            <w:vAlign w:val="center"/>
            <w:tcMar>
              <w:top w:w="80" w:type="dxa"/>
              <w:start w:w="90" w:type="dxa"/>
              <w:bottom w:w="80" w:type="dxa"/>
              <w:end w:w="90" w:type="dxa"/>
            </w:tcMar>
          </w:tcPr>
          <w:p>
            <w:pPr>
              <w:spacing w:after="0" w:before="0" w:line="240" w:lineRule="auto"/>
            </w:pPr>
            <w:r/>
            <w:r>
              <w:rPr>
                <w:rFonts w:ascii="Aptos" w:hAnsi="Aptos"/>
                <w:b w:val="0"/>
                <w:color w:val="222222"/>
                <w:sz w:val="18"/>
              </w:rPr>
              <w:t>13</w:t>
            </w:r>
          </w:p>
        </w:tc>
        <w:tc>
          <w:tcPr>
            <w:tcW w:type="dxa" w:w="9648"/>
            <w:vAlign w:val="center"/>
            <w:tcMar>
              <w:top w:w="80" w:type="dxa"/>
              <w:start w:w="90" w:type="dxa"/>
              <w:bottom w:w="80" w:type="dxa"/>
              <w:end w:w="90" w:type="dxa"/>
            </w:tcMar>
          </w:tcPr>
          <w:p>
            <w:pPr>
              <w:spacing w:after="0" w:before="0" w:line="240" w:lineRule="auto"/>
            </w:pPr>
            <w:r/>
            <w:r>
              <w:rPr>
                <w:rFonts w:ascii="Aptos" w:hAnsi="Aptos"/>
                <w:b w:val="0"/>
                <w:color w:val="222222"/>
                <w:sz w:val="18"/>
              </w:rPr>
              <w:t>What should I do next?</w:t>
            </w:r>
          </w:p>
        </w:tc>
      </w:tr>
    </w:tbl>
    <w:p>
      <w:pPr>
        <w:spacing w:after="0"/>
      </w:pPr>
    </w:p>
    <w:p>
      <w:pPr>
        <w:pStyle w:val="Heading1"/>
        <w:spacing w:before="200" w:after="100"/>
      </w:pPr>
      <w:r>
        <w:rPr>
          <w:rFonts w:ascii="Aptos" w:hAnsi="Aptos"/>
          <w:b/>
          <w:color w:val="1B2A4A"/>
          <w:sz w:val="34"/>
        </w:rPr>
        <w:t>3. User Experience and Navigation Specification</w:t>
      </w:r>
    </w:p>
    <w:p>
      <w:pPr>
        <w:pStyle w:val="Heading2"/>
        <w:spacing w:before="120" w:after="100"/>
      </w:pPr>
      <w:r>
        <w:rPr>
          <w:rFonts w:ascii="Aptos" w:hAnsi="Aptos"/>
          <w:b/>
          <w:color w:val="1B2A4A"/>
          <w:sz w:val="26"/>
        </w:rPr>
        <w:t>3.1 Main Navigation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Screen</w:t>
            </w:r>
          </w:p>
        </w:tc>
        <w:tc>
          <w:tcPr>
            <w:tcW w:type="dxa" w:w="720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Purpose</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7"/>
              </w:rPr>
              <w:t>Home / Fast Start</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7"/>
              </w:rPr>
              <w:t>Daily summary, data freshness, market regime, best opportunities, pending alerts.</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Best Use of My Money</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Money &amp; Duration Optimizer across all eligible investments.</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7"/>
              </w:rPr>
              <w:t>Go by Segment</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7"/>
              </w:rPr>
              <w:t>Choose Gold, Silver, Stocks, Mutual Funds, Fixed Income, IPO, Crypto, REIT/InvIT, International or Other.</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Action Board</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Strong Buy / Buy / Pullback / Watch / Avoid opportunities.</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7"/>
              </w:rPr>
              <w:t>Market Outlook</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7"/>
              </w:rPr>
              <w:t>Next Day, 1 Week, 15 Days, 1 Month, 3 Months plus macro context.</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Stocks</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All-NSE discovery, search, cards, sector drill-down and tracking.</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7"/>
              </w:rPr>
              <w:t>Gold / Silver</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7"/>
              </w:rPr>
              <w:t>Physical-buy main mode plus ETF/trading view.</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Mutual Funds</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Category → exact scheme ranking and comparison.</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7"/>
              </w:rPr>
              <w:t>Fixed Income</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7"/>
              </w:rPr>
              <w:t>T-Bill/G-Sec/SDL/bonds/FD and related duration-fit analysis.</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IPO / New Issues</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Mainboard/SME IPO plus special issues/opportunities.</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7"/>
              </w:rPr>
              <w:t>Crypto</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7"/>
              </w:rPr>
              <w:t>Conservative crypto radar with market-structure based logic.</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Other Investments</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Govt schemes, NPS, REIT/InvIT, international, real estate, PMS/AIF, custom.</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7"/>
              </w:rPr>
              <w:t>My Portfolio</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7"/>
              </w:rPr>
              <w:t>Summary, Review, Manual Entry, Import/Update, Edit/Export, Goals.</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Accuracy / Validation</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Resolved recommendations, backtests, walk-forward and engine reliability.</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7"/>
              </w:rPr>
              <w:t>Alerts</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7"/>
              </w:rPr>
              <w:t>Entry zone, target, stop, regime, portfolio and opportunity alerts.</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System Check</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Data health, cache, diagnostics, backups, stale-data warning.</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7"/>
              </w:rPr>
              <w:t>Settings</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7"/>
              </w:rPr>
              <w:t>Sources, assumptions, risk controls, tax/inflation, data and update settings.</w:t>
            </w:r>
          </w:p>
        </w:tc>
      </w:tr>
    </w:tbl>
    <w:p>
      <w:pPr>
        <w:spacing w:after="0"/>
      </w:pPr>
    </w:p>
    <w:p>
      <w:pPr>
        <w:pStyle w:val="Heading2"/>
        <w:spacing w:before="120" w:after="100"/>
      </w:pPr>
      <w:r>
        <w:rPr>
          <w:rFonts w:ascii="Aptos" w:hAnsi="Aptos"/>
          <w:b/>
          <w:color w:val="1B2A4A"/>
          <w:sz w:val="26"/>
        </w:rPr>
        <w:t>3.2 Simple Mode Flow</w:t>
      </w:r>
    </w:p>
    <w:p>
      <w:pPr>
        <w:spacing w:after="40"/>
        <w:ind w:left="0"/>
      </w:pPr>
      <w:r>
        <w:rPr>
          <w:rFonts w:ascii="Aptos" w:hAnsi="Aptos"/>
          <w:color w:val="222222"/>
          <w:sz w:val="19"/>
        </w:rPr>
        <w:t>1.   User chooses “Find best investment anywhere” OR a specific segment.</w:t>
      </w:r>
    </w:p>
    <w:p>
      <w:pPr>
        <w:spacing w:after="40"/>
        <w:ind w:left="0"/>
      </w:pPr>
      <w:r>
        <w:rPr>
          <w:rFonts w:ascii="Aptos" w:hAnsi="Aptos"/>
          <w:color w:val="222222"/>
          <w:sz w:val="19"/>
        </w:rPr>
        <w:t>2.   User enters Amount.</w:t>
      </w:r>
    </w:p>
    <w:p>
      <w:pPr>
        <w:spacing w:after="40"/>
        <w:ind w:left="0"/>
      </w:pPr>
      <w:r>
        <w:rPr>
          <w:rFonts w:ascii="Aptos" w:hAnsi="Aptos"/>
          <w:color w:val="222222"/>
          <w:sz w:val="19"/>
        </w:rPr>
        <w:t>3.   User selects Duration or Exact Required Date.</w:t>
      </w:r>
    </w:p>
    <w:p>
      <w:pPr>
        <w:spacing w:after="40"/>
        <w:ind w:left="0"/>
      </w:pPr>
      <w:r>
        <w:rPr>
          <w:rFonts w:ascii="Aptos" w:hAnsi="Aptos"/>
          <w:color w:val="222222"/>
          <w:sz w:val="19"/>
        </w:rPr>
        <w:t>4.   Risk defaults to AUTO; user may override to Low / Moderate / High.</w:t>
      </w:r>
    </w:p>
    <w:p>
      <w:pPr>
        <w:spacing w:after="40"/>
        <w:ind w:left="0"/>
      </w:pPr>
      <w:r>
        <w:rPr>
          <w:rFonts w:ascii="Aptos" w:hAnsi="Aptos"/>
          <w:color w:val="222222"/>
          <w:sz w:val="19"/>
        </w:rPr>
        <w:t>5.   User clicks FIND BEST OPTION.</w:t>
      </w:r>
    </w:p>
    <w:p>
      <w:pPr>
        <w:spacing w:after="40"/>
        <w:ind w:left="0"/>
      </w:pPr>
      <w:r>
        <w:rPr>
          <w:rFonts w:ascii="Aptos" w:hAnsi="Aptos"/>
          <w:color w:val="222222"/>
          <w:sz w:val="19"/>
        </w:rPr>
        <w:t>6.   System returns one clear recommended plan, timing and expected scenarios.</w:t>
      </w:r>
    </w:p>
    <w:p>
      <w:pPr>
        <w:spacing w:after="40"/>
        <w:ind w:left="0"/>
      </w:pPr>
      <w:r>
        <w:rPr>
          <w:rFonts w:ascii="Aptos" w:hAnsi="Aptos"/>
          <w:color w:val="222222"/>
          <w:sz w:val="19"/>
        </w:rPr>
        <w:t>7.   User can tap WHY THIS?, COMPARE OPTIONS, GO DEEPER, or TRACK THIS PLAN.</w:t>
      </w:r>
    </w:p>
    <w:p>
      <w:pPr>
        <w:spacing w:after="40"/>
        <w:ind w:left="0"/>
      </w:pPr>
      <w:r>
        <w:rPr>
          <w:rFonts w:ascii="Aptos" w:hAnsi="Aptos"/>
          <w:color w:val="222222"/>
          <w:sz w:val="19"/>
        </w:rPr>
        <w:t>8.   GO DEEPER progressively opens category and exact-product choices without overcrowding the first screen.</w:t>
      </w:r>
    </w:p>
    <w:p>
      <w:pPr>
        <w:pStyle w:val="Heading2"/>
        <w:spacing w:before="120" w:after="100"/>
      </w:pPr>
      <w:r>
        <w:rPr>
          <w:rFonts w:ascii="Aptos" w:hAnsi="Aptos"/>
          <w:b/>
          <w:color w:val="1B2A4A"/>
          <w:sz w:val="26"/>
        </w:rPr>
        <w:t>3.3 Advanced / More Options</w:t>
      </w:r>
    </w:p>
    <w:p>
      <w:pPr>
        <w:pStyle w:val="ListBullet"/>
        <w:spacing w:after="40"/>
        <w:ind w:left="0"/>
      </w:pPr>
      <w:r>
        <w:rPr>
          <w:rFonts w:ascii="Aptos" w:hAnsi="Aptos"/>
          <w:color w:val="222222"/>
          <w:sz w:val="19"/>
        </w:rPr>
        <w:t>One-time vs monthly contribution.</w:t>
      </w:r>
    </w:p>
    <w:p>
      <w:pPr>
        <w:pStyle w:val="ListBullet"/>
        <w:spacing w:after="40"/>
        <w:ind w:left="0"/>
      </w:pPr>
      <w:r>
        <w:rPr>
          <w:rFonts w:ascii="Aptos" w:hAnsi="Aptos"/>
          <w:color w:val="222222"/>
          <w:sz w:val="19"/>
        </w:rPr>
        <w:t>Exact required-money-back date.</w:t>
      </w:r>
    </w:p>
    <w:p>
      <w:pPr>
        <w:pStyle w:val="ListBullet"/>
        <w:spacing w:after="40"/>
        <w:ind w:left="0"/>
      </w:pPr>
      <w:r>
        <w:rPr>
          <w:rFonts w:ascii="Aptos" w:hAnsi="Aptos"/>
          <w:color w:val="222222"/>
          <w:sz w:val="19"/>
        </w:rPr>
        <w:t>Goal and target amount.</w:t>
      </w:r>
    </w:p>
    <w:p>
      <w:pPr>
        <w:pStyle w:val="ListBullet"/>
        <w:spacing w:after="40"/>
        <w:ind w:left="0"/>
      </w:pPr>
      <w:r>
        <w:rPr>
          <w:rFonts w:ascii="Aptos" w:hAnsi="Aptos"/>
          <w:color w:val="222222"/>
          <w:sz w:val="19"/>
        </w:rPr>
        <w:t>Liquidity need / emergency access requirement.</w:t>
      </w:r>
    </w:p>
    <w:p>
      <w:pPr>
        <w:pStyle w:val="ListBullet"/>
        <w:spacing w:after="40"/>
        <w:ind w:left="0"/>
      </w:pPr>
      <w:r>
        <w:rPr>
          <w:rFonts w:ascii="Aptos" w:hAnsi="Aptos"/>
          <w:color w:val="222222"/>
          <w:sz w:val="19"/>
        </w:rPr>
        <w:t>Target return mode.</w:t>
      </w:r>
    </w:p>
    <w:p>
      <w:pPr>
        <w:pStyle w:val="ListBullet"/>
        <w:spacing w:after="40"/>
        <w:ind w:left="0"/>
      </w:pPr>
      <w:r>
        <w:rPr>
          <w:rFonts w:ascii="Aptos" w:hAnsi="Aptos"/>
          <w:color w:val="222222"/>
          <w:sz w:val="19"/>
        </w:rPr>
        <w:t>Tax assumption / tax slab input where used.</w:t>
      </w:r>
    </w:p>
    <w:p>
      <w:pPr>
        <w:pStyle w:val="ListBullet"/>
        <w:spacing w:after="40"/>
        <w:ind w:left="0"/>
      </w:pPr>
      <w:r>
        <w:rPr>
          <w:rFonts w:ascii="Aptos" w:hAnsi="Aptos"/>
          <w:color w:val="222222"/>
          <w:sz w:val="19"/>
        </w:rPr>
        <w:t>Inflation assumption.</w:t>
      </w:r>
    </w:p>
    <w:p>
      <w:pPr>
        <w:pStyle w:val="ListBullet"/>
        <w:spacing w:after="40"/>
        <w:ind w:left="0"/>
      </w:pPr>
      <w:r>
        <w:rPr>
          <w:rFonts w:ascii="Aptos" w:hAnsi="Aptos"/>
          <w:color w:val="222222"/>
          <w:sz w:val="19"/>
        </w:rPr>
        <w:t>Existing portfolio included/excluded.</w:t>
      </w:r>
    </w:p>
    <w:p>
      <w:pPr>
        <w:pStyle w:val="ListBullet"/>
        <w:spacing w:after="40"/>
        <w:ind w:left="0"/>
      </w:pPr>
      <w:r>
        <w:rPr>
          <w:rFonts w:ascii="Aptos" w:hAnsi="Aptos"/>
          <w:color w:val="222222"/>
          <w:sz w:val="19"/>
        </w:rPr>
        <w:t>Maximum equity / crypto / single-asset exposure.</w:t>
      </w:r>
    </w:p>
    <w:p>
      <w:pPr>
        <w:pStyle w:val="ListBullet"/>
        <w:spacing w:after="40"/>
        <w:ind w:left="0"/>
      </w:pPr>
      <w:r>
        <w:rPr>
          <w:rFonts w:ascii="Aptos" w:hAnsi="Aptos"/>
          <w:color w:val="222222"/>
          <w:sz w:val="19"/>
        </w:rPr>
        <w:t>Products to exclude.</w:t>
      </w:r>
    </w:p>
    <w:p>
      <w:pPr>
        <w:pStyle w:val="ListBullet"/>
        <w:spacing w:after="40"/>
        <w:ind w:left="0"/>
      </w:pPr>
      <w:r>
        <w:rPr>
          <w:rFonts w:ascii="Aptos" w:hAnsi="Aptos"/>
          <w:color w:val="222222"/>
          <w:sz w:val="19"/>
        </w:rPr>
        <w:t>Essential money vs surplus money flag.</w:t>
      </w:r>
    </w:p>
    <w:p>
      <w:pPr>
        <w:pStyle w:val="ListBullet"/>
        <w:spacing w:after="40"/>
        <w:ind w:left="0"/>
      </w:pPr>
      <w:r>
        <w:rPr>
          <w:rFonts w:ascii="Aptos" w:hAnsi="Aptos"/>
          <w:color w:val="222222"/>
          <w:sz w:val="19"/>
        </w:rPr>
        <w:t>Cash reserve minimum.</w:t>
      </w:r>
    </w:p>
    <w:p>
      <w:pPr>
        <w:pStyle w:val="ListBullet"/>
        <w:spacing w:after="40"/>
        <w:ind w:left="0"/>
      </w:pPr>
      <w:r>
        <w:rPr>
          <w:rFonts w:ascii="Aptos" w:hAnsi="Aptos"/>
          <w:color w:val="222222"/>
          <w:sz w:val="19"/>
        </w:rPr>
        <w:t>Preferred investment segment or exact product constraint.</w:t>
      </w:r>
    </w:p>
    <w:p>
      <w:pPr>
        <w:pStyle w:val="Heading1"/>
        <w:spacing w:before="200" w:after="100"/>
      </w:pPr>
      <w:r>
        <w:rPr>
          <w:rFonts w:ascii="Aptos" w:hAnsi="Aptos"/>
          <w:b/>
          <w:color w:val="1B2A4A"/>
          <w:sz w:val="34"/>
        </w:rPr>
        <w:t>4. Universal Recommendation Model</w:t>
      </w:r>
    </w:p>
    <w:p>
      <w:pPr>
        <w:pStyle w:val="Heading2"/>
        <w:spacing w:before="120" w:after="100"/>
      </w:pPr>
      <w:r>
        <w:rPr>
          <w:rFonts w:ascii="Aptos" w:hAnsi="Aptos"/>
          <w:b/>
          <w:color w:val="1B2A4A"/>
          <w:sz w:val="26"/>
        </w:rPr>
        <w:t>4.1 Standard Recommendation Header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Field</w:t>
            </w:r>
          </w:p>
        </w:tc>
        <w:tc>
          <w:tcPr>
            <w:tcW w:type="dxa" w:w="748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Required behavior</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Recommendation</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Asset-appropriate action label: Strong Buy / Buy / Apply / Invest / Accumulate / Hold / Wait / Reduce / Avoid etc.</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Product</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Exact product/security/scheme/instrument.</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Amount</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Recommended rupee amount and % of available capital/portfolio where relevant.</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Duration</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Recommended holding period and user-required duration comparison.</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Timing</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INVEST NOW / BUY NOW / BUY ON DIP / STAGGER / SIP / WAIT / HOLD RESERVE.</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Review date</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Next scheduled review or trigger-based review.</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Risk</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Low / Moderate / High / Very High plus key source of risk.</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Confidence</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Low / Medium / Medium-High / High based on evidence and data health.</w:t>
            </w:r>
          </w:p>
        </w:tc>
      </w:tr>
    </w:tbl>
    <w:p>
      <w:pPr>
        <w:spacing w:after="0"/>
      </w:pPr>
    </w:p>
    <w:p>
      <w:pPr>
        <w:pStyle w:val="Heading2"/>
        <w:spacing w:before="120" w:after="100"/>
      </w:pPr>
      <w:r>
        <w:rPr>
          <w:rFonts w:ascii="Aptos" w:hAnsi="Aptos"/>
          <w:b/>
          <w:color w:val="1B2A4A"/>
          <w:sz w:val="26"/>
        </w:rPr>
        <w:t>4.2 Expected Outcome Block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Metric</w:t>
            </w:r>
          </w:p>
        </w:tc>
        <w:tc>
          <w:tcPr>
            <w:tcW w:type="dxa" w:w="748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Downside scenario</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Reasonable adverse scenario in % and ₹; not presented as guaranteed maximum loss.</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Base scenario</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Central expected scenario with basis and probability/confidence.</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Upside scenario</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Reasonable favorable scenario in % and ₹.</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Probability positive</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Historical/validated probability when sample is sufficient; otherwise N/A.</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Sample size</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Number of comparable historical situations used.</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Expected value</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For the user-entered amount, translate % scenario into ₹ value/gain.</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Annualized/CAGR</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Only when meaningful for the product and duration.</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After-tax estimate</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Optional/configurable; clearly labelled estimate.</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Real return</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For longer horizons, optional inflation-adjusted value.</w:t>
            </w:r>
          </w:p>
        </w:tc>
      </w:tr>
    </w:tbl>
    <w:p>
      <w:pPr>
        <w:spacing w:after="0"/>
      </w:pPr>
    </w:p>
    <w:p>
      <w:pPr>
        <w:pStyle w:val="Heading2"/>
        <w:spacing w:before="120" w:after="100"/>
      </w:pPr>
      <w:r>
        <w:rPr>
          <w:rFonts w:ascii="Aptos" w:hAnsi="Aptos"/>
          <w:b/>
          <w:color w:val="1B2A4A"/>
          <w:sz w:val="26"/>
        </w:rPr>
        <w:t>4.3 Recommendation Change Rules</w:t>
      </w:r>
    </w:p>
    <w:p>
      <w:pPr>
        <w:pStyle w:val="ListBullet"/>
        <w:spacing w:after="40"/>
        <w:ind w:left="0"/>
      </w:pPr>
      <w:r>
        <w:rPr>
          <w:rFonts w:ascii="Aptos" w:hAnsi="Aptos"/>
          <w:color w:val="222222"/>
          <w:sz w:val="19"/>
        </w:rPr>
        <w:t>Each call must state what price, trend, yield, valuation, event, portfolio concentration or data condition would upgrade or downgrade the call.</w:t>
      </w:r>
    </w:p>
    <w:p>
      <w:pPr>
        <w:pStyle w:val="ListBullet"/>
        <w:spacing w:after="40"/>
        <w:ind w:left="0"/>
      </w:pPr>
      <w:r>
        <w:rPr>
          <w:rFonts w:ascii="Aptos" w:hAnsi="Aptos"/>
          <w:color w:val="222222"/>
          <w:sz w:val="19"/>
        </w:rPr>
        <w:t>Entry validity must be re-evaluated after the recommendation. If price runs beyond the valid zone, show DO NOT CHASE rather than leaving BUY unchanged.</w:t>
      </w:r>
    </w:p>
    <w:p>
      <w:pPr>
        <w:pStyle w:val="ListBullet"/>
        <w:spacing w:after="40"/>
        <w:ind w:left="0"/>
      </w:pPr>
      <w:r>
        <w:rPr>
          <w:rFonts w:ascii="Aptos" w:hAnsi="Aptos"/>
          <w:color w:val="222222"/>
          <w:sz w:val="19"/>
        </w:rPr>
        <w:t>If a recommendation becomes invalid before execution, the system must mark it revised/expired rather than treating it as an active successful call.</w:t>
      </w:r>
    </w:p>
    <w:p>
      <w:pPr>
        <w:pStyle w:val="ListBullet"/>
        <w:spacing w:after="40"/>
        <w:ind w:left="0"/>
      </w:pPr>
      <w:r>
        <w:rPr>
          <w:rFonts w:ascii="Aptos" w:hAnsi="Aptos"/>
          <w:color w:val="222222"/>
          <w:sz w:val="19"/>
        </w:rPr>
        <w:t>If the product is not price-traded (e.g., PPF), change conditions should focus on rate/eligibility/goal-fit/liquidity rather than fake technical triggers.</w:t>
      </w:r>
    </w:p>
    <w:p>
      <w:pPr>
        <w:pStyle w:val="Heading1"/>
        <w:spacing w:before="200" w:after="100"/>
      </w:pPr>
      <w:r>
        <w:rPr>
          <w:rFonts w:ascii="Aptos" w:hAnsi="Aptos"/>
          <w:b/>
          <w:color w:val="1B2A4A"/>
          <w:sz w:val="34"/>
        </w:rPr>
        <w:t>5. Market Outlook and Macro Intelligence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IIR-MKT-001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Multiple horizons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Show Next Day, 1 Week, 15 Days, 1 Month and 3 Months.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IIR-MKT-002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Outlook metrics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For each horizon show Bias, Positive Probability, Median Similar Return, historical range, sample size and Confidence.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IIR-MKT-003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Regime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Classify current market environment e.g., Strong / Healthy / Cautious / Weak or Bullish / Sideways / Bearish using stable internal rules.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IIR-MKT-004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Macro context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Consider Indian indices, banking context, USD/INR, crude, rates/yields, inflation context, global equity, Gold/Silver and crypto regime where data is available.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IIR-MKT-005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Context not override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Macro context modifies confidence/allocation; it must not blindly override strong asset-specific evidence.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IIR-MKT-006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Stale macro behavior</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If optional macro data fails, show status and continue the core Radar without pretending macro checks passed.</w:t>
            </w:r>
          </w:p>
        </w:tc>
      </w:tr>
    </w:tbl>
    <w:p>
      <w:pPr>
        <w:spacing w:after="0"/>
      </w:pPr>
    </w:p>
    <w:p>
      <w:pPr>
        <w:pStyle w:val="Heading2"/>
        <w:spacing w:before="120" w:after="100"/>
      </w:pPr>
      <w:r>
        <w:rPr>
          <w:rFonts w:ascii="Aptos" w:hAnsi="Aptos"/>
          <w:b/>
          <w:color w:val="1B2A4A"/>
          <w:sz w:val="26"/>
        </w:rPr>
        <w:t>5.1 Market Outlook Output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4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Horizon</w:t>
            </w:r>
          </w:p>
        </w:tc>
        <w:tc>
          <w:tcPr>
            <w:tcW w:type="dxa" w:w="144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Bias</w:t>
            </w:r>
          </w:p>
        </w:tc>
        <w:tc>
          <w:tcPr>
            <w:tcW w:type="dxa" w:w="172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Positive Probability</w:t>
            </w:r>
          </w:p>
        </w:tc>
        <w:tc>
          <w:tcPr>
            <w:tcW w:type="dxa" w:w="144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Median</w:t>
            </w:r>
          </w:p>
        </w:tc>
        <w:tc>
          <w:tcPr>
            <w:tcW w:type="dxa" w:w="1872"/>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20-80% Range</w:t>
            </w:r>
          </w:p>
        </w:tc>
        <w:tc>
          <w:tcPr>
            <w:tcW w:type="dxa" w:w="86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Sample</w:t>
            </w:r>
          </w:p>
        </w:tc>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Confidence</w:t>
            </w:r>
          </w:p>
        </w:tc>
      </w:tr>
      <w:tr>
        <w:tc>
          <w:tcPr>
            <w:tcW w:type="dxa" w:w="1440"/>
            <w:vAlign w:val="center"/>
            <w:tcMar>
              <w:top w:w="80" w:type="dxa"/>
              <w:start w:w="90" w:type="dxa"/>
              <w:bottom w:w="80" w:type="dxa"/>
              <w:end w:w="90" w:type="dxa"/>
            </w:tcMar>
          </w:tcPr>
          <w:p>
            <w:pPr>
              <w:spacing w:after="0" w:before="0" w:line="240" w:lineRule="auto"/>
            </w:pPr>
            <w:r/>
            <w:r>
              <w:rPr>
                <w:rFonts w:ascii="Aptos" w:hAnsi="Aptos"/>
                <w:b w:val="0"/>
                <w:color w:val="222222"/>
                <w:sz w:val="15"/>
              </w:rPr>
              <w:t>Next Day</w:t>
            </w:r>
          </w:p>
        </w:tc>
        <w:tc>
          <w:tcPr>
            <w:tcW w:type="dxa" w:w="1440"/>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1728"/>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1440"/>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1872"/>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864"/>
            <w:vAlign w:val="center"/>
            <w:tcMar>
              <w:top w:w="80" w:type="dxa"/>
              <w:start w:w="90" w:type="dxa"/>
              <w:bottom w:w="80" w:type="dxa"/>
              <w:end w:w="90" w:type="dxa"/>
            </w:tcMar>
          </w:tcPr>
          <w:p>
            <w:pPr>
              <w:spacing w:after="0" w:before="0" w:line="240" w:lineRule="auto"/>
            </w:pPr>
            <w:r/>
            <w:r>
              <w:rPr>
                <w:rFonts w:ascii="Aptos" w:hAnsi="Aptos"/>
                <w:b w:val="0"/>
                <w:color w:val="222222"/>
                <w:sz w:val="15"/>
              </w:rPr>
              <w:t>N</w:t>
            </w:r>
          </w:p>
        </w:tc>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5"/>
              </w:rPr>
              <w:t>Derived</w:t>
            </w:r>
          </w:p>
        </w:tc>
      </w:tr>
      <w:tr>
        <w:tc>
          <w:tcPr>
            <w:tcW w:type="dxa" w:w="144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1 Week</w:t>
            </w:r>
          </w:p>
        </w:tc>
        <w:tc>
          <w:tcPr>
            <w:tcW w:type="dxa" w:w="144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Calculated</w:t>
            </w:r>
          </w:p>
        </w:tc>
        <w:tc>
          <w:tcPr>
            <w:tcW w:type="dxa" w:w="172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Calculated</w:t>
            </w:r>
          </w:p>
        </w:tc>
        <w:tc>
          <w:tcPr>
            <w:tcW w:type="dxa" w:w="144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Calculated</w:t>
            </w:r>
          </w:p>
        </w:tc>
        <w:tc>
          <w:tcPr>
            <w:tcW w:type="dxa" w:w="187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Calculated</w:t>
            </w:r>
          </w:p>
        </w:tc>
        <w:tc>
          <w:tcPr>
            <w:tcW w:type="dxa" w:w="8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N</w:t>
            </w:r>
          </w:p>
        </w:tc>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Derived</w:t>
            </w:r>
          </w:p>
        </w:tc>
      </w:tr>
      <w:tr>
        <w:tc>
          <w:tcPr>
            <w:tcW w:type="dxa" w:w="1440"/>
            <w:vAlign w:val="center"/>
            <w:tcMar>
              <w:top w:w="80" w:type="dxa"/>
              <w:start w:w="90" w:type="dxa"/>
              <w:bottom w:w="80" w:type="dxa"/>
              <w:end w:w="90" w:type="dxa"/>
            </w:tcMar>
          </w:tcPr>
          <w:p>
            <w:pPr>
              <w:spacing w:after="0" w:before="0" w:line="240" w:lineRule="auto"/>
            </w:pPr>
            <w:r/>
            <w:r>
              <w:rPr>
                <w:rFonts w:ascii="Aptos" w:hAnsi="Aptos"/>
                <w:b w:val="0"/>
                <w:color w:val="222222"/>
                <w:sz w:val="15"/>
              </w:rPr>
              <w:t>15 Days</w:t>
            </w:r>
          </w:p>
        </w:tc>
        <w:tc>
          <w:tcPr>
            <w:tcW w:type="dxa" w:w="1440"/>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1728"/>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1440"/>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1872"/>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864"/>
            <w:vAlign w:val="center"/>
            <w:tcMar>
              <w:top w:w="80" w:type="dxa"/>
              <w:start w:w="90" w:type="dxa"/>
              <w:bottom w:w="80" w:type="dxa"/>
              <w:end w:w="90" w:type="dxa"/>
            </w:tcMar>
          </w:tcPr>
          <w:p>
            <w:pPr>
              <w:spacing w:after="0" w:before="0" w:line="240" w:lineRule="auto"/>
            </w:pPr>
            <w:r/>
            <w:r>
              <w:rPr>
                <w:rFonts w:ascii="Aptos" w:hAnsi="Aptos"/>
                <w:b w:val="0"/>
                <w:color w:val="222222"/>
                <w:sz w:val="15"/>
              </w:rPr>
              <w:t>N</w:t>
            </w:r>
          </w:p>
        </w:tc>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5"/>
              </w:rPr>
              <w:t>Derived</w:t>
            </w:r>
          </w:p>
        </w:tc>
      </w:tr>
      <w:tr>
        <w:tc>
          <w:tcPr>
            <w:tcW w:type="dxa" w:w="144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1 Month</w:t>
            </w:r>
          </w:p>
        </w:tc>
        <w:tc>
          <w:tcPr>
            <w:tcW w:type="dxa" w:w="144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Calculated</w:t>
            </w:r>
          </w:p>
        </w:tc>
        <w:tc>
          <w:tcPr>
            <w:tcW w:type="dxa" w:w="172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Calculated</w:t>
            </w:r>
          </w:p>
        </w:tc>
        <w:tc>
          <w:tcPr>
            <w:tcW w:type="dxa" w:w="144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Calculated</w:t>
            </w:r>
          </w:p>
        </w:tc>
        <w:tc>
          <w:tcPr>
            <w:tcW w:type="dxa" w:w="187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Calculated</w:t>
            </w:r>
          </w:p>
        </w:tc>
        <w:tc>
          <w:tcPr>
            <w:tcW w:type="dxa" w:w="8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N</w:t>
            </w:r>
          </w:p>
        </w:tc>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5"/>
              </w:rPr>
              <w:t>Derived</w:t>
            </w:r>
          </w:p>
        </w:tc>
      </w:tr>
      <w:tr>
        <w:tc>
          <w:tcPr>
            <w:tcW w:type="dxa" w:w="1440"/>
            <w:vAlign w:val="center"/>
            <w:tcMar>
              <w:top w:w="80" w:type="dxa"/>
              <w:start w:w="90" w:type="dxa"/>
              <w:bottom w:w="80" w:type="dxa"/>
              <w:end w:w="90" w:type="dxa"/>
            </w:tcMar>
          </w:tcPr>
          <w:p>
            <w:pPr>
              <w:spacing w:after="0" w:before="0" w:line="240" w:lineRule="auto"/>
            </w:pPr>
            <w:r/>
            <w:r>
              <w:rPr>
                <w:rFonts w:ascii="Aptos" w:hAnsi="Aptos"/>
                <w:b w:val="0"/>
                <w:color w:val="222222"/>
                <w:sz w:val="15"/>
              </w:rPr>
              <w:t>3 Months</w:t>
            </w:r>
          </w:p>
        </w:tc>
        <w:tc>
          <w:tcPr>
            <w:tcW w:type="dxa" w:w="1440"/>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1728"/>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1440"/>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1872"/>
            <w:vAlign w:val="center"/>
            <w:tcMar>
              <w:top w:w="80" w:type="dxa"/>
              <w:start w:w="90" w:type="dxa"/>
              <w:bottom w:w="80" w:type="dxa"/>
              <w:end w:w="90" w:type="dxa"/>
            </w:tcMar>
          </w:tcPr>
          <w:p>
            <w:pPr>
              <w:spacing w:after="0" w:before="0" w:line="240" w:lineRule="auto"/>
            </w:pPr>
            <w:r/>
            <w:r>
              <w:rPr>
                <w:rFonts w:ascii="Aptos" w:hAnsi="Aptos"/>
                <w:b w:val="0"/>
                <w:color w:val="222222"/>
                <w:sz w:val="15"/>
              </w:rPr>
              <w:t>Calculated</w:t>
            </w:r>
          </w:p>
        </w:tc>
        <w:tc>
          <w:tcPr>
            <w:tcW w:type="dxa" w:w="864"/>
            <w:vAlign w:val="center"/>
            <w:tcMar>
              <w:top w:w="80" w:type="dxa"/>
              <w:start w:w="90" w:type="dxa"/>
              <w:bottom w:w="80" w:type="dxa"/>
              <w:end w:w="90" w:type="dxa"/>
            </w:tcMar>
          </w:tcPr>
          <w:p>
            <w:pPr>
              <w:spacing w:after="0" w:before="0" w:line="240" w:lineRule="auto"/>
            </w:pPr>
            <w:r/>
            <w:r>
              <w:rPr>
                <w:rFonts w:ascii="Aptos" w:hAnsi="Aptos"/>
                <w:b w:val="0"/>
                <w:color w:val="222222"/>
                <w:sz w:val="15"/>
              </w:rPr>
              <w:t>N</w:t>
            </w:r>
          </w:p>
        </w:tc>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5"/>
              </w:rPr>
              <w:t>Derived</w:t>
            </w:r>
          </w:p>
        </w:tc>
      </w:tr>
    </w:tbl>
    <w:p>
      <w:pPr>
        <w:spacing w:after="0"/>
      </w:pPr>
    </w:p>
    <w:p>
      <w:pPr>
        <w:pStyle w:val="Heading1"/>
        <w:spacing w:before="200" w:after="100"/>
      </w:pPr>
      <w:r>
        <w:rPr>
          <w:rFonts w:ascii="Aptos" w:hAnsi="Aptos"/>
          <w:b/>
          <w:color w:val="1B2A4A"/>
          <w:sz w:val="34"/>
        </w:rPr>
        <w:t>6. Stocks - Full NSE Radar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IIR-STK-001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Universe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Search/inspect all NSE EQ symbols available in local official NSE EOD data; opportunity board may remain quality/liquidity filtered.</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IIR-STK-002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420 clarification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Historical-session count must never be presented as stock-count coverage.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IIR-STK-003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Timeframes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At minimum Swing, Short Term and Long Term; no requirement for intraday.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IIR-STK-004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Signal ladder</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STRONG BUY → BUY → BUY ON PULLBACK → WATCH → AVOID.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IIR-STK-005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No opportunity state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If nothing passes gates, show NO RELIABLE BUY TODAY.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IIR-STK-006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Strong Buy gating</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Must be difficult: overall/technical/momentum/fundamental/R:R/history/win-rate/market-regime/liquidity/event/data gates.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IIR-STK-007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Entry validity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Show Valid Entry / Near Entry / Wait for Pullback / Do Not Chase / Invalidated.</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IIR-STK-008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Price plan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Current, Entry Zone, S1/S2, R1/R2, Target1/2, potential %, Stop Loss, downside %, R:R, Duration.</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IIR-STK-009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Scores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Technical, Fundamental, Momentum, Overall plus confidence/risk.</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IIR-STK-010</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Evidence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Historical comparable signals, win rate, reasons and current market context.</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IIR-STK-011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Corporate action / event gate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Do not issue high-confidence call when material result/corporate-event risk is unresolved without a visible warning.</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IIR-STK-012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Sector drill-down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Stocks-only optimizer can rank sectors first, then exact stocks.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IIR-STK-013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Full stock search</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Any NSE EQ searched must return ELIGIBLE / NOT ELIGIBLE / INSUFFICIENT HISTORY plus available analysis.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IIR-STK-014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Position sizing</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Quantity based on user capital, entry, stop and chosen risk-per-trade/investment constraints.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IIR-STK-015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Recommendation tracking</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Calls remain in lifecycle until target/stop/expiry/revision/exit; not deleted next day.</w:t>
            </w:r>
          </w:p>
        </w:tc>
      </w:tr>
    </w:tbl>
    <w:p>
      <w:pPr>
        <w:spacing w:after="0"/>
      </w:pPr>
    </w:p>
    <w:p>
      <w:pPr>
        <w:pStyle w:val="Heading2"/>
        <w:spacing w:before="120" w:after="100"/>
      </w:pPr>
      <w:r>
        <w:rPr>
          <w:rFonts w:ascii="Aptos" w:hAnsi="Aptos"/>
          <w:b/>
          <w:color w:val="1B2A4A"/>
          <w:sz w:val="26"/>
        </w:rPr>
        <w:t>6.1 Stock Full Card - Mandatory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Block</w:t>
            </w:r>
          </w:p>
        </w:tc>
        <w:tc>
          <w:tcPr>
            <w:tcW w:type="dxa" w:w="8352"/>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Fields</w:t>
            </w:r>
          </w:p>
        </w:tc>
      </w:tr>
      <w:tr>
        <w:tc>
          <w:tcPr>
            <w:tcW w:type="dxa" w:w="2016"/>
            <w:vAlign w:val="center"/>
            <w:tcMar>
              <w:top w:w="80" w:type="dxa"/>
              <w:start w:w="90" w:type="dxa"/>
              <w:bottom w:w="80" w:type="dxa"/>
              <w:end w:w="90" w:type="dxa"/>
            </w:tcMar>
          </w:tcPr>
          <w:p>
            <w:pPr>
              <w:spacing w:after="0" w:before="0" w:line="240" w:lineRule="auto"/>
            </w:pPr>
            <w:r/>
            <w:r>
              <w:rPr>
                <w:rFonts w:ascii="Aptos" w:hAnsi="Aptos"/>
                <w:b w:val="0"/>
                <w:color w:val="222222"/>
                <w:sz w:val="17"/>
              </w:rPr>
              <w:t>Decision</w:t>
            </w:r>
          </w:p>
        </w:tc>
        <w:tc>
          <w:tcPr>
            <w:tcW w:type="dxa" w:w="8352"/>
            <w:vAlign w:val="center"/>
            <w:tcMar>
              <w:top w:w="80" w:type="dxa"/>
              <w:start w:w="90" w:type="dxa"/>
              <w:bottom w:w="80" w:type="dxa"/>
              <w:end w:w="90" w:type="dxa"/>
            </w:tcMar>
          </w:tcPr>
          <w:p>
            <w:pPr>
              <w:spacing w:after="0" w:before="0" w:line="240" w:lineRule="auto"/>
            </w:pPr>
            <w:r/>
            <w:r>
              <w:rPr>
                <w:rFonts w:ascii="Aptos" w:hAnsi="Aptos"/>
                <w:b w:val="0"/>
                <w:color w:val="222222"/>
                <w:sz w:val="17"/>
              </w:rPr>
              <w:t>Signal, strategy, date/time, eligibility, entry status.</w:t>
            </w:r>
          </w:p>
        </w:tc>
      </w:tr>
      <w:tr>
        <w:tc>
          <w:tcPr>
            <w:tcW w:type="dxa" w:w="20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Price</w:t>
            </w:r>
          </w:p>
        </w:tc>
        <w:tc>
          <w:tcPr>
            <w:tcW w:type="dxa" w:w="83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Current, Entry Low/High, S1, S2, R1, R2, Target 1, Target 2, Stop.</w:t>
            </w:r>
          </w:p>
        </w:tc>
      </w:tr>
      <w:tr>
        <w:tc>
          <w:tcPr>
            <w:tcW w:type="dxa" w:w="2016"/>
            <w:vAlign w:val="center"/>
            <w:tcMar>
              <w:top w:w="80" w:type="dxa"/>
              <w:start w:w="90" w:type="dxa"/>
              <w:bottom w:w="80" w:type="dxa"/>
              <w:end w:w="90" w:type="dxa"/>
            </w:tcMar>
          </w:tcPr>
          <w:p>
            <w:pPr>
              <w:spacing w:after="0" w:before="0" w:line="240" w:lineRule="auto"/>
            </w:pPr>
            <w:r/>
            <w:r>
              <w:rPr>
                <w:rFonts w:ascii="Aptos" w:hAnsi="Aptos"/>
                <w:b w:val="0"/>
                <w:color w:val="222222"/>
                <w:sz w:val="17"/>
              </w:rPr>
              <w:t>Return/Risk</w:t>
            </w:r>
          </w:p>
        </w:tc>
        <w:tc>
          <w:tcPr>
            <w:tcW w:type="dxa" w:w="8352"/>
            <w:vAlign w:val="center"/>
            <w:tcMar>
              <w:top w:w="80" w:type="dxa"/>
              <w:start w:w="90" w:type="dxa"/>
              <w:bottom w:w="80" w:type="dxa"/>
              <w:end w:w="90" w:type="dxa"/>
            </w:tcMar>
          </w:tcPr>
          <w:p>
            <w:pPr>
              <w:spacing w:after="0" w:before="0" w:line="240" w:lineRule="auto"/>
            </w:pPr>
            <w:r/>
            <w:r>
              <w:rPr>
                <w:rFonts w:ascii="Aptos" w:hAnsi="Aptos"/>
                <w:b w:val="0"/>
                <w:color w:val="222222"/>
                <w:sz w:val="17"/>
              </w:rPr>
              <w:t>Potential T1/T2 %, downside %, R:R, duration.</w:t>
            </w:r>
          </w:p>
        </w:tc>
      </w:tr>
      <w:tr>
        <w:tc>
          <w:tcPr>
            <w:tcW w:type="dxa" w:w="20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Scores</w:t>
            </w:r>
          </w:p>
        </w:tc>
        <w:tc>
          <w:tcPr>
            <w:tcW w:type="dxa" w:w="83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Technical, Fundamental, Momentum, Overall.</w:t>
            </w:r>
          </w:p>
        </w:tc>
      </w:tr>
      <w:tr>
        <w:tc>
          <w:tcPr>
            <w:tcW w:type="dxa" w:w="2016"/>
            <w:vAlign w:val="center"/>
            <w:tcMar>
              <w:top w:w="80" w:type="dxa"/>
              <w:start w:w="90" w:type="dxa"/>
              <w:bottom w:w="80" w:type="dxa"/>
              <w:end w:w="90" w:type="dxa"/>
            </w:tcMar>
          </w:tcPr>
          <w:p>
            <w:pPr>
              <w:spacing w:after="0" w:before="0" w:line="240" w:lineRule="auto"/>
            </w:pPr>
            <w:r/>
            <w:r>
              <w:rPr>
                <w:rFonts w:ascii="Aptos" w:hAnsi="Aptos"/>
                <w:b w:val="0"/>
                <w:color w:val="222222"/>
                <w:sz w:val="17"/>
              </w:rPr>
              <w:t>Evidence</w:t>
            </w:r>
          </w:p>
        </w:tc>
        <w:tc>
          <w:tcPr>
            <w:tcW w:type="dxa" w:w="8352"/>
            <w:vAlign w:val="center"/>
            <w:tcMar>
              <w:top w:w="80" w:type="dxa"/>
              <w:start w:w="90" w:type="dxa"/>
              <w:bottom w:w="80" w:type="dxa"/>
              <w:end w:w="90" w:type="dxa"/>
            </w:tcMar>
          </w:tcPr>
          <w:p>
            <w:pPr>
              <w:spacing w:after="0" w:before="0" w:line="240" w:lineRule="auto"/>
            </w:pPr>
            <w:r/>
            <w:r>
              <w:rPr>
                <w:rFonts w:ascii="Aptos" w:hAnsi="Aptos"/>
                <w:b w:val="0"/>
                <w:color w:val="222222"/>
                <w:sz w:val="17"/>
              </w:rPr>
              <w:t>Historical signals, win rate, average return where available, regime fit.</w:t>
            </w:r>
          </w:p>
        </w:tc>
      </w:tr>
      <w:tr>
        <w:tc>
          <w:tcPr>
            <w:tcW w:type="dxa" w:w="20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Risk</w:t>
            </w:r>
          </w:p>
        </w:tc>
        <w:tc>
          <w:tcPr>
            <w:tcW w:type="dxa" w:w="83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Risk level, event/news/corporate-action flags, liquidity status.</w:t>
            </w:r>
          </w:p>
        </w:tc>
      </w:tr>
      <w:tr>
        <w:tc>
          <w:tcPr>
            <w:tcW w:type="dxa" w:w="2016"/>
            <w:vAlign w:val="center"/>
            <w:tcMar>
              <w:top w:w="80" w:type="dxa"/>
              <w:start w:w="90" w:type="dxa"/>
              <w:bottom w:w="80" w:type="dxa"/>
              <w:end w:w="90" w:type="dxa"/>
            </w:tcMar>
          </w:tcPr>
          <w:p>
            <w:pPr>
              <w:spacing w:after="0" w:before="0" w:line="240" w:lineRule="auto"/>
            </w:pPr>
            <w:r/>
            <w:r>
              <w:rPr>
                <w:rFonts w:ascii="Aptos" w:hAnsi="Aptos"/>
                <w:b w:val="0"/>
                <w:color w:val="222222"/>
                <w:sz w:val="17"/>
              </w:rPr>
              <w:t>Explanation</w:t>
            </w:r>
          </w:p>
        </w:tc>
        <w:tc>
          <w:tcPr>
            <w:tcW w:type="dxa" w:w="8352"/>
            <w:vAlign w:val="center"/>
            <w:tcMar>
              <w:top w:w="80" w:type="dxa"/>
              <w:start w:w="90" w:type="dxa"/>
              <w:bottom w:w="80" w:type="dxa"/>
              <w:end w:w="90" w:type="dxa"/>
            </w:tcMar>
          </w:tcPr>
          <w:p>
            <w:pPr>
              <w:spacing w:after="0" w:before="0" w:line="240" w:lineRule="auto"/>
            </w:pPr>
            <w:r/>
            <w:r>
              <w:rPr>
                <w:rFonts w:ascii="Aptos" w:hAnsi="Aptos"/>
                <w:b w:val="0"/>
                <w:color w:val="222222"/>
                <w:sz w:val="17"/>
              </w:rPr>
              <w:t>Why this, Why not alternatives, What changes call, Next action.</w:t>
            </w:r>
          </w:p>
        </w:tc>
      </w:tr>
      <w:tr>
        <w:tc>
          <w:tcPr>
            <w:tcW w:type="dxa" w:w="20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Execution</w:t>
            </w:r>
          </w:p>
        </w:tc>
        <w:tc>
          <w:tcPr>
            <w:tcW w:type="dxa" w:w="83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Suggested amount/quantity when capital is provided; track button.</w:t>
            </w:r>
          </w:p>
        </w:tc>
      </w:tr>
    </w:tbl>
    <w:p>
      <w:pPr>
        <w:spacing w:after="0"/>
      </w:pPr>
    </w:p>
    <w:p>
      <w:pPr>
        <w:pStyle w:val="Heading2"/>
        <w:spacing w:before="120" w:after="100"/>
      </w:pPr>
      <w:r>
        <w:rPr>
          <w:rFonts w:ascii="Aptos" w:hAnsi="Aptos"/>
          <w:b/>
          <w:color w:val="1B2A4A"/>
          <w:sz w:val="26"/>
        </w:rPr>
        <w:t>6.2 Strong Buy Baseline Gate</w:t>
      </w:r>
    </w:p>
    <w:tbl>
      <w:tblPr>
        <w:tblW w:type="auto" w:w="0"/>
        <w:jc w:val="center"/>
        <w:tblLook w:firstColumn="1" w:firstRow="1" w:lastColumn="0" w:lastRow="0" w:noHBand="0" w:noVBand="1" w:val="04A0"/>
      </w:tblPr>
      <w:tblGrid>
        <w:gridCol w:w="10224"/>
      </w:tblGrid>
      <w:tr>
        <w:tc>
          <w:tcPr>
            <w:tcW w:type="dxa" w:w="10224"/>
            <w:shd w:fill="FFF6D6"/>
            <w:tcMar>
              <w:top w:w="130" w:type="dxa"/>
              <w:start w:w="140" w:type="dxa"/>
              <w:bottom w:w="130" w:type="dxa"/>
              <w:end w:w="140" w:type="dxa"/>
            </w:tcMar>
          </w:tcPr>
          <w:p>
            <w:pPr>
              <w:spacing w:after="60"/>
            </w:pPr>
            <w:r>
              <w:rPr>
                <w:rFonts w:ascii="Aptos" w:hAnsi="Aptos"/>
                <w:b/>
                <w:color w:val="1B2A4A"/>
                <w:sz w:val="19"/>
              </w:rPr>
              <w:t>BASELINE - CONFIGURABLE, NOT HARD-CODED FOREVER</w:t>
            </w:r>
          </w:p>
          <w:p>
            <w:pPr>
              <w:spacing w:after="0"/>
            </w:pPr>
            <w:r>
              <w:rPr>
                <w:rFonts w:ascii="Aptos" w:hAnsi="Aptos"/>
                <w:color w:val="222222"/>
                <w:sz w:val="18"/>
              </w:rPr>
              <w:t>Initial design gate discussed: Overall ≥85, Technical ≥80, Momentum ≥80, Fundamental ≥75 where applicable, R:R ≥2, comparable signals ≥50, win rate ≥60%, market regime not Weak, adequate liquidity, no blocking corporate/news event, and current price still in/near valid Entry Zone. Final thresholds must remain configurable and validated by walk-forward results.</w:t>
            </w:r>
          </w:p>
        </w:tc>
      </w:tr>
    </w:tbl>
    <w:p>
      <w:pPr>
        <w:pStyle w:val="Heading1"/>
        <w:spacing w:before="200" w:after="100"/>
      </w:pPr>
      <w:r>
        <w:rPr>
          <w:rFonts w:ascii="Aptos" w:hAnsi="Aptos"/>
          <w:b/>
          <w:color w:val="1B2A4A"/>
          <w:sz w:val="34"/>
        </w:rPr>
        <w:t>7. ETF and Listed Market Products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IIR-ETF-001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ETF cards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Use price-based entry/support/resistance/target/risk logic where ETF liquidity/history supports it.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IIR-ETF-002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Underlying context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Show underlying theme/index/commodity and concentration/structure risk.</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IIR-ETF-003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Gold/Silver distinction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ETF/trading view remains separate from physical Gold/Silver main buy-timing mode.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IIR-ETF-004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International ETF</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Support eligible international exposure products available to the user, with currency/global-market context where data exists.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IIR-ETF-005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REIT/InvIT listed mode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Price-traded REIT/InvIT may use market analysis plus yield/distribution and structural metrics.</w:t>
            </w:r>
          </w:p>
        </w:tc>
      </w:tr>
    </w:tbl>
    <w:p>
      <w:pPr>
        <w:spacing w:after="0"/>
      </w:pPr>
    </w:p>
    <w:p>
      <w:pPr>
        <w:pStyle w:val="Heading1"/>
        <w:spacing w:before="200" w:after="100"/>
      </w:pPr>
      <w:r>
        <w:rPr>
          <w:rFonts w:ascii="Aptos" w:hAnsi="Aptos"/>
          <w:b/>
          <w:color w:val="1B2A4A"/>
          <w:sz w:val="34"/>
        </w:rPr>
        <w:t>8. Physical Gold - Main Gold Intention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IIR-GLD-001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Default mode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Gold/Silver tab defaults to PHYSICAL BUY - MAIN; ETF/trading view is secondary.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IIR-GLD-002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User quote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Gold input is local physical rate in ₹ per 10 grams; automatic India reference rate should be supported when reliable, with local/dealer override.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IIR-GLD-003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Costs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Dealer/coin premium % and tax/GST % only when not already included; fields editable.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IIR-GLD-004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Actions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STRONG PHYSICAL BUY / BUY PHYSICAL IN PARTS / BUY IN STAGES / WAIT FOR DIP / WAIT-WATCH / DO NOT BUY NOW.</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IIR-GLD-005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Proxy history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Use diversified Gold market/ETF proxy history for trend, momentum and historical timing; clearly distinguish proxy from user’s physical quote.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IIR-GLD-006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Translated zones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Preferred Buy Zone, Better Dip Zone, Deep Value/Support Zone, Scenario Target 1/2 translated into physical-rate terms.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IIR-GLD-007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Staged plan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Strong: 40/30/30; Buy: 30/30/40; Wait-for-dip: deploy only in zone; Watch/Avoid: keep reserve. Percentages configurable.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IIR-GLD-008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Quantity</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Convert allocated rupees to approximate grams based on entered current physical rate.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IIR-GLD-009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Horizons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Historical timing evidence/scenarios at 1 Week, 15 Days, 1 Month, 3 Months, 6 Months, 1 Year where history supports.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IIR-GLD-010</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No fake stop</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Physical mode must not force a stock-style stop loss; focus on buy timing, staging, zones, scenarios and review.</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IIR-GLD-011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Explanation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Trend/momentum/zone/macro/historical evidence/cost and “what changes call” must be explained at the same depth as stocks.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IIR-GLD-012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Product drill-down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If user selects Gold segment only, compare Physical vs Gold ETF vs Gold Fund vs other suitable listed Gold exposure; respect explicit “Physical only”.</w:t>
            </w:r>
          </w:p>
        </w:tc>
      </w:tr>
    </w:tbl>
    <w:p>
      <w:pPr>
        <w:spacing w:after="0"/>
      </w:pPr>
    </w:p>
    <w:p>
      <w:pPr>
        <w:pStyle w:val="Heading2"/>
        <w:spacing w:before="120" w:after="100"/>
      </w:pPr>
      <w:r>
        <w:rPr>
          <w:rFonts w:ascii="Aptos" w:hAnsi="Aptos"/>
          <w:b/>
          <w:color w:val="1B2A4A"/>
          <w:sz w:val="26"/>
        </w:rPr>
        <w:t>8.1 Physical Gold Entry Form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Field</w:t>
            </w:r>
          </w:p>
        </w:tc>
        <w:tc>
          <w:tcPr>
            <w:tcW w:type="dxa" w:w="288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Input/Source</w:t>
            </w:r>
          </w:p>
        </w:tc>
        <w:tc>
          <w:tcPr>
            <w:tcW w:type="dxa" w:w="460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Validation / Behavior</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Current physical rate</w:t>
            </w:r>
          </w:p>
        </w:tc>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User / reference feed</w:t>
            </w:r>
          </w:p>
        </w:tc>
        <w:tc>
          <w:tcPr>
            <w:tcW w:type="dxa" w:w="4608"/>
            <w:vAlign w:val="center"/>
            <w:tcMar>
              <w:top w:w="80" w:type="dxa"/>
              <w:start w:w="90" w:type="dxa"/>
              <w:bottom w:w="80" w:type="dxa"/>
              <w:end w:w="90" w:type="dxa"/>
            </w:tcMar>
          </w:tcPr>
          <w:p>
            <w:pPr>
              <w:spacing w:after="0" w:before="0" w:line="240" w:lineRule="auto"/>
            </w:pPr>
            <w:r/>
            <w:r>
              <w:rPr>
                <w:rFonts w:ascii="Aptos" w:hAnsi="Aptos"/>
                <w:b w:val="0"/>
                <w:color w:val="222222"/>
                <w:sz w:val="17"/>
              </w:rPr>
              <w:t>₹ per 10g; required for physical-price translation.</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Investment amount</w:t>
            </w:r>
          </w:p>
        </w:tc>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User</w:t>
            </w:r>
          </w:p>
        </w:tc>
        <w:tc>
          <w:tcPr>
            <w:tcW w:type="dxa" w:w="460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&gt;0; used for staged amount and approximate grams.</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Premium %</w:t>
            </w:r>
          </w:p>
        </w:tc>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User/settings</w:t>
            </w:r>
          </w:p>
        </w:tc>
        <w:tc>
          <w:tcPr>
            <w:tcW w:type="dxa" w:w="4608"/>
            <w:vAlign w:val="center"/>
            <w:tcMar>
              <w:top w:w="80" w:type="dxa"/>
              <w:start w:w="90" w:type="dxa"/>
              <w:bottom w:w="80" w:type="dxa"/>
              <w:end w:w="90" w:type="dxa"/>
            </w:tcMar>
          </w:tcPr>
          <w:p>
            <w:pPr>
              <w:spacing w:after="0" w:before="0" w:line="240" w:lineRule="auto"/>
            </w:pPr>
            <w:r/>
            <w:r>
              <w:rPr>
                <w:rFonts w:ascii="Aptos" w:hAnsi="Aptos"/>
                <w:b w:val="0"/>
                <w:color w:val="222222"/>
                <w:sz w:val="17"/>
              </w:rPr>
              <w:t>Optional; default saved locally.</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Tax/GST %</w:t>
            </w:r>
          </w:p>
        </w:tc>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User/settings</w:t>
            </w:r>
          </w:p>
        </w:tc>
        <w:tc>
          <w:tcPr>
            <w:tcW w:type="dxa" w:w="460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Optional; user confirms whether already included.</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Holding period</w:t>
            </w:r>
          </w:p>
        </w:tc>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User</w:t>
            </w:r>
          </w:p>
        </w:tc>
        <w:tc>
          <w:tcPr>
            <w:tcW w:type="dxa" w:w="4608"/>
            <w:vAlign w:val="center"/>
            <w:tcMar>
              <w:top w:w="80" w:type="dxa"/>
              <w:start w:w="90" w:type="dxa"/>
              <w:bottom w:w="80" w:type="dxa"/>
              <w:end w:w="90" w:type="dxa"/>
            </w:tcMar>
          </w:tcPr>
          <w:p>
            <w:pPr>
              <w:spacing w:after="0" w:before="0" w:line="240" w:lineRule="auto"/>
            </w:pPr>
            <w:r/>
            <w:r>
              <w:rPr>
                <w:rFonts w:ascii="Aptos" w:hAnsi="Aptos"/>
                <w:b w:val="0"/>
                <w:color w:val="222222"/>
                <w:sz w:val="17"/>
              </w:rPr>
              <w:t>1M / 3M / 6-12M / 1-3Y / custom via optimizer.</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Dealer/source</w:t>
            </w:r>
          </w:p>
        </w:tc>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Optional</w:t>
            </w:r>
          </w:p>
        </w:tc>
        <w:tc>
          <w:tcPr>
            <w:tcW w:type="dxa" w:w="460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Track quote source.</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Notes</w:t>
            </w:r>
          </w:p>
        </w:tc>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Optional</w:t>
            </w:r>
          </w:p>
        </w:tc>
        <w:tc>
          <w:tcPr>
            <w:tcW w:type="dxa" w:w="4608"/>
            <w:vAlign w:val="center"/>
            <w:tcMar>
              <w:top w:w="80" w:type="dxa"/>
              <w:start w:w="90" w:type="dxa"/>
              <w:bottom w:w="80" w:type="dxa"/>
              <w:end w:w="90" w:type="dxa"/>
            </w:tcMar>
          </w:tcPr>
          <w:p>
            <w:pPr>
              <w:spacing w:after="0" w:before="0" w:line="240" w:lineRule="auto"/>
            </w:pPr>
            <w:r/>
            <w:r>
              <w:rPr>
                <w:rFonts w:ascii="Aptos" w:hAnsi="Aptos"/>
                <w:b w:val="0"/>
                <w:color w:val="222222"/>
                <w:sz w:val="17"/>
              </w:rPr>
              <w:t>Free text.</w:t>
            </w:r>
          </w:p>
        </w:tc>
      </w:tr>
    </w:tbl>
    <w:p>
      <w:pPr>
        <w:spacing w:after="0"/>
      </w:pPr>
    </w:p>
    <w:p>
      <w:pPr>
        <w:pStyle w:val="Heading1"/>
        <w:spacing w:before="200" w:after="100"/>
      </w:pPr>
      <w:r>
        <w:rPr>
          <w:rFonts w:ascii="Aptos" w:hAnsi="Aptos"/>
          <w:b/>
          <w:color w:val="1B2A4A"/>
          <w:sz w:val="34"/>
        </w:rPr>
        <w:t>9. Physical Silver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IIR-SLV-001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Physical quote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Silver input in ₹ per 1 kg; allow reference feed plus local override.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IIR-SLV-002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Actions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Same physical-buy action ladder as Gold.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IIR-SLV-003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Translated levels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Preferred Buy, Better Dip, Deep Support, Scenario Targets translated to user’s physical quote.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IIR-SLV-004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Quantity</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Approximate kg from allocated amount and current rate.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IIR-SLV-005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Volatility treatment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Silver’s higher volatility must reduce confidence/position size or increase staging when appropriate.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IIR-SLV-006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No fake stop</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No forced trading stop in physical mode.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IIR-SLV-007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Explanation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Same 13-question standard, with Silver-specific reasons and rejected alternatives.</w:t>
            </w:r>
          </w:p>
        </w:tc>
      </w:tr>
    </w:tbl>
    <w:p>
      <w:pPr>
        <w:spacing w:after="0"/>
      </w:pPr>
    </w:p>
    <w:p>
      <w:pPr>
        <w:pStyle w:val="Heading1"/>
        <w:spacing w:before="200" w:after="100"/>
      </w:pPr>
      <w:r>
        <w:rPr>
          <w:rFonts w:ascii="Aptos" w:hAnsi="Aptos"/>
          <w:b/>
          <w:color w:val="1B2A4A"/>
          <w:sz w:val="34"/>
        </w:rPr>
        <w:t>10. Crypto Radar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IIR-CRY-001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Core universe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BTC, ETH, BNB, SOL, XRP, ADA, DOGE, AVAX, LINK, DOT, TRX, LTC, BCH, XLM, UNI; architecture must permit adding symbols.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IIR-CRY-002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Market basis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Daily liquid quote history, preferably standardized pair such as USDT for analytics.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IIR-CRY-003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Price plan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Signal, Current, Entry, S1/S2, R1/R2, T1/T2, Potential, Stop, Risk, R:R, Duration.</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IIR-CRY-004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Scores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Technical, Momentum, Market Structure, Overall; do not fabricate company fundamentals.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IIR-CRY-005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Conservative risk</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Crypto confidence/allocation must be more conservative because of 24/7 volatility and structural risk.</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IIR-CRY-006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Segment drill-down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Crypto-only flow may rank Large-Cap / Altcoin categories, then exact coin, amount and timing.</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IIR-CRY-007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Portfolio cap</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Optimizer must honor configurable maximum crypto exposure.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IIR-CRY-008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Explanation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Market structure, momentum, volatility, drawdown, liquidity, concentration, entry validity, why/why-not/what-changes.</w:t>
            </w:r>
          </w:p>
        </w:tc>
      </w:tr>
    </w:tbl>
    <w:p>
      <w:pPr>
        <w:spacing w:after="0"/>
      </w:pPr>
    </w:p>
    <w:p>
      <w:pPr>
        <w:pStyle w:val="Heading1"/>
        <w:spacing w:before="200" w:after="100"/>
      </w:pPr>
      <w:r>
        <w:rPr>
          <w:rFonts w:ascii="Aptos" w:hAnsi="Aptos"/>
          <w:b/>
          <w:color w:val="1B2A4A"/>
          <w:sz w:val="34"/>
        </w:rPr>
        <w:t>11. Mutual Funds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IIR-MF-001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Decision ladder</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INVEST / ACCUMULATE / WATCH / AVOID; portfolio-owned schemes additionally HOLD / ADD / REDUCE / SWITCH / REVIEW.</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IIR-MF-002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Core metrics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NAV, 1Y/3Y/5Y return/CAGR where available, rolling-return consistency, volatility, drawdown, positive periods/months, risk-adjusted measures, expense and category fit where data is available.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IIR-MF-003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No stock stop-loss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Do not use fake stock-style stop loss.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IIR-MF-004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Category first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MF-only optimizer must select suitable category allocation first, then exact schemes.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IIR-MF-005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Exact scheme ranking</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Compare exact schemes within category by consistency, drawdown, risk-adjusted performance, expenses, style/process stability and overlap with existing holdings.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IIR-MF-006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Overlap check</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Explain when a new fund duplicates existing portfolio exposure.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IIR-MF-007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Lump sum vs SIP</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Recommend Lump Sum / SIP / Stagger based on duration, market context and user mode.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IIR-MF-008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Long-horizon priority</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For long-term users, exact weekday timing must not be overemphasized compared with allocation and staying invested.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IIR-MF-009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Explanation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Why this fund, why not peer funds, what changes the recommendation, review trigger.</w:t>
            </w:r>
          </w:p>
        </w:tc>
      </w:tr>
    </w:tbl>
    <w:p>
      <w:pPr>
        <w:spacing w:after="0"/>
      </w:pPr>
    </w:p>
    <w:p>
      <w:pPr>
        <w:pStyle w:val="Heading2"/>
        <w:spacing w:before="120" w:after="100"/>
      </w:pPr>
      <w:r>
        <w:rPr>
          <w:rFonts w:ascii="Aptos" w:hAnsi="Aptos"/>
          <w:b/>
          <w:color w:val="1B2A4A"/>
          <w:sz w:val="26"/>
        </w:rPr>
        <w:t>11.1 Mutual Fund Drill-down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Level</w:t>
            </w:r>
          </w:p>
        </w:tc>
        <w:tc>
          <w:tcPr>
            <w:tcW w:type="dxa" w:w="806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Example decision</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8"/>
              </w:rPr>
              <w:t>1 - Segment</w:t>
            </w:r>
          </w:p>
        </w:tc>
        <w:tc>
          <w:tcPr>
            <w:tcW w:type="dxa" w:w="8064"/>
            <w:vAlign w:val="center"/>
            <w:tcMar>
              <w:top w:w="80" w:type="dxa"/>
              <w:start w:w="90" w:type="dxa"/>
              <w:bottom w:w="80" w:type="dxa"/>
              <w:end w:w="90" w:type="dxa"/>
            </w:tcMar>
          </w:tcPr>
          <w:p>
            <w:pPr>
              <w:spacing w:after="0" w:before="0" w:line="240" w:lineRule="auto"/>
            </w:pPr>
            <w:r/>
            <w:r>
              <w:rPr>
                <w:rFonts w:ascii="Aptos" w:hAnsi="Aptos"/>
                <w:b w:val="0"/>
                <w:color w:val="222222"/>
                <w:sz w:val="18"/>
              </w:rPr>
              <w:t>Mutual Funds</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2 - Category</w:t>
            </w:r>
          </w:p>
        </w:tc>
        <w:tc>
          <w:tcPr>
            <w:tcW w:type="dxa" w:w="80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Flexi Cap / Index / Large &amp; Mid / Debt etc.</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8"/>
              </w:rPr>
              <w:t>3 - Exact schemes</w:t>
            </w:r>
          </w:p>
        </w:tc>
        <w:tc>
          <w:tcPr>
            <w:tcW w:type="dxa" w:w="8064"/>
            <w:vAlign w:val="center"/>
            <w:tcMar>
              <w:top w:w="80" w:type="dxa"/>
              <w:start w:w="90" w:type="dxa"/>
              <w:bottom w:w="80" w:type="dxa"/>
              <w:end w:w="90" w:type="dxa"/>
            </w:tcMar>
          </w:tcPr>
          <w:p>
            <w:pPr>
              <w:spacing w:after="0" w:before="0" w:line="240" w:lineRule="auto"/>
            </w:pPr>
            <w:r/>
            <w:r>
              <w:rPr>
                <w:rFonts w:ascii="Aptos" w:hAnsi="Aptos"/>
                <w:b w:val="0"/>
                <w:color w:val="222222"/>
                <w:sz w:val="18"/>
              </w:rPr>
              <w:t>Ranked list with fit score.</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4 - Allocation</w:t>
            </w:r>
          </w:p>
        </w:tc>
        <w:tc>
          <w:tcPr>
            <w:tcW w:type="dxa" w:w="80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 amount / monthly SIP.</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8"/>
              </w:rPr>
              <w:t>5 - Timing</w:t>
            </w:r>
          </w:p>
        </w:tc>
        <w:tc>
          <w:tcPr>
            <w:tcW w:type="dxa" w:w="8064"/>
            <w:vAlign w:val="center"/>
            <w:tcMar>
              <w:top w:w="80" w:type="dxa"/>
              <w:start w:w="90" w:type="dxa"/>
              <w:bottom w:w="80" w:type="dxa"/>
              <w:end w:w="90" w:type="dxa"/>
            </w:tcMar>
          </w:tcPr>
          <w:p>
            <w:pPr>
              <w:spacing w:after="0" w:before="0" w:line="240" w:lineRule="auto"/>
            </w:pPr>
            <w:r/>
            <w:r>
              <w:rPr>
                <w:rFonts w:ascii="Aptos" w:hAnsi="Aptos"/>
                <w:b w:val="0"/>
                <w:color w:val="222222"/>
                <w:sz w:val="18"/>
              </w:rPr>
              <w:t>Invest now / SIP / stagger / wait.</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6 - Explanation</w:t>
            </w:r>
          </w:p>
        </w:tc>
        <w:tc>
          <w:tcPr>
            <w:tcW w:type="dxa" w:w="80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Why selected, why peers not selected, risk/scenarios.</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8"/>
              </w:rPr>
              <w:t>7 - Track</w:t>
            </w:r>
          </w:p>
        </w:tc>
        <w:tc>
          <w:tcPr>
            <w:tcW w:type="dxa" w:w="8064"/>
            <w:vAlign w:val="center"/>
            <w:tcMar>
              <w:top w:w="80" w:type="dxa"/>
              <w:start w:w="90" w:type="dxa"/>
              <w:bottom w:w="80" w:type="dxa"/>
              <w:end w:w="90" w:type="dxa"/>
            </w:tcMar>
          </w:tcPr>
          <w:p>
            <w:pPr>
              <w:spacing w:after="0" w:before="0" w:line="240" w:lineRule="auto"/>
            </w:pPr>
            <w:r/>
            <w:r>
              <w:rPr>
                <w:rFonts w:ascii="Aptos" w:hAnsi="Aptos"/>
                <w:b w:val="0"/>
                <w:color w:val="222222"/>
                <w:sz w:val="18"/>
              </w:rPr>
              <w:t>Add to plan or existing portfolio.</w:t>
            </w:r>
          </w:p>
        </w:tc>
      </w:tr>
    </w:tbl>
    <w:p>
      <w:pPr>
        <w:spacing w:after="0"/>
      </w:pPr>
    </w:p>
    <w:p>
      <w:pPr>
        <w:pStyle w:val="Heading1"/>
        <w:spacing w:before="200" w:after="100"/>
      </w:pPr>
      <w:r>
        <w:rPr>
          <w:rFonts w:ascii="Aptos" w:hAnsi="Aptos"/>
          <w:b/>
          <w:color w:val="1B2A4A"/>
          <w:sz w:val="34"/>
        </w:rPr>
        <w:t>12. Bonds, Fixed Income and Deposit Products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IIR-FI-001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Instrument coverage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T-Bill, G-Sec, SDL, high-quality bonds, other bonds, FD, RD, corporate FD where manually/configurably supported, and short fixed-income alternatives.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IIR-FI-002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Core fields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Yield/YTM, maturity, purchase/face value where applicable, expected carry, maturity return, credit risk, interest-rate risk, liquidity, duration match.</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IIR-FI-003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Decision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CONSIDER / INVEST / HOLD / WATCH / AVOID using instrument-appropriate language.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IIR-FI-004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Duration matching</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Exact required date must be compared with maturity/lock-in and liquidity before ranking.</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IIR-FI-005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Low-risk optimizer</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For short horizons/capital-priority goals, fixed income should often outrank volatile assets where risk-adjusted fit is superior.</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IIR-FI-006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No fake certainty</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Expected yield/carry is not equated with guaranteed net realized return unless contractually fixed and all assumptions hold.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IIR-FI-007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Tax/liquidity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Show configurable tax effect and exit/liquidity implications where known.</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IIR-FI-008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Explanation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Why chosen over FD/bond/debt fund/Gold/equity for the user’s exact duration.</w:t>
            </w:r>
          </w:p>
        </w:tc>
      </w:tr>
    </w:tbl>
    <w:p>
      <w:pPr>
        <w:spacing w:after="0"/>
      </w:pPr>
    </w:p>
    <w:p>
      <w:pPr>
        <w:pStyle w:val="Heading1"/>
        <w:spacing w:before="200" w:after="100"/>
      </w:pPr>
      <w:r>
        <w:rPr>
          <w:rFonts w:ascii="Aptos" w:hAnsi="Aptos"/>
          <w:b/>
          <w:color w:val="1B2A4A"/>
          <w:sz w:val="34"/>
        </w:rPr>
        <w:t>13. IPO / SME IPO / New Issues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IIR-IPO-001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Coverage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Mainboard IPO, SME IPO; architecture for REIT/InvIT public issues and special new issues where appropriate.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IIR-IPO-002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Decision ladder</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STRONG APPLY / APPLY / WATCH / AVOID.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IIR-IPO-003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Dual view</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Separate Listing View and Long-Term View; never collapse them into one opaque score.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IIR-IPO-004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Issue fields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Company, open/close dates, listing date, price band, lot size, one-lot cost, issue size, fresh issue, OFS portion, use of funds.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IIR-IPO-005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Demand fields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QIB/NII/Retail/Total subscription where available and current.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IIR-IPO-006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Fundamental fields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Revenue growth, profit growth, ROE, debt/equity, valuation/PE vs relevant comparison where available.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IIR-IPO-007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Risk fields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Governance, leverage, cyclicality, concentration, issue structure, SME liquidity and other material risks.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IIR-IPO-008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GMP</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Optional/manual; display as unofficial and give low weight, never primary reason.</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IIR-IPO-009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Suggested lots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Given available amount, show possible lot count and remaining reserve; never imply allotment certainty.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IIR-IPO-010</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Data sources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Prefer official exchange/SEBI issue information; third-party sentiment can be supplementary only.</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IIR-IPO-011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Post listing</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If allotted/listed, permit conversion into normal portfolio lot/stock tracking.</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IIR-IPO-012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Explanation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Why apply, why not other open issues, what changes call before close date, listing vs long-term rationale.</w:t>
            </w:r>
          </w:p>
        </w:tc>
      </w:tr>
    </w:tbl>
    <w:p>
      <w:pPr>
        <w:spacing w:after="0"/>
      </w:pPr>
    </w:p>
    <w:p>
      <w:pPr>
        <w:pStyle w:val="Heading2"/>
        <w:spacing w:before="120" w:after="100"/>
      </w:pPr>
      <w:r>
        <w:rPr>
          <w:rFonts w:ascii="Aptos" w:hAnsi="Aptos"/>
          <w:b/>
          <w:color w:val="1B2A4A"/>
          <w:sz w:val="26"/>
        </w:rPr>
        <w:t>13.1 Special Opportunities</w:t>
      </w:r>
    </w:p>
    <w:p>
      <w:pPr>
        <w:pStyle w:val="ListBullet"/>
        <w:spacing w:after="40"/>
        <w:ind w:left="0"/>
      </w:pPr>
      <w:r>
        <w:rPr>
          <w:rFonts w:ascii="Aptos" w:hAnsi="Aptos"/>
          <w:color w:val="222222"/>
          <w:sz w:val="19"/>
        </w:rPr>
        <w:t>Rights Issues: eligibility/record date, rights ratio, rights price, discount, dilution, action and portfolio-fit.</w:t>
      </w:r>
    </w:p>
    <w:p>
      <w:pPr>
        <w:pStyle w:val="ListBullet"/>
        <w:spacing w:after="40"/>
        <w:ind w:left="0"/>
      </w:pPr>
      <w:r>
        <w:rPr>
          <w:rFonts w:ascii="Aptos" w:hAnsi="Aptos"/>
          <w:color w:val="222222"/>
          <w:sz w:val="19"/>
        </w:rPr>
        <w:t>OFS: floor price/market discount, issuer context, liquidity and timing.</w:t>
      </w:r>
    </w:p>
    <w:p>
      <w:pPr>
        <w:pStyle w:val="ListBullet"/>
        <w:spacing w:after="40"/>
        <w:ind w:left="0"/>
      </w:pPr>
      <w:r>
        <w:rPr>
          <w:rFonts w:ascii="Aptos" w:hAnsi="Aptos"/>
          <w:color w:val="222222"/>
          <w:sz w:val="19"/>
        </w:rPr>
        <w:t>Buybacks: entitlement/record dates, buyback price, acceptance uncertainty and tax/cost assumptions.</w:t>
      </w:r>
    </w:p>
    <w:p>
      <w:pPr>
        <w:pStyle w:val="ListBullet"/>
        <w:spacing w:after="40"/>
        <w:ind w:left="0"/>
      </w:pPr>
      <w:r>
        <w:rPr>
          <w:rFonts w:ascii="Aptos" w:hAnsi="Aptos"/>
          <w:color w:val="222222"/>
          <w:sz w:val="19"/>
        </w:rPr>
        <w:t>Other capital actions: informational/risk gate first; only add recommendation logic where legally/data-wise meaningful.</w:t>
      </w:r>
    </w:p>
    <w:p>
      <w:pPr>
        <w:pStyle w:val="Heading1"/>
        <w:spacing w:before="200" w:after="100"/>
      </w:pPr>
      <w:r>
        <w:rPr>
          <w:rFonts w:ascii="Aptos" w:hAnsi="Aptos"/>
          <w:b/>
          <w:color w:val="1B2A4A"/>
          <w:sz w:val="34"/>
        </w:rPr>
        <w:t>14. REIT / InvIT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IIR-REIT-001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Two-part analysis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Listed price/technical behavior plus yield/distribution/asset-quality and leverage context.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IIR-REIT-002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Use case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Income + listed real-asset exposure; fit varies by horizon, risk and liquidity need.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IIR-REIT-003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Metrics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Price, distribution yield where available, occupancy/asset quality indicators where available, leverage, liquidity, volatility, drawdown.</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IIR-REIT-004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Optimizer role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Compare against debt, equity and direct real estate based on user duration and risk.</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IIR-REIT-005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Explanation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Why REIT/InvIT is or is not suitable; why exact instrument ranks above peers.</w:t>
            </w:r>
          </w:p>
        </w:tc>
      </w:tr>
    </w:tbl>
    <w:p>
      <w:pPr>
        <w:spacing w:after="0"/>
      </w:pPr>
    </w:p>
    <w:p>
      <w:pPr>
        <w:pStyle w:val="Heading1"/>
        <w:spacing w:before="200" w:after="100"/>
      </w:pPr>
      <w:r>
        <w:rPr>
          <w:rFonts w:ascii="Aptos" w:hAnsi="Aptos"/>
          <w:b/>
          <w:color w:val="1B2A4A"/>
          <w:sz w:val="34"/>
        </w:rPr>
        <w:t>15. Government Savings, NPS and Other Structured Options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Product family</w:t>
            </w:r>
          </w:p>
        </w:tc>
        <w:tc>
          <w:tcPr>
            <w:tcW w:type="dxa" w:w="6912"/>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Required handling</w:t>
            </w:r>
          </w:p>
        </w:tc>
      </w:tr>
      <w:tr>
        <w:tc>
          <w:tcPr>
            <w:tcW w:type="dxa" w:w="3456"/>
            <w:vAlign w:val="center"/>
            <w:tcMar>
              <w:top w:w="80" w:type="dxa"/>
              <w:start w:w="90" w:type="dxa"/>
              <w:bottom w:w="80" w:type="dxa"/>
              <w:end w:w="90" w:type="dxa"/>
            </w:tcMar>
          </w:tcPr>
          <w:p>
            <w:pPr>
              <w:spacing w:after="0" w:before="0" w:line="240" w:lineRule="auto"/>
            </w:pPr>
            <w:r/>
            <w:r>
              <w:rPr>
                <w:rFonts w:ascii="Aptos" w:hAnsi="Aptos"/>
                <w:b w:val="0"/>
                <w:color w:val="222222"/>
                <w:sz w:val="17"/>
              </w:rPr>
              <w:t>PPF</w:t>
            </w:r>
          </w:p>
        </w:tc>
        <w:tc>
          <w:tcPr>
            <w:tcW w:type="dxa" w:w="6912"/>
            <w:vAlign w:val="center"/>
            <w:tcMar>
              <w:top w:w="80" w:type="dxa"/>
              <w:start w:w="90" w:type="dxa"/>
              <w:bottom w:w="80" w:type="dxa"/>
              <w:end w:w="90" w:type="dxa"/>
            </w:tcMar>
          </w:tcPr>
          <w:p>
            <w:pPr>
              <w:spacing w:after="0" w:before="0" w:line="240" w:lineRule="auto"/>
            </w:pPr>
            <w:r/>
            <w:r>
              <w:rPr>
                <w:rFonts w:ascii="Aptos" w:hAnsi="Aptos"/>
                <w:b w:val="0"/>
                <w:color w:val="222222"/>
                <w:sz w:val="17"/>
              </w:rPr>
              <w:t>Rate assumption, lock-in, liquidity/withdrawal constraints, tax-efficiency setting, long-term goal-fit.</w:t>
            </w:r>
          </w:p>
        </w:tc>
      </w:tr>
      <w:tr>
        <w:tc>
          <w:tcPr>
            <w:tcW w:type="dxa" w:w="345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NSC / KVP</w:t>
            </w:r>
          </w:p>
        </w:tc>
        <w:tc>
          <w:tcPr>
            <w:tcW w:type="dxa" w:w="691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Rate/tenure assumptions, maturity, liquidity, tax treatment configuration.</w:t>
            </w:r>
          </w:p>
        </w:tc>
      </w:tr>
      <w:tr>
        <w:tc>
          <w:tcPr>
            <w:tcW w:type="dxa" w:w="3456"/>
            <w:vAlign w:val="center"/>
            <w:tcMar>
              <w:top w:w="80" w:type="dxa"/>
              <w:start w:w="90" w:type="dxa"/>
              <w:bottom w:w="80" w:type="dxa"/>
              <w:end w:w="90" w:type="dxa"/>
            </w:tcMar>
          </w:tcPr>
          <w:p>
            <w:pPr>
              <w:spacing w:after="0" w:before="0" w:line="240" w:lineRule="auto"/>
            </w:pPr>
            <w:r/>
            <w:r>
              <w:rPr>
                <w:rFonts w:ascii="Aptos" w:hAnsi="Aptos"/>
                <w:b w:val="0"/>
                <w:color w:val="222222"/>
                <w:sz w:val="17"/>
              </w:rPr>
              <w:t>SCSS</w:t>
            </w:r>
          </w:p>
        </w:tc>
        <w:tc>
          <w:tcPr>
            <w:tcW w:type="dxa" w:w="6912"/>
            <w:vAlign w:val="center"/>
            <w:tcMar>
              <w:top w:w="80" w:type="dxa"/>
              <w:start w:w="90" w:type="dxa"/>
              <w:bottom w:w="80" w:type="dxa"/>
              <w:end w:w="90" w:type="dxa"/>
            </w:tcMar>
          </w:tcPr>
          <w:p>
            <w:pPr>
              <w:spacing w:after="0" w:before="0" w:line="240" w:lineRule="auto"/>
            </w:pPr>
            <w:r/>
            <w:r>
              <w:rPr>
                <w:rFonts w:ascii="Aptos" w:hAnsi="Aptos"/>
                <w:b w:val="0"/>
                <w:color w:val="222222"/>
                <w:sz w:val="17"/>
              </w:rPr>
              <w:t>Eligibility warning, rate/tenure, income focus, liquidity.</w:t>
            </w:r>
          </w:p>
        </w:tc>
      </w:tr>
      <w:tr>
        <w:tc>
          <w:tcPr>
            <w:tcW w:type="dxa" w:w="345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Sukanya Samriddhi</w:t>
            </w:r>
          </w:p>
        </w:tc>
        <w:tc>
          <w:tcPr>
            <w:tcW w:type="dxa" w:w="691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Eligibility/goal-specific use, tenure, configurable rate/tax assumptions.</w:t>
            </w:r>
          </w:p>
        </w:tc>
      </w:tr>
      <w:tr>
        <w:tc>
          <w:tcPr>
            <w:tcW w:type="dxa" w:w="3456"/>
            <w:vAlign w:val="center"/>
            <w:tcMar>
              <w:top w:w="80" w:type="dxa"/>
              <w:start w:w="90" w:type="dxa"/>
              <w:bottom w:w="80" w:type="dxa"/>
              <w:end w:w="90" w:type="dxa"/>
            </w:tcMar>
          </w:tcPr>
          <w:p>
            <w:pPr>
              <w:spacing w:after="0" w:before="0" w:line="240" w:lineRule="auto"/>
            </w:pPr>
            <w:r/>
            <w:r>
              <w:rPr>
                <w:rFonts w:ascii="Aptos" w:hAnsi="Aptos"/>
                <w:b w:val="0"/>
                <w:color w:val="222222"/>
                <w:sz w:val="17"/>
              </w:rPr>
              <w:t>Post Office TD / MIS</w:t>
            </w:r>
          </w:p>
        </w:tc>
        <w:tc>
          <w:tcPr>
            <w:tcW w:type="dxa" w:w="6912"/>
            <w:vAlign w:val="center"/>
            <w:tcMar>
              <w:top w:w="80" w:type="dxa"/>
              <w:start w:w="90" w:type="dxa"/>
              <w:bottom w:w="80" w:type="dxa"/>
              <w:end w:w="90" w:type="dxa"/>
            </w:tcMar>
          </w:tcPr>
          <w:p>
            <w:pPr>
              <w:spacing w:after="0" w:before="0" w:line="240" w:lineRule="auto"/>
            </w:pPr>
            <w:r/>
            <w:r>
              <w:rPr>
                <w:rFonts w:ascii="Aptos" w:hAnsi="Aptos"/>
                <w:b w:val="0"/>
                <w:color w:val="222222"/>
                <w:sz w:val="17"/>
              </w:rPr>
              <w:t>Rate/tenure/income/liquidity fit.</w:t>
            </w:r>
          </w:p>
        </w:tc>
      </w:tr>
      <w:tr>
        <w:tc>
          <w:tcPr>
            <w:tcW w:type="dxa" w:w="345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NPS</w:t>
            </w:r>
          </w:p>
        </w:tc>
        <w:tc>
          <w:tcPr>
            <w:tcW w:type="dxa" w:w="691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Retirement horizon, asset allocation/risk, liquidity/exit constraints, tax assumptions, contribution mode.</w:t>
            </w:r>
          </w:p>
        </w:tc>
      </w:tr>
      <w:tr>
        <w:tc>
          <w:tcPr>
            <w:tcW w:type="dxa" w:w="3456"/>
            <w:vAlign w:val="center"/>
            <w:tcMar>
              <w:top w:w="80" w:type="dxa"/>
              <w:start w:w="90" w:type="dxa"/>
              <w:bottom w:w="80" w:type="dxa"/>
              <w:end w:w="90" w:type="dxa"/>
            </w:tcMar>
          </w:tcPr>
          <w:p>
            <w:pPr>
              <w:spacing w:after="0" w:before="0" w:line="240" w:lineRule="auto"/>
            </w:pPr>
            <w:r/>
            <w:r>
              <w:rPr>
                <w:rFonts w:ascii="Aptos" w:hAnsi="Aptos"/>
                <w:b w:val="0"/>
                <w:color w:val="222222"/>
                <w:sz w:val="17"/>
              </w:rPr>
              <w:t>Sovereign Gold instruments - secondary market where available</w:t>
            </w:r>
          </w:p>
        </w:tc>
        <w:tc>
          <w:tcPr>
            <w:tcW w:type="dxa" w:w="6912"/>
            <w:vAlign w:val="center"/>
            <w:tcMar>
              <w:top w:w="80" w:type="dxa"/>
              <w:start w:w="90" w:type="dxa"/>
              <w:bottom w:w="80" w:type="dxa"/>
              <w:end w:w="90" w:type="dxa"/>
            </w:tcMar>
          </w:tcPr>
          <w:p>
            <w:pPr>
              <w:spacing w:after="0" w:before="0" w:line="240" w:lineRule="auto"/>
            </w:pPr>
            <w:r/>
            <w:r>
              <w:rPr>
                <w:rFonts w:ascii="Aptos" w:hAnsi="Aptos"/>
                <w:b w:val="0"/>
                <w:color w:val="222222"/>
                <w:sz w:val="17"/>
              </w:rPr>
              <w:t>Market price/yield/liquidity/maturity/Gold linkage; do not assume new primary issuance.</w:t>
            </w:r>
          </w:p>
        </w:tc>
      </w:tr>
      <w:tr>
        <w:tc>
          <w:tcPr>
            <w:tcW w:type="dxa" w:w="345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Cash / liquid reserve</w:t>
            </w:r>
          </w:p>
        </w:tc>
        <w:tc>
          <w:tcPr>
            <w:tcW w:type="dxa" w:w="691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Explicit allocation with reason and redeployment trigger.</w:t>
            </w:r>
          </w:p>
        </w:tc>
      </w:tr>
    </w:tbl>
    <w:p>
      <w:pPr>
        <w:spacing w:after="0"/>
      </w:pPr>
    </w:p>
    <w:tbl>
      <w:tblPr>
        <w:tblW w:type="auto" w:w="0"/>
        <w:jc w:val="center"/>
        <w:tblLook w:firstColumn="1" w:firstRow="1" w:lastColumn="0" w:lastRow="0" w:noHBand="0" w:noVBand="1" w:val="04A0"/>
      </w:tblPr>
      <w:tblGrid>
        <w:gridCol w:w="10224"/>
      </w:tblGrid>
      <w:tr>
        <w:tc>
          <w:tcPr>
            <w:tcW w:type="dxa" w:w="10224"/>
            <w:shd w:fill="FFF6D6"/>
            <w:tcMar>
              <w:top w:w="130" w:type="dxa"/>
              <w:start w:w="140" w:type="dxa"/>
              <w:bottom w:w="130" w:type="dxa"/>
              <w:end w:w="140" w:type="dxa"/>
            </w:tcMar>
          </w:tcPr>
          <w:p>
            <w:pPr>
              <w:spacing w:after="60"/>
            </w:pPr>
            <w:r>
              <w:rPr>
                <w:rFonts w:ascii="Aptos" w:hAnsi="Aptos"/>
                <w:b/>
                <w:color w:val="1B2A4A"/>
                <w:sz w:val="19"/>
              </w:rPr>
              <w:t>RATE POLICY</w:t>
            </w:r>
          </w:p>
          <w:p>
            <w:pPr>
              <w:spacing w:after="0"/>
            </w:pPr>
            <w:r>
              <w:rPr>
                <w:rFonts w:ascii="Aptos" w:hAnsi="Aptos"/>
                <w:color w:val="222222"/>
                <w:sz w:val="18"/>
              </w:rPr>
              <w:t>Government scheme, FD and other administered rates must be editable/configurable or refreshed from trusted sources. The system must show “rate last updated” and must not permanently hard-code a rate as if it cannot change.</w:t>
            </w:r>
          </w:p>
        </w:tc>
      </w:tr>
    </w:tbl>
    <w:p>
      <w:pPr>
        <w:pStyle w:val="Heading1"/>
        <w:spacing w:before="200" w:after="100"/>
      </w:pPr>
      <w:r>
        <w:rPr>
          <w:rFonts w:ascii="Aptos" w:hAnsi="Aptos"/>
          <w:b/>
          <w:color w:val="1B2A4A"/>
          <w:sz w:val="34"/>
        </w:rPr>
        <w:t>16. International, Real Estate, PMS/AIF and Custom Investments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IIR-OTH-001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International funds/ETFs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Track/rank when reliable data is available; include currency/global-market context and product availability constraints.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IIR-OTH-002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Real estate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Manual property entry and scenario/goal/return tracking; no fabricated live valuation or BUY signal without reliable data.</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IIR-OTH-003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PMS / AIF</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Manual/custom tracking plus documents/fees/return inputs; do not invent comparable real-time scores when data is insufficient.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IIR-OTH-004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Other/custom</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Allow manual asset type, invested amount, date, value, notes and optional expected-return assumptions.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IIR-OTH-005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Fit scoring</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Other Investments / Goal Fit screen compares duration, lock-in, liquidity, risk, tax assumptions and expected-return assumptions.</w:t>
            </w:r>
          </w:p>
        </w:tc>
      </w:tr>
    </w:tbl>
    <w:p>
      <w:pPr>
        <w:spacing w:after="0"/>
      </w:pPr>
    </w:p>
    <w:p>
      <w:pPr>
        <w:pStyle w:val="Heading1"/>
        <w:spacing w:before="200" w:after="100"/>
      </w:pPr>
      <w:r>
        <w:rPr>
          <w:rFonts w:ascii="Aptos" w:hAnsi="Aptos"/>
          <w:b/>
          <w:color w:val="1B2A4A"/>
          <w:sz w:val="34"/>
        </w:rPr>
        <w:t>17. Money &amp; Duration Optimizer - “Best Use of My Money”</w:t>
      </w:r>
    </w:p>
    <w:tbl>
      <w:tblPr>
        <w:tblW w:type="auto" w:w="0"/>
        <w:jc w:val="center"/>
        <w:tblLook w:firstColumn="1" w:firstRow="1" w:lastColumn="0" w:lastRow="0" w:noHBand="0" w:noVBand="1" w:val="04A0"/>
      </w:tblPr>
      <w:tblGrid>
        <w:gridCol w:w="10224"/>
      </w:tblGrid>
      <w:tr>
        <w:tc>
          <w:tcPr>
            <w:tcW w:type="dxa" w:w="10224"/>
            <w:shd w:fill="EAF5EC"/>
            <w:tcMar>
              <w:top w:w="130" w:type="dxa"/>
              <w:start w:w="140" w:type="dxa"/>
              <w:bottom w:w="130" w:type="dxa"/>
              <w:end w:w="140" w:type="dxa"/>
            </w:tcMar>
          </w:tcPr>
          <w:p>
            <w:pPr>
              <w:spacing w:after="60"/>
            </w:pPr>
            <w:r>
              <w:rPr>
                <w:rFonts w:ascii="Aptos" w:hAnsi="Aptos"/>
                <w:b/>
                <w:color w:val="1B2A4A"/>
                <w:sz w:val="19"/>
              </w:rPr>
              <w:t>ADDITIONAL LAYER - DO NOT REPLACE OLD RADAR</w:t>
            </w:r>
          </w:p>
          <w:p>
            <w:pPr>
              <w:spacing w:after="0"/>
            </w:pPr>
            <w:r>
              <w:rPr>
                <w:rFonts w:ascii="Aptos" w:hAnsi="Aptos"/>
                <w:color w:val="222222"/>
                <w:sz w:val="18"/>
              </w:rPr>
              <w:t>This is the new cross-asset decision layer. The existing per-asset recommendation system remains intact.</w:t>
            </w:r>
          </w:p>
        </w:tc>
      </w:tr>
    </w:tbl>
    <w:p>
      <w:pPr>
        <w:pStyle w:val="Heading2"/>
        <w:spacing w:before="120" w:after="100"/>
      </w:pPr>
      <w:r>
        <w:rPr>
          <w:rFonts w:ascii="Aptos" w:hAnsi="Aptos"/>
          <w:b/>
          <w:color w:val="1B2A4A"/>
          <w:sz w:val="26"/>
        </w:rPr>
        <w:t>17.1 Default Inputs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Field</w:t>
            </w:r>
          </w:p>
        </w:tc>
        <w:tc>
          <w:tcPr>
            <w:tcW w:type="dxa" w:w="3456"/>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Default / Options</w:t>
            </w:r>
          </w:p>
        </w:tc>
        <w:tc>
          <w:tcPr>
            <w:tcW w:type="dxa" w:w="460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Required behavior</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6"/>
              </w:rPr>
              <w:t>Amount</w:t>
            </w:r>
          </w:p>
        </w:tc>
        <w:tc>
          <w:tcPr>
            <w:tcW w:type="dxa" w:w="3456"/>
            <w:vAlign w:val="center"/>
            <w:tcMar>
              <w:top w:w="80" w:type="dxa"/>
              <w:start w:w="90" w:type="dxa"/>
              <w:bottom w:w="80" w:type="dxa"/>
              <w:end w:w="90" w:type="dxa"/>
            </w:tcMar>
          </w:tcPr>
          <w:p>
            <w:pPr>
              <w:spacing w:after="0" w:before="0" w:line="240" w:lineRule="auto"/>
            </w:pPr>
            <w:r/>
            <w:r>
              <w:rPr>
                <w:rFonts w:ascii="Aptos" w:hAnsi="Aptos"/>
                <w:b w:val="0"/>
                <w:color w:val="222222"/>
                <w:sz w:val="16"/>
              </w:rPr>
              <w:t>Any ₹ amount</w:t>
            </w:r>
          </w:p>
        </w:tc>
        <w:tc>
          <w:tcPr>
            <w:tcW w:type="dxa" w:w="4608"/>
            <w:vAlign w:val="center"/>
            <w:tcMar>
              <w:top w:w="80" w:type="dxa"/>
              <w:start w:w="90" w:type="dxa"/>
              <w:bottom w:w="80" w:type="dxa"/>
              <w:end w:w="90" w:type="dxa"/>
            </w:tcMar>
          </w:tcPr>
          <w:p>
            <w:pPr>
              <w:spacing w:after="0" w:before="0" w:line="240" w:lineRule="auto"/>
            </w:pPr>
            <w:r/>
            <w:r>
              <w:rPr>
                <w:rFonts w:ascii="Aptos" w:hAnsi="Aptos"/>
                <w:b w:val="0"/>
                <w:color w:val="222222"/>
                <w:sz w:val="16"/>
              </w:rPr>
              <w:t>Required; supports presets and manual input.</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Mode</w:t>
            </w:r>
          </w:p>
        </w:tc>
        <w:tc>
          <w:tcPr>
            <w:tcW w:type="dxa" w:w="345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One-time / Monthly</w:t>
            </w:r>
          </w:p>
        </w:tc>
        <w:tc>
          <w:tcPr>
            <w:tcW w:type="dxa" w:w="460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Required; changes allocation logic.</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6"/>
              </w:rPr>
              <w:t>Duration</w:t>
            </w:r>
          </w:p>
        </w:tc>
        <w:tc>
          <w:tcPr>
            <w:tcW w:type="dxa" w:w="3456"/>
            <w:vAlign w:val="center"/>
            <w:tcMar>
              <w:top w:w="80" w:type="dxa"/>
              <w:start w:w="90" w:type="dxa"/>
              <w:bottom w:w="80" w:type="dxa"/>
              <w:end w:w="90" w:type="dxa"/>
            </w:tcMar>
          </w:tcPr>
          <w:p>
            <w:pPr>
              <w:spacing w:after="0" w:before="0" w:line="240" w:lineRule="auto"/>
            </w:pPr>
            <w:r/>
            <w:r>
              <w:rPr>
                <w:rFonts w:ascii="Aptos" w:hAnsi="Aptos"/>
                <w:b w:val="0"/>
                <w:color w:val="222222"/>
                <w:sz w:val="16"/>
              </w:rPr>
              <w:t>7d, 15d, 1m, 45d, 3m, 6m, 9m, 1y, 2y, 3y, 5y, 10y+, custom</w:t>
            </w:r>
          </w:p>
        </w:tc>
        <w:tc>
          <w:tcPr>
            <w:tcW w:type="dxa" w:w="4608"/>
            <w:vAlign w:val="center"/>
            <w:tcMar>
              <w:top w:w="80" w:type="dxa"/>
              <w:start w:w="90" w:type="dxa"/>
              <w:bottom w:w="80" w:type="dxa"/>
              <w:end w:w="90" w:type="dxa"/>
            </w:tcMar>
          </w:tcPr>
          <w:p>
            <w:pPr>
              <w:spacing w:after="0" w:before="0" w:line="240" w:lineRule="auto"/>
            </w:pPr>
            <w:r/>
            <w:r>
              <w:rPr>
                <w:rFonts w:ascii="Aptos" w:hAnsi="Aptos"/>
                <w:b w:val="0"/>
                <w:color w:val="222222"/>
                <w:sz w:val="16"/>
              </w:rPr>
              <w:t>Required unless exact required date supplied.</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Required date</w:t>
            </w:r>
          </w:p>
        </w:tc>
        <w:tc>
          <w:tcPr>
            <w:tcW w:type="dxa" w:w="345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Exact date</w:t>
            </w:r>
          </w:p>
        </w:tc>
        <w:tc>
          <w:tcPr>
            <w:tcW w:type="dxa" w:w="460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Optional; if entered, exact remaining horizon drives eligibility.</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6"/>
              </w:rPr>
              <w:t>Risk</w:t>
            </w:r>
          </w:p>
        </w:tc>
        <w:tc>
          <w:tcPr>
            <w:tcW w:type="dxa" w:w="3456"/>
            <w:vAlign w:val="center"/>
            <w:tcMar>
              <w:top w:w="80" w:type="dxa"/>
              <w:start w:w="90" w:type="dxa"/>
              <w:bottom w:w="80" w:type="dxa"/>
              <w:end w:w="90" w:type="dxa"/>
            </w:tcMar>
          </w:tcPr>
          <w:p>
            <w:pPr>
              <w:spacing w:after="0" w:before="0" w:line="240" w:lineRule="auto"/>
            </w:pPr>
            <w:r/>
            <w:r>
              <w:rPr>
                <w:rFonts w:ascii="Aptos" w:hAnsi="Aptos"/>
                <w:b w:val="0"/>
                <w:color w:val="222222"/>
                <w:sz w:val="16"/>
              </w:rPr>
              <w:t>AUTO / Low / Moderate / High</w:t>
            </w:r>
          </w:p>
        </w:tc>
        <w:tc>
          <w:tcPr>
            <w:tcW w:type="dxa" w:w="4608"/>
            <w:vAlign w:val="center"/>
            <w:tcMar>
              <w:top w:w="80" w:type="dxa"/>
              <w:start w:w="90" w:type="dxa"/>
              <w:bottom w:w="80" w:type="dxa"/>
              <w:end w:w="90" w:type="dxa"/>
            </w:tcMar>
          </w:tcPr>
          <w:p>
            <w:pPr>
              <w:spacing w:after="0" w:before="0" w:line="240" w:lineRule="auto"/>
            </w:pPr>
            <w:r/>
            <w:r>
              <w:rPr>
                <w:rFonts w:ascii="Aptos" w:hAnsi="Aptos"/>
                <w:b w:val="0"/>
                <w:color w:val="222222"/>
                <w:sz w:val="16"/>
              </w:rPr>
              <w:t>AUTO default.</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Liquidity need</w:t>
            </w:r>
          </w:p>
        </w:tc>
        <w:tc>
          <w:tcPr>
            <w:tcW w:type="dxa" w:w="345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Auto / Need anytime / Can lock</w:t>
            </w:r>
          </w:p>
        </w:tc>
        <w:tc>
          <w:tcPr>
            <w:tcW w:type="dxa" w:w="460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Advanced optional.</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6"/>
              </w:rPr>
              <w:t>Goal</w:t>
            </w:r>
          </w:p>
        </w:tc>
        <w:tc>
          <w:tcPr>
            <w:tcW w:type="dxa" w:w="3456"/>
            <w:vAlign w:val="center"/>
            <w:tcMar>
              <w:top w:w="80" w:type="dxa"/>
              <w:start w:w="90" w:type="dxa"/>
              <w:bottom w:w="80" w:type="dxa"/>
              <w:end w:w="90" w:type="dxa"/>
            </w:tcMar>
          </w:tcPr>
          <w:p>
            <w:pPr>
              <w:spacing w:after="0" w:before="0" w:line="240" w:lineRule="auto"/>
            </w:pPr>
            <w:r/>
            <w:r>
              <w:rPr>
                <w:rFonts w:ascii="Aptos" w:hAnsi="Aptos"/>
                <w:b w:val="0"/>
                <w:color w:val="222222"/>
                <w:sz w:val="16"/>
              </w:rPr>
              <w:t>Optional</w:t>
            </w:r>
          </w:p>
        </w:tc>
        <w:tc>
          <w:tcPr>
            <w:tcW w:type="dxa" w:w="4608"/>
            <w:vAlign w:val="center"/>
            <w:tcMar>
              <w:top w:w="80" w:type="dxa"/>
              <w:start w:w="90" w:type="dxa"/>
              <w:bottom w:w="80" w:type="dxa"/>
              <w:end w:w="90" w:type="dxa"/>
            </w:tcMar>
          </w:tcPr>
          <w:p>
            <w:pPr>
              <w:spacing w:after="0" w:before="0" w:line="240" w:lineRule="auto"/>
            </w:pPr>
            <w:r/>
            <w:r>
              <w:rPr>
                <w:rFonts w:ascii="Aptos" w:hAnsi="Aptos"/>
                <w:b w:val="0"/>
                <w:color w:val="222222"/>
                <w:sz w:val="16"/>
              </w:rPr>
              <w:t>Advanced optional.</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Target return</w:t>
            </w:r>
          </w:p>
        </w:tc>
        <w:tc>
          <w:tcPr>
            <w:tcW w:type="dxa" w:w="345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Optional</w:t>
            </w:r>
          </w:p>
        </w:tc>
        <w:tc>
          <w:tcPr>
            <w:tcW w:type="dxa" w:w="460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Used to test realism; not a guarantee input.</w:t>
            </w:r>
          </w:p>
        </w:tc>
      </w:tr>
    </w:tbl>
    <w:p>
      <w:pPr>
        <w:spacing w:after="0"/>
      </w:pPr>
    </w:p>
    <w:p>
      <w:pPr>
        <w:pStyle w:val="Heading2"/>
        <w:spacing w:before="120" w:after="100"/>
      </w:pPr>
      <w:r>
        <w:rPr>
          <w:rFonts w:ascii="Aptos" w:hAnsi="Aptos"/>
          <w:b/>
          <w:color w:val="1B2A4A"/>
          <w:sz w:val="26"/>
        </w:rPr>
        <w:t>17.2 Optimizer Decision Process</w:t>
      </w:r>
    </w:p>
    <w:p>
      <w:pPr>
        <w:spacing w:after="40"/>
        <w:ind w:left="0"/>
      </w:pPr>
      <w:r>
        <w:rPr>
          <w:rFonts w:ascii="Aptos" w:hAnsi="Aptos"/>
          <w:color w:val="222222"/>
          <w:sz w:val="19"/>
        </w:rPr>
        <w:t>1.   Calculate exact usable horizon from duration/required date.</w:t>
      </w:r>
    </w:p>
    <w:p>
      <w:pPr>
        <w:spacing w:after="40"/>
        <w:ind w:left="0"/>
      </w:pPr>
      <w:r>
        <w:rPr>
          <w:rFonts w:ascii="Aptos" w:hAnsi="Aptos"/>
          <w:color w:val="222222"/>
          <w:sz w:val="19"/>
        </w:rPr>
        <w:t>2.   Determine AUTO risk from horizon, liquidity requirement, essential/surplus flag and existing portfolio unless user overrides.</w:t>
      </w:r>
    </w:p>
    <w:p>
      <w:pPr>
        <w:spacing w:after="40"/>
        <w:ind w:left="0"/>
      </w:pPr>
      <w:r>
        <w:rPr>
          <w:rFonts w:ascii="Aptos" w:hAnsi="Aptos"/>
          <w:color w:val="222222"/>
          <w:sz w:val="19"/>
        </w:rPr>
        <w:t>3.   Filter out products whose lock-in/maturity/liquidity is incompatible.</w:t>
      </w:r>
    </w:p>
    <w:p>
      <w:pPr>
        <w:spacing w:after="40"/>
        <w:ind w:left="0"/>
      </w:pPr>
      <w:r>
        <w:rPr>
          <w:rFonts w:ascii="Aptos" w:hAnsi="Aptos"/>
          <w:color w:val="222222"/>
          <w:sz w:val="19"/>
        </w:rPr>
        <w:t>4.   Load current per-asset recommendations and data-health status.</w:t>
      </w:r>
    </w:p>
    <w:p>
      <w:pPr>
        <w:spacing w:after="40"/>
        <w:ind w:left="0"/>
      </w:pPr>
      <w:r>
        <w:rPr>
          <w:rFonts w:ascii="Aptos" w:hAnsi="Aptos"/>
          <w:color w:val="222222"/>
          <w:sz w:val="19"/>
        </w:rPr>
        <w:t>5.   Estimate downside/base/upside scenarios on a comparable horizon where possible.</w:t>
      </w:r>
    </w:p>
    <w:p>
      <w:pPr>
        <w:spacing w:after="40"/>
        <w:ind w:left="0"/>
      </w:pPr>
      <w:r>
        <w:rPr>
          <w:rFonts w:ascii="Aptos" w:hAnsi="Aptos"/>
          <w:color w:val="222222"/>
          <w:sz w:val="19"/>
        </w:rPr>
        <w:t>6.   Adjust for current market regime, macro/event risks and asset valuation/timing state.</w:t>
      </w:r>
    </w:p>
    <w:p>
      <w:pPr>
        <w:spacing w:after="40"/>
        <w:ind w:left="0"/>
      </w:pPr>
      <w:r>
        <w:rPr>
          <w:rFonts w:ascii="Aptos" w:hAnsi="Aptos"/>
          <w:color w:val="222222"/>
          <w:sz w:val="19"/>
        </w:rPr>
        <w:t>7.   Adjust for existing portfolio concentration and cross-asset diversification/correlation.</w:t>
      </w:r>
    </w:p>
    <w:p>
      <w:pPr>
        <w:spacing w:after="40"/>
        <w:ind w:left="0"/>
      </w:pPr>
      <w:r>
        <w:rPr>
          <w:rFonts w:ascii="Aptos" w:hAnsi="Aptos"/>
          <w:color w:val="222222"/>
          <w:sz w:val="19"/>
        </w:rPr>
        <w:t>8.   Apply tax/inflation/cost assumptions where relevant and available.</w:t>
      </w:r>
    </w:p>
    <w:p>
      <w:pPr>
        <w:spacing w:after="40"/>
        <w:ind w:left="0"/>
      </w:pPr>
      <w:r>
        <w:rPr>
          <w:rFonts w:ascii="Aptos" w:hAnsi="Aptos"/>
          <w:color w:val="222222"/>
          <w:sz w:val="19"/>
        </w:rPr>
        <w:t>9.   Calculate risk-adjusted fit and opportunity cost across eligible options.</w:t>
      </w:r>
    </w:p>
    <w:p>
      <w:pPr>
        <w:spacing w:after="40"/>
        <w:ind w:left="0"/>
      </w:pPr>
      <w:r>
        <w:rPr>
          <w:rFonts w:ascii="Aptos" w:hAnsi="Aptos"/>
          <w:color w:val="222222"/>
          <w:sz w:val="19"/>
        </w:rPr>
        <w:t>10.   Choose INVEST NOW / WAIT / BUY ON DIP / STAGGER / SIP / KEEP RESERVE for each allocation.</w:t>
      </w:r>
    </w:p>
    <w:p>
      <w:pPr>
        <w:spacing w:after="40"/>
        <w:ind w:left="0"/>
      </w:pPr>
      <w:r>
        <w:rPr>
          <w:rFonts w:ascii="Aptos" w:hAnsi="Aptos"/>
          <w:color w:val="222222"/>
          <w:sz w:val="19"/>
        </w:rPr>
        <w:t>11.   Return recommended rupee allocation plus reasons for selected and rejected alternatives.</w:t>
      </w:r>
    </w:p>
    <w:p>
      <w:pPr>
        <w:spacing w:after="40"/>
        <w:ind w:left="0"/>
      </w:pPr>
      <w:r>
        <w:rPr>
          <w:rFonts w:ascii="Aptos" w:hAnsi="Aptos"/>
          <w:color w:val="222222"/>
          <w:sz w:val="19"/>
        </w:rPr>
        <w:t>12.   Create a trackable plan with next review date and trigger conditions.</w:t>
      </w:r>
    </w:p>
    <w:p>
      <w:pPr>
        <w:pStyle w:val="Heading2"/>
        <w:spacing w:before="120" w:after="100"/>
      </w:pPr>
      <w:r>
        <w:rPr>
          <w:rFonts w:ascii="Aptos" w:hAnsi="Aptos"/>
          <w:b/>
          <w:color w:val="1B2A4A"/>
          <w:sz w:val="26"/>
        </w:rPr>
        <w:t>17.3 Optimizer Output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Output block</w:t>
            </w:r>
          </w:p>
        </w:tc>
        <w:tc>
          <w:tcPr>
            <w:tcW w:type="dxa" w:w="7776"/>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Mandatory content</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7"/>
              </w:rPr>
              <w:t>Plan summary</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7"/>
              </w:rPr>
              <w:t>Amount, duration/required date, risk, mode.</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Allocation</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Exact ₹ and % per selected asset/product plus reserve.</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7"/>
              </w:rPr>
              <w:t>Timing plan</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7"/>
              </w:rPr>
              <w:t>Today amount, later/dip amount, monthly amount, reserve amount.</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Expected scenarios</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Portfolio downside/base/upside in ₹ and %, plus confidence.</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7"/>
              </w:rPr>
              <w:t>Why this plan</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7"/>
              </w:rPr>
              <w:t>Main allocation logic.</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Why not others</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Rejected/inferior options and specific reason.</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7"/>
              </w:rPr>
              <w:t>Opportunity cost</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7"/>
              </w:rPr>
              <w:t>Where another option is acceptable but inferior for the user’s exact horizon/risk.</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Next review</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Date or trigger.</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7"/>
              </w:rPr>
              <w:t>Track</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7"/>
              </w:rPr>
              <w:t>Save plan and monitor execution/outcome.</w:t>
            </w:r>
          </w:p>
        </w:tc>
      </w:tr>
    </w:tbl>
    <w:p>
      <w:pPr>
        <w:spacing w:after="0"/>
      </w:pPr>
    </w:p>
    <w:p>
      <w:pPr>
        <w:pStyle w:val="Heading2"/>
        <w:spacing w:before="120" w:after="100"/>
      </w:pPr>
      <w:r>
        <w:rPr>
          <w:rFonts w:ascii="Aptos" w:hAnsi="Aptos"/>
          <w:b/>
          <w:color w:val="1B2A4A"/>
          <w:sz w:val="26"/>
        </w:rPr>
        <w:t>17.4 Target Return Mode</w:t>
      </w:r>
    </w:p>
    <w:p>
      <w:pPr>
        <w:pStyle w:val="ListBullet"/>
        <w:spacing w:after="40"/>
        <w:ind w:left="0"/>
      </w:pPr>
      <w:r>
        <w:rPr>
          <w:rFonts w:ascii="Aptos" w:hAnsi="Aptos"/>
          <w:color w:val="222222"/>
          <w:sz w:val="19"/>
        </w:rPr>
        <w:t>User may enter amount + desired ₹/% gain.</w:t>
      </w:r>
    </w:p>
    <w:p>
      <w:pPr>
        <w:pStyle w:val="ListBullet"/>
        <w:spacing w:after="40"/>
        <w:ind w:left="0"/>
      </w:pPr>
      <w:r>
        <w:rPr>
          <w:rFonts w:ascii="Aptos" w:hAnsi="Aptos"/>
          <w:color w:val="222222"/>
          <w:sz w:val="19"/>
        </w:rPr>
        <w:t>System estimates whether target is realistic for selected risk and available horizon.</w:t>
      </w:r>
    </w:p>
    <w:p>
      <w:pPr>
        <w:pStyle w:val="ListBullet"/>
        <w:spacing w:after="40"/>
        <w:ind w:left="0"/>
      </w:pPr>
      <w:r>
        <w:rPr>
          <w:rFonts w:ascii="Aptos" w:hAnsi="Aptos"/>
          <w:color w:val="222222"/>
          <w:sz w:val="19"/>
        </w:rPr>
        <w:t>If unrealistic, show required risk/horizon range instead of pretending it can be achieved.</w:t>
      </w:r>
    </w:p>
    <w:p>
      <w:pPr>
        <w:pStyle w:val="ListBullet"/>
        <w:spacing w:after="40"/>
        <w:ind w:left="0"/>
      </w:pPr>
      <w:r>
        <w:rPr>
          <w:rFonts w:ascii="Aptos" w:hAnsi="Aptos"/>
          <w:color w:val="222222"/>
          <w:sz w:val="19"/>
        </w:rPr>
        <w:t>Show candidate product mixes only when evidence supports them.</w:t>
      </w:r>
    </w:p>
    <w:p>
      <w:pPr>
        <w:pStyle w:val="ListBullet"/>
        <w:spacing w:after="40"/>
        <w:ind w:left="0"/>
      </w:pPr>
      <w:r>
        <w:rPr>
          <w:rFonts w:ascii="Aptos" w:hAnsi="Aptos"/>
          <w:color w:val="222222"/>
          <w:sz w:val="19"/>
        </w:rPr>
        <w:t>Never output “exact guaranteed return”.</w:t>
      </w:r>
    </w:p>
    <w:p>
      <w:pPr>
        <w:pStyle w:val="Heading1"/>
        <w:spacing w:before="200" w:after="100"/>
      </w:pPr>
      <w:r>
        <w:rPr>
          <w:rFonts w:ascii="Aptos" w:hAnsi="Aptos"/>
          <w:b/>
          <w:color w:val="1B2A4A"/>
          <w:sz w:val="34"/>
        </w:rPr>
        <w:t>18. Segment-Specific Optimizer and “Go Deeper”</w:t>
      </w:r>
    </w:p>
    <w:p>
      <w:pPr>
        <w:pStyle w:val="Heading2"/>
        <w:spacing w:before="120" w:after="100"/>
      </w:pPr>
      <w:r>
        <w:rPr>
          <w:rFonts w:ascii="Aptos" w:hAnsi="Aptos"/>
          <w:b/>
          <w:color w:val="1B2A4A"/>
          <w:sz w:val="26"/>
        </w:rPr>
        <w:t>18.1 Progressive Hierarchy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Level</w:t>
            </w:r>
          </w:p>
        </w:tc>
        <w:tc>
          <w:tcPr>
            <w:tcW w:type="dxa" w:w="9216"/>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Decision</w:t>
            </w:r>
          </w:p>
        </w:tc>
      </w:tr>
      <w:tr>
        <w:tc>
          <w:tcPr>
            <w:tcW w:type="dxa" w:w="1152"/>
            <w:vAlign w:val="center"/>
            <w:tcMar>
              <w:top w:w="80" w:type="dxa"/>
              <w:start w:w="90" w:type="dxa"/>
              <w:bottom w:w="80" w:type="dxa"/>
              <w:end w:w="90" w:type="dxa"/>
            </w:tcMar>
          </w:tcPr>
          <w:p>
            <w:pPr>
              <w:spacing w:after="0" w:before="0" w:line="240" w:lineRule="auto"/>
            </w:pPr>
            <w:r/>
            <w:r>
              <w:rPr>
                <w:rFonts w:ascii="Aptos" w:hAnsi="Aptos"/>
                <w:b w:val="0"/>
                <w:color w:val="222222"/>
                <w:sz w:val="18"/>
              </w:rPr>
              <w:t>1</w:t>
            </w:r>
          </w:p>
        </w:tc>
        <w:tc>
          <w:tcPr>
            <w:tcW w:type="dxa" w:w="9216"/>
            <w:vAlign w:val="center"/>
            <w:tcMar>
              <w:top w:w="80" w:type="dxa"/>
              <w:start w:w="90" w:type="dxa"/>
              <w:bottom w:w="80" w:type="dxa"/>
              <w:end w:w="90" w:type="dxa"/>
            </w:tcMar>
          </w:tcPr>
          <w:p>
            <w:pPr>
              <w:spacing w:after="0" w:before="0" w:line="240" w:lineRule="auto"/>
            </w:pPr>
            <w:r/>
            <w:r>
              <w:rPr>
                <w:rFonts w:ascii="Aptos" w:hAnsi="Aptos"/>
                <w:b w:val="0"/>
                <w:color w:val="222222"/>
                <w:sz w:val="18"/>
              </w:rPr>
              <w:t>Amount + Duration + Risk</w:t>
            </w:r>
          </w:p>
        </w:tc>
      </w:tr>
      <w:tr>
        <w:tc>
          <w:tcPr>
            <w:tcW w:type="dxa" w:w="11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2</w:t>
            </w:r>
          </w:p>
        </w:tc>
        <w:tc>
          <w:tcPr>
            <w:tcW w:type="dxa" w:w="92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ALL INVESTMENTS or specific asset class</w:t>
            </w:r>
          </w:p>
        </w:tc>
      </w:tr>
      <w:tr>
        <w:tc>
          <w:tcPr>
            <w:tcW w:type="dxa" w:w="1152"/>
            <w:vAlign w:val="center"/>
            <w:tcMar>
              <w:top w:w="80" w:type="dxa"/>
              <w:start w:w="90" w:type="dxa"/>
              <w:bottom w:w="80" w:type="dxa"/>
              <w:end w:w="90" w:type="dxa"/>
            </w:tcMar>
          </w:tcPr>
          <w:p>
            <w:pPr>
              <w:spacing w:after="0" w:before="0" w:line="240" w:lineRule="auto"/>
            </w:pPr>
            <w:r/>
            <w:r>
              <w:rPr>
                <w:rFonts w:ascii="Aptos" w:hAnsi="Aptos"/>
                <w:b w:val="0"/>
                <w:color w:val="222222"/>
                <w:sz w:val="18"/>
              </w:rPr>
              <w:t>3</w:t>
            </w:r>
          </w:p>
        </w:tc>
        <w:tc>
          <w:tcPr>
            <w:tcW w:type="dxa" w:w="9216"/>
            <w:vAlign w:val="center"/>
            <w:tcMar>
              <w:top w:w="80" w:type="dxa"/>
              <w:start w:w="90" w:type="dxa"/>
              <w:bottom w:w="80" w:type="dxa"/>
              <w:end w:w="90" w:type="dxa"/>
            </w:tcMar>
          </w:tcPr>
          <w:p>
            <w:pPr>
              <w:spacing w:after="0" w:before="0" w:line="240" w:lineRule="auto"/>
            </w:pPr>
            <w:r/>
            <w:r>
              <w:rPr>
                <w:rFonts w:ascii="Aptos" w:hAnsi="Aptos"/>
                <w:b w:val="0"/>
                <w:color w:val="222222"/>
                <w:sz w:val="18"/>
              </w:rPr>
              <w:t>Best category/sub-type inside that asset class</w:t>
            </w:r>
          </w:p>
        </w:tc>
      </w:tr>
      <w:tr>
        <w:tc>
          <w:tcPr>
            <w:tcW w:type="dxa" w:w="11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4</w:t>
            </w:r>
          </w:p>
        </w:tc>
        <w:tc>
          <w:tcPr>
            <w:tcW w:type="dxa" w:w="92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Exact product/security/scheme/instrument</w:t>
            </w:r>
          </w:p>
        </w:tc>
      </w:tr>
      <w:tr>
        <w:tc>
          <w:tcPr>
            <w:tcW w:type="dxa" w:w="1152"/>
            <w:vAlign w:val="center"/>
            <w:tcMar>
              <w:top w:w="80" w:type="dxa"/>
              <w:start w:w="90" w:type="dxa"/>
              <w:bottom w:w="80" w:type="dxa"/>
              <w:end w:w="90" w:type="dxa"/>
            </w:tcMar>
          </w:tcPr>
          <w:p>
            <w:pPr>
              <w:spacing w:after="0" w:before="0" w:line="240" w:lineRule="auto"/>
            </w:pPr>
            <w:r/>
            <w:r>
              <w:rPr>
                <w:rFonts w:ascii="Aptos" w:hAnsi="Aptos"/>
                <w:b w:val="0"/>
                <w:color w:val="222222"/>
                <w:sz w:val="18"/>
              </w:rPr>
              <w:t>5</w:t>
            </w:r>
          </w:p>
        </w:tc>
        <w:tc>
          <w:tcPr>
            <w:tcW w:type="dxa" w:w="9216"/>
            <w:vAlign w:val="center"/>
            <w:tcMar>
              <w:top w:w="80" w:type="dxa"/>
              <w:start w:w="90" w:type="dxa"/>
              <w:bottom w:w="80" w:type="dxa"/>
              <w:end w:w="90" w:type="dxa"/>
            </w:tcMar>
          </w:tcPr>
          <w:p>
            <w:pPr>
              <w:spacing w:after="0" w:before="0" w:line="240" w:lineRule="auto"/>
            </w:pPr>
            <w:r/>
            <w:r>
              <w:rPr>
                <w:rFonts w:ascii="Aptos" w:hAnsi="Aptos"/>
                <w:b w:val="0"/>
                <w:color w:val="222222"/>
                <w:sz w:val="18"/>
              </w:rPr>
              <w:t>Exact recommended amount/quantity</w:t>
            </w:r>
          </w:p>
        </w:tc>
      </w:tr>
      <w:tr>
        <w:tc>
          <w:tcPr>
            <w:tcW w:type="dxa" w:w="11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6</w:t>
            </w:r>
          </w:p>
        </w:tc>
        <w:tc>
          <w:tcPr>
            <w:tcW w:type="dxa" w:w="92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Timing - Now / Dip / Stagger / SIP / Wait / Reserve</w:t>
            </w:r>
          </w:p>
        </w:tc>
      </w:tr>
      <w:tr>
        <w:tc>
          <w:tcPr>
            <w:tcW w:type="dxa" w:w="1152"/>
            <w:vAlign w:val="center"/>
            <w:tcMar>
              <w:top w:w="80" w:type="dxa"/>
              <w:start w:w="90" w:type="dxa"/>
              <w:bottom w:w="80" w:type="dxa"/>
              <w:end w:w="90" w:type="dxa"/>
            </w:tcMar>
          </w:tcPr>
          <w:p>
            <w:pPr>
              <w:spacing w:after="0" w:before="0" w:line="240" w:lineRule="auto"/>
            </w:pPr>
            <w:r/>
            <w:r>
              <w:rPr>
                <w:rFonts w:ascii="Aptos" w:hAnsi="Aptos"/>
                <w:b w:val="0"/>
                <w:color w:val="222222"/>
                <w:sz w:val="18"/>
              </w:rPr>
              <w:t>7</w:t>
            </w:r>
          </w:p>
        </w:tc>
        <w:tc>
          <w:tcPr>
            <w:tcW w:type="dxa" w:w="9216"/>
            <w:vAlign w:val="center"/>
            <w:tcMar>
              <w:top w:w="80" w:type="dxa"/>
              <w:start w:w="90" w:type="dxa"/>
              <w:bottom w:w="80" w:type="dxa"/>
              <w:end w:w="90" w:type="dxa"/>
            </w:tcMar>
          </w:tcPr>
          <w:p>
            <w:pPr>
              <w:spacing w:after="0" w:before="0" w:line="240" w:lineRule="auto"/>
            </w:pPr>
            <w:r/>
            <w:r>
              <w:rPr>
                <w:rFonts w:ascii="Aptos" w:hAnsi="Aptos"/>
                <w:b w:val="0"/>
                <w:color w:val="222222"/>
                <w:sz w:val="18"/>
              </w:rPr>
              <w:t>Downside / Base / Upside / probability / confidence</w:t>
            </w:r>
          </w:p>
        </w:tc>
      </w:tr>
      <w:tr>
        <w:tc>
          <w:tcPr>
            <w:tcW w:type="dxa" w:w="11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8</w:t>
            </w:r>
          </w:p>
        </w:tc>
        <w:tc>
          <w:tcPr>
            <w:tcW w:type="dxa" w:w="92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Why this? Why not alternatives? What changes it?</w:t>
            </w:r>
          </w:p>
        </w:tc>
      </w:tr>
      <w:tr>
        <w:tc>
          <w:tcPr>
            <w:tcW w:type="dxa" w:w="1152"/>
            <w:vAlign w:val="center"/>
            <w:tcMar>
              <w:top w:w="80" w:type="dxa"/>
              <w:start w:w="90" w:type="dxa"/>
              <w:bottom w:w="80" w:type="dxa"/>
              <w:end w:w="90" w:type="dxa"/>
            </w:tcMar>
          </w:tcPr>
          <w:p>
            <w:pPr>
              <w:spacing w:after="0" w:before="0" w:line="240" w:lineRule="auto"/>
            </w:pPr>
            <w:r/>
            <w:r>
              <w:rPr>
                <w:rFonts w:ascii="Aptos" w:hAnsi="Aptos"/>
                <w:b w:val="0"/>
                <w:color w:val="222222"/>
                <w:sz w:val="18"/>
              </w:rPr>
              <w:t>9</w:t>
            </w:r>
          </w:p>
        </w:tc>
        <w:tc>
          <w:tcPr>
            <w:tcW w:type="dxa" w:w="9216"/>
            <w:vAlign w:val="center"/>
            <w:tcMar>
              <w:top w:w="80" w:type="dxa"/>
              <w:start w:w="90" w:type="dxa"/>
              <w:bottom w:w="80" w:type="dxa"/>
              <w:end w:w="90" w:type="dxa"/>
            </w:tcMar>
          </w:tcPr>
          <w:p>
            <w:pPr>
              <w:spacing w:after="0" w:before="0" w:line="240" w:lineRule="auto"/>
            </w:pPr>
            <w:r/>
            <w:r>
              <w:rPr>
                <w:rFonts w:ascii="Aptos" w:hAnsi="Aptos"/>
                <w:b w:val="0"/>
                <w:color w:val="222222"/>
                <w:sz w:val="18"/>
              </w:rPr>
              <w:t>Track automatically</w:t>
            </w:r>
          </w:p>
        </w:tc>
      </w:tr>
    </w:tbl>
    <w:p>
      <w:pPr>
        <w:spacing w:after="0"/>
      </w:pPr>
    </w:p>
    <w:p>
      <w:pPr>
        <w:pStyle w:val="Heading2"/>
        <w:spacing w:before="120" w:after="100"/>
      </w:pPr>
      <w:r>
        <w:rPr>
          <w:rFonts w:ascii="Aptos" w:hAnsi="Aptos"/>
          <w:b/>
          <w:color w:val="1B2A4A"/>
          <w:sz w:val="26"/>
        </w:rPr>
        <w:t>18.2 Segment Examples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Segment</w:t>
            </w:r>
          </w:p>
        </w:tc>
        <w:tc>
          <w:tcPr>
            <w:tcW w:type="dxa" w:w="792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Go deeper path</w:t>
            </w:r>
          </w:p>
        </w:tc>
      </w:tr>
      <w:tr>
        <w:tc>
          <w:tcPr>
            <w:tcW w:type="dxa" w:w="2448"/>
            <w:vAlign w:val="center"/>
            <w:tcMar>
              <w:top w:w="80" w:type="dxa"/>
              <w:start w:w="90" w:type="dxa"/>
              <w:bottom w:w="80" w:type="dxa"/>
              <w:end w:w="90" w:type="dxa"/>
            </w:tcMar>
          </w:tcPr>
          <w:p>
            <w:pPr>
              <w:spacing w:after="0" w:before="0" w:line="240" w:lineRule="auto"/>
            </w:pPr>
            <w:r/>
            <w:r>
              <w:rPr>
                <w:rFonts w:ascii="Aptos" w:hAnsi="Aptos"/>
                <w:b w:val="0"/>
                <w:color w:val="222222"/>
                <w:sz w:val="17"/>
              </w:rPr>
              <w:t>Gold</w:t>
            </w:r>
          </w:p>
        </w:tc>
        <w:tc>
          <w:tcPr>
            <w:tcW w:type="dxa" w:w="7920"/>
            <w:vAlign w:val="center"/>
            <w:tcMar>
              <w:top w:w="80" w:type="dxa"/>
              <w:start w:w="90" w:type="dxa"/>
              <w:bottom w:w="80" w:type="dxa"/>
              <w:end w:w="90" w:type="dxa"/>
            </w:tcMar>
          </w:tcPr>
          <w:p>
            <w:pPr>
              <w:spacing w:after="0" w:before="0" w:line="240" w:lineRule="auto"/>
            </w:pPr>
            <w:r/>
            <w:r>
              <w:rPr>
                <w:rFonts w:ascii="Aptos" w:hAnsi="Aptos"/>
                <w:b w:val="0"/>
                <w:color w:val="222222"/>
                <w:sz w:val="17"/>
              </w:rPr>
              <w:t>Gold → Physical / ETF / Fund / other suitable Gold exposure → exact product → amount → timing → explanation.</w:t>
            </w:r>
          </w:p>
        </w:tc>
      </w:tr>
      <w:tr>
        <w:tc>
          <w:tcPr>
            <w:tcW w:type="dxa" w:w="24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Silver</w:t>
            </w:r>
          </w:p>
        </w:tc>
        <w:tc>
          <w:tcPr>
            <w:tcW w:type="dxa" w:w="79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Silver → Physical / ETF/tradable exposure → exact product → amount → timing → explanation.</w:t>
            </w:r>
          </w:p>
        </w:tc>
      </w:tr>
      <w:tr>
        <w:tc>
          <w:tcPr>
            <w:tcW w:type="dxa" w:w="2448"/>
            <w:vAlign w:val="center"/>
            <w:tcMar>
              <w:top w:w="80" w:type="dxa"/>
              <w:start w:w="90" w:type="dxa"/>
              <w:bottom w:w="80" w:type="dxa"/>
              <w:end w:w="90" w:type="dxa"/>
            </w:tcMar>
          </w:tcPr>
          <w:p>
            <w:pPr>
              <w:spacing w:after="0" w:before="0" w:line="240" w:lineRule="auto"/>
            </w:pPr>
            <w:r/>
            <w:r>
              <w:rPr>
                <w:rFonts w:ascii="Aptos" w:hAnsi="Aptos"/>
                <w:b w:val="0"/>
                <w:color w:val="222222"/>
                <w:sz w:val="17"/>
              </w:rPr>
              <w:t>Stocks</w:t>
            </w:r>
          </w:p>
        </w:tc>
        <w:tc>
          <w:tcPr>
            <w:tcW w:type="dxa" w:w="7920"/>
            <w:vAlign w:val="center"/>
            <w:tcMar>
              <w:top w:w="80" w:type="dxa"/>
              <w:start w:w="90" w:type="dxa"/>
              <w:bottom w:w="80" w:type="dxa"/>
              <w:end w:w="90" w:type="dxa"/>
            </w:tcMar>
          </w:tcPr>
          <w:p>
            <w:pPr>
              <w:spacing w:after="0" w:before="0" w:line="240" w:lineRule="auto"/>
            </w:pPr>
            <w:r/>
            <w:r>
              <w:rPr>
                <w:rFonts w:ascii="Aptos" w:hAnsi="Aptos"/>
                <w:b w:val="0"/>
                <w:color w:val="222222"/>
                <w:sz w:val="17"/>
              </w:rPr>
              <w:t>Stocks → sector → exact stock → entry → quantity → target/stop/duration → explanation.</w:t>
            </w:r>
          </w:p>
        </w:tc>
      </w:tr>
      <w:tr>
        <w:tc>
          <w:tcPr>
            <w:tcW w:type="dxa" w:w="24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Mutual Funds</w:t>
            </w:r>
          </w:p>
        </w:tc>
        <w:tc>
          <w:tcPr>
            <w:tcW w:type="dxa" w:w="79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MF → category → exact scheme → allocation → lump sum/SIP/stagger → explanation.</w:t>
            </w:r>
          </w:p>
        </w:tc>
      </w:tr>
      <w:tr>
        <w:tc>
          <w:tcPr>
            <w:tcW w:type="dxa" w:w="2448"/>
            <w:vAlign w:val="center"/>
            <w:tcMar>
              <w:top w:w="80" w:type="dxa"/>
              <w:start w:w="90" w:type="dxa"/>
              <w:bottom w:w="80" w:type="dxa"/>
              <w:end w:w="90" w:type="dxa"/>
            </w:tcMar>
          </w:tcPr>
          <w:p>
            <w:pPr>
              <w:spacing w:after="0" w:before="0" w:line="240" w:lineRule="auto"/>
            </w:pPr>
            <w:r/>
            <w:r>
              <w:rPr>
                <w:rFonts w:ascii="Aptos" w:hAnsi="Aptos"/>
                <w:b w:val="0"/>
                <w:color w:val="222222"/>
                <w:sz w:val="17"/>
              </w:rPr>
              <w:t>Fixed Income</w:t>
            </w:r>
          </w:p>
        </w:tc>
        <w:tc>
          <w:tcPr>
            <w:tcW w:type="dxa" w:w="7920"/>
            <w:vAlign w:val="center"/>
            <w:tcMar>
              <w:top w:w="80" w:type="dxa"/>
              <w:start w:w="90" w:type="dxa"/>
              <w:bottom w:w="80" w:type="dxa"/>
              <w:end w:w="90" w:type="dxa"/>
            </w:tcMar>
          </w:tcPr>
          <w:p>
            <w:pPr>
              <w:spacing w:after="0" w:before="0" w:line="240" w:lineRule="auto"/>
            </w:pPr>
            <w:r/>
            <w:r>
              <w:rPr>
                <w:rFonts w:ascii="Aptos" w:hAnsi="Aptos"/>
                <w:b w:val="0"/>
                <w:color w:val="222222"/>
                <w:sz w:val="17"/>
              </w:rPr>
              <w:t>Fixed Income → T-Bill/G-Sec/SDL/FD/Bond/etc. → exact instrument → maturity/amount → explanation.</w:t>
            </w:r>
          </w:p>
        </w:tc>
      </w:tr>
      <w:tr>
        <w:tc>
          <w:tcPr>
            <w:tcW w:type="dxa" w:w="24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IPO</w:t>
            </w:r>
          </w:p>
        </w:tc>
        <w:tc>
          <w:tcPr>
            <w:tcW w:type="dxa" w:w="79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IPO → current issues → exact IPO → lot count/capital → listing/long-term view → explanation.</w:t>
            </w:r>
          </w:p>
        </w:tc>
      </w:tr>
      <w:tr>
        <w:tc>
          <w:tcPr>
            <w:tcW w:type="dxa" w:w="2448"/>
            <w:vAlign w:val="center"/>
            <w:tcMar>
              <w:top w:w="80" w:type="dxa"/>
              <w:start w:w="90" w:type="dxa"/>
              <w:bottom w:w="80" w:type="dxa"/>
              <w:end w:w="90" w:type="dxa"/>
            </w:tcMar>
          </w:tcPr>
          <w:p>
            <w:pPr>
              <w:spacing w:after="0" w:before="0" w:line="240" w:lineRule="auto"/>
            </w:pPr>
            <w:r/>
            <w:r>
              <w:rPr>
                <w:rFonts w:ascii="Aptos" w:hAnsi="Aptos"/>
                <w:b w:val="0"/>
                <w:color w:val="222222"/>
                <w:sz w:val="17"/>
              </w:rPr>
              <w:t>Crypto</w:t>
            </w:r>
          </w:p>
        </w:tc>
        <w:tc>
          <w:tcPr>
            <w:tcW w:type="dxa" w:w="7920"/>
            <w:vAlign w:val="center"/>
            <w:tcMar>
              <w:top w:w="80" w:type="dxa"/>
              <w:start w:w="90" w:type="dxa"/>
              <w:bottom w:w="80" w:type="dxa"/>
              <w:end w:w="90" w:type="dxa"/>
            </w:tcMar>
          </w:tcPr>
          <w:p>
            <w:pPr>
              <w:spacing w:after="0" w:before="0" w:line="240" w:lineRule="auto"/>
            </w:pPr>
            <w:r/>
            <w:r>
              <w:rPr>
                <w:rFonts w:ascii="Aptos" w:hAnsi="Aptos"/>
                <w:b w:val="0"/>
                <w:color w:val="222222"/>
                <w:sz w:val="17"/>
              </w:rPr>
              <w:t>Crypto → category/market-cap grouping → exact coin → allocation/timing → explanation.</w:t>
            </w:r>
          </w:p>
        </w:tc>
      </w:tr>
      <w:tr>
        <w:tc>
          <w:tcPr>
            <w:tcW w:type="dxa" w:w="24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REIT/InvIT</w:t>
            </w:r>
          </w:p>
        </w:tc>
        <w:tc>
          <w:tcPr>
            <w:tcW w:type="dxa" w:w="79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REIT/InvIT → exact listed instrument → price/yield/fit → explanation.</w:t>
            </w:r>
          </w:p>
        </w:tc>
      </w:tr>
    </w:tbl>
    <w:p>
      <w:pPr>
        <w:spacing w:after="0"/>
      </w:pPr>
    </w:p>
    <w:p>
      <w:pPr>
        <w:pStyle w:val="Heading2"/>
        <w:spacing w:before="120" w:after="100"/>
      </w:pPr>
      <w:r>
        <w:rPr>
          <w:rFonts w:ascii="Aptos" w:hAnsi="Aptos"/>
          <w:b/>
          <w:color w:val="1B2A4A"/>
          <w:sz w:val="26"/>
        </w:rPr>
        <w:t>18.3 Universal Buttons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Button</w:t>
            </w:r>
          </w:p>
        </w:tc>
        <w:tc>
          <w:tcPr>
            <w:tcW w:type="dxa" w:w="7776"/>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Behavior</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8"/>
              </w:rPr>
              <w:t>WHY THIS?</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8"/>
              </w:rPr>
              <w:t>Open reasons, evidence, assumptions and confidence.</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COMPARE OPTIONS</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Show selected vs nearest alternatives on relevant metrics.</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8"/>
              </w:rPr>
              <w:t>GO DEEPER</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8"/>
              </w:rPr>
              <w:t>Move to next specificity level.</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WHAT CHANGES THIS?</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Show upgrade/downgrade triggers.</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8"/>
              </w:rPr>
              <w:t>TRACK THIS</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8"/>
              </w:rPr>
              <w:t>Save recommendation/plan to lifecycle tracker.</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ADD TO PORTFOLIO</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Create actual transaction/holding after user executes.</w:t>
            </w:r>
          </w:p>
        </w:tc>
      </w:tr>
    </w:tbl>
    <w:p>
      <w:pPr>
        <w:spacing w:after="0"/>
      </w:pPr>
    </w:p>
    <w:p>
      <w:pPr>
        <w:pStyle w:val="Heading1"/>
        <w:spacing w:before="200" w:after="100"/>
      </w:pPr>
      <w:r>
        <w:rPr>
          <w:rFonts w:ascii="Aptos" w:hAnsi="Aptos"/>
          <w:b/>
          <w:color w:val="1B2A4A"/>
          <w:sz w:val="34"/>
        </w:rPr>
        <w:t>19. Existing Portfolio - Manual Entry, Import and Update</w:t>
      </w:r>
    </w:p>
    <w:tbl>
      <w:tblPr>
        <w:tblW w:type="auto" w:w="0"/>
        <w:jc w:val="center"/>
        <w:tblLook w:firstColumn="1" w:firstRow="1" w:lastColumn="0" w:lastRow="0" w:noHBand="0" w:noVBand="1" w:val="04A0"/>
      </w:tblPr>
      <w:tblGrid>
        <w:gridCol w:w="10224"/>
      </w:tblGrid>
      <w:tr>
        <w:tc>
          <w:tcPr>
            <w:tcW w:type="dxa" w:w="10224"/>
            <w:shd w:fill="EAF5EC"/>
            <w:tcMar>
              <w:top w:w="130" w:type="dxa"/>
              <w:start w:w="140" w:type="dxa"/>
              <w:bottom w:w="130" w:type="dxa"/>
              <w:end w:w="140" w:type="dxa"/>
            </w:tcMar>
          </w:tcPr>
          <w:p>
            <w:pPr>
              <w:spacing w:after="60"/>
            </w:pPr>
            <w:r>
              <w:rPr>
                <w:rFonts w:ascii="Aptos" w:hAnsi="Aptos"/>
                <w:b/>
                <w:color w:val="1B2A4A"/>
                <w:sz w:val="19"/>
              </w:rPr>
              <w:t>CRITICAL DATA MODEL</w:t>
            </w:r>
          </w:p>
          <w:p>
            <w:pPr>
              <w:spacing w:after="0"/>
            </w:pPr>
            <w:r>
              <w:rPr>
                <w:rFonts w:ascii="Aptos" w:hAnsi="Aptos"/>
                <w:color w:val="222222"/>
                <w:sz w:val="18"/>
              </w:rPr>
              <w:t>Store purchase lots/transactions, not only a single current holding. Multiple buys of the same asset on different dates/prices remain separate lots and aggregate automatically.</w:t>
            </w:r>
          </w:p>
        </w:tc>
      </w:tr>
    </w:tbl>
    <w:p>
      <w:pPr>
        <w:pStyle w:val="Heading2"/>
        <w:spacing w:before="120" w:after="100"/>
      </w:pPr>
      <w:r>
        <w:rPr>
          <w:rFonts w:ascii="Aptos" w:hAnsi="Aptos"/>
          <w:b/>
          <w:color w:val="1B2A4A"/>
          <w:sz w:val="26"/>
        </w:rPr>
        <w:t>19.1 Portfolio Field Dictionary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Field</w:t>
            </w:r>
          </w:p>
        </w:tc>
        <w:tc>
          <w:tcPr>
            <w:tcW w:type="dxa" w:w="7776"/>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Purpose / Validation</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6"/>
              </w:rPr>
              <w:t>InvestmentID</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6"/>
              </w:rPr>
              <w:t>Unique stable ID. Same ID updates existing lot; blank on import creates new lot.</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AssetType</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Stock, ETF, Mutual Fund, Physical Gold, Physical Silver, Crypto, Bond/Fixed Income, FD, RD, IPO, REIT/InvIT, NPS, PPF/Govt Savings, International, Real Estate, PMS/AIF, Cash, Other.</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6"/>
              </w:rPr>
              <w:t>Symbol / Product Name</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6"/>
              </w:rPr>
              <w:t>Selectable where master data exists; manual for custom products.</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PurchaseDate</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Actual transaction/allotment/start date.</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6"/>
              </w:rPr>
              <w:t>Quantity</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6"/>
              </w:rPr>
              <w:t>Shares/units/grams/kg/coins/lots/other units as applicable.</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Unit</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Shares, units, grams, kg, coins, lots, ₹ principal, property share etc.</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6"/>
              </w:rPr>
              <w:t>PriceBasis</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6"/>
              </w:rPr>
              <w:t>Per share/unit/10g/kg/coin/lot/principal etc.</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BuyPrice</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Actual transaction price/unit rate.</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6"/>
              </w:rPr>
              <w:t>InvestedAmount</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6"/>
              </w:rPr>
              <w:t>Actual rupee outflow/principal; auto-calc where quantity × price is appropriate, editable for costs.</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CurrentPrice/Value</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Auto where reliable market data exists; manual for physical/custom/non-live assets.</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6"/>
              </w:rPr>
              <w:t>Broker/Dealer/Source</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6"/>
              </w:rPr>
              <w:t>Choice/Dhan/Nuvama/other broker, bank, dealer, platform or manual source.</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Account/Folio</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Optional account, folio or reference.</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6"/>
              </w:rPr>
              <w:t>Goal</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6"/>
              </w:rPr>
              <w:t>Link to user goal.</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Strategy</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Swing / Short-Term / Long-Term / Income / Gold Holding / Retirement etc.</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6"/>
              </w:rPr>
              <w:t>Notes</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6"/>
              </w:rPr>
              <w:t>Free text.</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UpdatedAt</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System timestamp.</w:t>
            </w:r>
          </w:p>
        </w:tc>
      </w:tr>
    </w:tbl>
    <w:p>
      <w:pPr>
        <w:spacing w:after="0"/>
      </w:pPr>
    </w:p>
    <w:p>
      <w:pPr>
        <w:pStyle w:val="Heading2"/>
        <w:spacing w:before="120" w:after="100"/>
      </w:pPr>
      <w:r>
        <w:rPr>
          <w:rFonts w:ascii="Aptos" w:hAnsi="Aptos"/>
          <w:b/>
          <w:color w:val="1B2A4A"/>
          <w:sz w:val="26"/>
        </w:rPr>
        <w:t>19.2 Entry Methods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IIR-POR-001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Manual selection entry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Choose asset type → product → date → quantity → unit → buy price → amount → account/source → goal → notes.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IIR-POR-002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Template download</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Provide downloadable Excel and CSV import template with sample/instructions.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IIR-POR-003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Merge/update import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Same InvestmentID updates; blank ID creates new purchase lot.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IIR-POR-004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Replace option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Explicit user action may replace current portfolio after warning/backup.</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IIR-POR-005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Edit grid</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User can edit saved records, delete selected rows and save.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IIR-POR-006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Export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Export current portfolio to Excel/CSV in the same reusable schema.</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IIR-POR-007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Aggregation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Group lots into holdings with total quantity, invested amount, weighted average cost, current value, P&amp;L and return.</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IIR-POR-008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Physical units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Gold: grams and ₹/10g; Silver: kg and ₹/kg.</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IIR-POR-009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No broker dependency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CSV/XLSX import works without broker API.</w:t>
            </w:r>
          </w:p>
        </w:tc>
      </w:tr>
    </w:tbl>
    <w:p>
      <w:pPr>
        <w:spacing w:after="0"/>
      </w:pPr>
    </w:p>
    <w:p>
      <w:pPr>
        <w:pStyle w:val="Heading2"/>
        <w:spacing w:before="120" w:after="100"/>
      </w:pPr>
      <w:r>
        <w:rPr>
          <w:rFonts w:ascii="Aptos" w:hAnsi="Aptos"/>
          <w:b/>
          <w:color w:val="1B2A4A"/>
          <w:sz w:val="26"/>
        </w:rPr>
        <w:t>19.3 Portfolio Review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Action</w:t>
            </w:r>
          </w:p>
        </w:tc>
        <w:tc>
          <w:tcPr>
            <w:tcW w:type="dxa" w:w="8352"/>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Meaning</w:t>
            </w:r>
          </w:p>
        </w:tc>
      </w:tr>
      <w:tr>
        <w:tc>
          <w:tcPr>
            <w:tcW w:type="dxa" w:w="2016"/>
            <w:vAlign w:val="center"/>
            <w:tcMar>
              <w:top w:w="80" w:type="dxa"/>
              <w:start w:w="90" w:type="dxa"/>
              <w:bottom w:w="80" w:type="dxa"/>
              <w:end w:w="90" w:type="dxa"/>
            </w:tcMar>
          </w:tcPr>
          <w:p>
            <w:pPr>
              <w:spacing w:after="0" w:before="0" w:line="240" w:lineRule="auto"/>
            </w:pPr>
            <w:r/>
            <w:r>
              <w:rPr>
                <w:rFonts w:ascii="Aptos" w:hAnsi="Aptos"/>
                <w:b w:val="0"/>
                <w:color w:val="222222"/>
                <w:sz w:val="17"/>
              </w:rPr>
              <w:t>HOLD</w:t>
            </w:r>
          </w:p>
        </w:tc>
        <w:tc>
          <w:tcPr>
            <w:tcW w:type="dxa" w:w="8352"/>
            <w:vAlign w:val="center"/>
            <w:tcMar>
              <w:top w:w="80" w:type="dxa"/>
              <w:start w:w="90" w:type="dxa"/>
              <w:bottom w:w="80" w:type="dxa"/>
              <w:end w:w="90" w:type="dxa"/>
            </w:tcMar>
          </w:tcPr>
          <w:p>
            <w:pPr>
              <w:spacing w:after="0" w:before="0" w:line="240" w:lineRule="auto"/>
            </w:pPr>
            <w:r/>
            <w:r>
              <w:rPr>
                <w:rFonts w:ascii="Aptos" w:hAnsi="Aptos"/>
                <w:b w:val="0"/>
                <w:color w:val="222222"/>
                <w:sz w:val="17"/>
              </w:rPr>
              <w:t>Current investment remains suitable.</w:t>
            </w:r>
          </w:p>
        </w:tc>
      </w:tr>
      <w:tr>
        <w:tc>
          <w:tcPr>
            <w:tcW w:type="dxa" w:w="20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ADD</w:t>
            </w:r>
          </w:p>
        </w:tc>
        <w:tc>
          <w:tcPr>
            <w:tcW w:type="dxa" w:w="83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Additional allocation justified.</w:t>
            </w:r>
          </w:p>
        </w:tc>
      </w:tr>
      <w:tr>
        <w:tc>
          <w:tcPr>
            <w:tcW w:type="dxa" w:w="2016"/>
            <w:vAlign w:val="center"/>
            <w:tcMar>
              <w:top w:w="80" w:type="dxa"/>
              <w:start w:w="90" w:type="dxa"/>
              <w:bottom w:w="80" w:type="dxa"/>
              <w:end w:w="90" w:type="dxa"/>
            </w:tcMar>
          </w:tcPr>
          <w:p>
            <w:pPr>
              <w:spacing w:after="0" w:before="0" w:line="240" w:lineRule="auto"/>
            </w:pPr>
            <w:r/>
            <w:r>
              <w:rPr>
                <w:rFonts w:ascii="Aptos" w:hAnsi="Aptos"/>
                <w:b w:val="0"/>
                <w:color w:val="222222"/>
                <w:sz w:val="17"/>
              </w:rPr>
              <w:t>BUY ON DIP</w:t>
            </w:r>
          </w:p>
        </w:tc>
        <w:tc>
          <w:tcPr>
            <w:tcW w:type="dxa" w:w="8352"/>
            <w:vAlign w:val="center"/>
            <w:tcMar>
              <w:top w:w="80" w:type="dxa"/>
              <w:start w:w="90" w:type="dxa"/>
              <w:bottom w:w="80" w:type="dxa"/>
              <w:end w:w="90" w:type="dxa"/>
            </w:tcMar>
          </w:tcPr>
          <w:p>
            <w:pPr>
              <w:spacing w:after="0" w:before="0" w:line="240" w:lineRule="auto"/>
            </w:pPr>
            <w:r/>
            <w:r>
              <w:rPr>
                <w:rFonts w:ascii="Aptos" w:hAnsi="Aptos"/>
                <w:b w:val="0"/>
                <w:color w:val="222222"/>
                <w:sz w:val="17"/>
              </w:rPr>
              <w:t>Suitable but timing/price not ideal now.</w:t>
            </w:r>
          </w:p>
        </w:tc>
      </w:tr>
      <w:tr>
        <w:tc>
          <w:tcPr>
            <w:tcW w:type="dxa" w:w="20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REDUCE</w:t>
            </w:r>
          </w:p>
        </w:tc>
        <w:tc>
          <w:tcPr>
            <w:tcW w:type="dxa" w:w="83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Concentration/risk/valuation or thesis has weakened.</w:t>
            </w:r>
          </w:p>
        </w:tc>
      </w:tr>
      <w:tr>
        <w:tc>
          <w:tcPr>
            <w:tcW w:type="dxa" w:w="2016"/>
            <w:vAlign w:val="center"/>
            <w:tcMar>
              <w:top w:w="80" w:type="dxa"/>
              <w:start w:w="90" w:type="dxa"/>
              <w:bottom w:w="80" w:type="dxa"/>
              <w:end w:w="90" w:type="dxa"/>
            </w:tcMar>
          </w:tcPr>
          <w:p>
            <w:pPr>
              <w:spacing w:after="0" w:before="0" w:line="240" w:lineRule="auto"/>
            </w:pPr>
            <w:r/>
            <w:r>
              <w:rPr>
                <w:rFonts w:ascii="Aptos" w:hAnsi="Aptos"/>
                <w:b w:val="0"/>
                <w:color w:val="222222"/>
                <w:sz w:val="17"/>
              </w:rPr>
              <w:t>EXIT</w:t>
            </w:r>
          </w:p>
        </w:tc>
        <w:tc>
          <w:tcPr>
            <w:tcW w:type="dxa" w:w="8352"/>
            <w:vAlign w:val="center"/>
            <w:tcMar>
              <w:top w:w="80" w:type="dxa"/>
              <w:start w:w="90" w:type="dxa"/>
              <w:bottom w:w="80" w:type="dxa"/>
              <w:end w:w="90" w:type="dxa"/>
            </w:tcMar>
          </w:tcPr>
          <w:p>
            <w:pPr>
              <w:spacing w:after="0" w:before="0" w:line="240" w:lineRule="auto"/>
            </w:pPr>
            <w:r/>
            <w:r>
              <w:rPr>
                <w:rFonts w:ascii="Aptos" w:hAnsi="Aptos"/>
                <w:b w:val="0"/>
                <w:color w:val="222222"/>
                <w:sz w:val="17"/>
              </w:rPr>
              <w:t>Thesis/fit invalidated or user horizon requires exit.</w:t>
            </w:r>
          </w:p>
        </w:tc>
      </w:tr>
      <w:tr>
        <w:tc>
          <w:tcPr>
            <w:tcW w:type="dxa" w:w="20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SWITCH</w:t>
            </w:r>
          </w:p>
        </w:tc>
        <w:tc>
          <w:tcPr>
            <w:tcW w:type="dxa" w:w="83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Alternative product/category offers materially better fit.</w:t>
            </w:r>
          </w:p>
        </w:tc>
      </w:tr>
      <w:tr>
        <w:tc>
          <w:tcPr>
            <w:tcW w:type="dxa" w:w="2016"/>
            <w:vAlign w:val="center"/>
            <w:tcMar>
              <w:top w:w="80" w:type="dxa"/>
              <w:start w:w="90" w:type="dxa"/>
              <w:bottom w:w="80" w:type="dxa"/>
              <w:end w:w="90" w:type="dxa"/>
            </w:tcMar>
          </w:tcPr>
          <w:p>
            <w:pPr>
              <w:spacing w:after="0" w:before="0" w:line="240" w:lineRule="auto"/>
            </w:pPr>
            <w:r/>
            <w:r>
              <w:rPr>
                <w:rFonts w:ascii="Aptos" w:hAnsi="Aptos"/>
                <w:b w:val="0"/>
                <w:color w:val="222222"/>
                <w:sz w:val="17"/>
              </w:rPr>
              <w:t>REBALANCE</w:t>
            </w:r>
          </w:p>
        </w:tc>
        <w:tc>
          <w:tcPr>
            <w:tcW w:type="dxa" w:w="8352"/>
            <w:vAlign w:val="center"/>
            <w:tcMar>
              <w:top w:w="80" w:type="dxa"/>
              <w:start w:w="90" w:type="dxa"/>
              <w:bottom w:w="80" w:type="dxa"/>
              <w:end w:w="90" w:type="dxa"/>
            </w:tcMar>
          </w:tcPr>
          <w:p>
            <w:pPr>
              <w:spacing w:after="0" w:before="0" w:line="240" w:lineRule="auto"/>
            </w:pPr>
            <w:r/>
            <w:r>
              <w:rPr>
                <w:rFonts w:ascii="Aptos" w:hAnsi="Aptos"/>
                <w:b w:val="0"/>
                <w:color w:val="222222"/>
                <w:sz w:val="17"/>
              </w:rPr>
              <w:t>Portfolio-level allocation needs correction.</w:t>
            </w:r>
          </w:p>
        </w:tc>
      </w:tr>
      <w:tr>
        <w:tc>
          <w:tcPr>
            <w:tcW w:type="dxa" w:w="201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REVIEW</w:t>
            </w:r>
          </w:p>
        </w:tc>
        <w:tc>
          <w:tcPr>
            <w:tcW w:type="dxa" w:w="835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Data/event condition requires user review before action.</w:t>
            </w:r>
          </w:p>
        </w:tc>
      </w:tr>
    </w:tbl>
    <w:p>
      <w:pPr>
        <w:spacing w:after="0"/>
      </w:pPr>
    </w:p>
    <w:p>
      <w:pPr>
        <w:pStyle w:val="Heading1"/>
        <w:spacing w:before="200" w:after="100"/>
      </w:pPr>
      <w:r>
        <w:rPr>
          <w:rFonts w:ascii="Aptos" w:hAnsi="Aptos"/>
          <w:b/>
          <w:color w:val="1B2A4A"/>
          <w:sz w:val="34"/>
        </w:rPr>
        <w:t>20. Goal-Based Investing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IIR-GOL-001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Goals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Retirement, Wealth Creation, House, Education, Emergency Fund, Short-Term Purchase, Custom.</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IIR-GOL-002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Inputs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Target amount, current invested amount, target date/years remaining, monthly contribution, risk, optional inflation.</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IIR-GOL-003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Gap calculation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Estimate future target and contribution gap using transparent assumptions.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IIR-GOL-004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Portfolio link</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Each investment/plan can be linked to a goal.</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IIR-GOL-005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Goal-aware optimizer</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Allocation must consider remaining horizon and goal importance/liquidity.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IIR-GOL-006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Progress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Show target, current projected value, gap, monthly requirement and status.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IIR-GOL-007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Rebalance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Recommend changes when portfolio drifts or goal horizon shortens.</w:t>
            </w:r>
          </w:p>
        </w:tc>
      </w:tr>
    </w:tbl>
    <w:p>
      <w:pPr>
        <w:spacing w:after="0"/>
      </w:pPr>
    </w:p>
    <w:p>
      <w:pPr>
        <w:pStyle w:val="Heading1"/>
        <w:spacing w:before="200" w:after="100"/>
      </w:pPr>
      <w:r>
        <w:rPr>
          <w:rFonts w:ascii="Aptos" w:hAnsi="Aptos"/>
          <w:b/>
          <w:color w:val="1B2A4A"/>
          <w:sz w:val="34"/>
        </w:rPr>
        <w:t>21. Recommendation Lifecycle and Tracking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IIR-LIF-001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Persistent call</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 recommendation does not disappear the next day.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IIR-LIF-002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Statuses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DRAFT / ACTIVE / WAITING ENTRY / EXECUTED / TARGET1 HIT / TARGET2 HIT / STOP HIT / EXPIRED / REVISED / EXITED / CLOSED.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IIR-LIF-003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Execution link</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User may mark executed and optionally create portfolio lot from recommendation.</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IIR-LIF-004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Outcome fields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Recommended date, entry zone, actual execution, best move, worst move, current return, exit, resolved return.</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IIR-LIF-005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Revision history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If call changes, preserve prior recommendation and reason for revision.</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IIR-LIF-006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Plan tracking</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Optimizer allocations also track planned vs deployed vs reserve amounts.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IIR-LIF-007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Review trigger</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Date, price zone, event or portfolio change can trigger review.</w:t>
            </w:r>
          </w:p>
        </w:tc>
      </w:tr>
    </w:tbl>
    <w:p>
      <w:pPr>
        <w:spacing w:after="0"/>
      </w:pPr>
    </w:p>
    <w:p>
      <w:pPr>
        <w:pStyle w:val="Heading1"/>
        <w:spacing w:before="200" w:after="100"/>
      </w:pPr>
      <w:r>
        <w:rPr>
          <w:rFonts w:ascii="Aptos" w:hAnsi="Aptos"/>
          <w:b/>
          <w:color w:val="1B2A4A"/>
          <w:sz w:val="34"/>
        </w:rPr>
        <w:t>22. Alerts and Smart Notifications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IIR-ALT-001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Strong opportunity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Alert when new qualified Strong Buy/Strong Apply/Strong Physical Buy appears.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IIR-ALT-002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Entry zone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Alert when tracked stock/ETF/crypto enters valid entry zone.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IIR-ALT-003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Physical metal zone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Alert when Gold/Silver enters preferred or better-dip physical buy zone.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IIR-ALT-004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Target/stop</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Alert on tracked target/stop or invalidation.</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IIR-ALT-005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Market regime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Alert on meaningful regime change affecting allocation.</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IIR-ALT-006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Portfolio risk</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Alert when concentration, drawdown or asset risk exceeds user threshold.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IIR-ALT-007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Reserve deployment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Alert when a qualified opportunity appears for money intentionally kept in reserve.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IIR-ALT-008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IPO timing</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Alert before issue close or when key subscription/valuation information materially changes.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IIR-ALT-009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Data problem</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Alert when data is stale/failed before user acts.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IIR-ALT-010</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Noise control</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Alerts must be deduplicated and severity-ranked.</w:t>
            </w:r>
          </w:p>
        </w:tc>
      </w:tr>
    </w:tbl>
    <w:p>
      <w:pPr>
        <w:spacing w:after="0"/>
      </w:pPr>
    </w:p>
    <w:p>
      <w:pPr>
        <w:pStyle w:val="Heading1"/>
        <w:spacing w:before="200" w:after="100"/>
      </w:pPr>
      <w:r>
        <w:rPr>
          <w:rFonts w:ascii="Aptos" w:hAnsi="Aptos"/>
          <w:b/>
          <w:color w:val="1B2A4A"/>
          <w:sz w:val="34"/>
        </w:rPr>
        <w:t>23. Backtesting, Walk-Forward Validation and Accuracy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IIR-ACC-001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Backtest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Historical strategy test with no look-ahead leakage.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IIR-ACC-002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Walk-forward</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Train/threshold selection on past window and validate on future unseen windows.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IIR-ACC-003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Forward tracking</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Record actual outcomes of live recommendations after issue date.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IIR-ACC-004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Engine reliability</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Show last N resolved signals, win rate, average winner, average loss, profit factor where meaningful, best/weakest regime, reliability label.</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IIR-ACC-005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Per-strategy metrics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Separate Swing, Short-Term, Long-Term, Gold timing, crypto and other measurable engines.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IIR-ACC-006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Sample-size gate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High confidence prohibited when sample too small.</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IIR-ACC-007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Regime awareness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Reliability can be lower in regimes where strategy historically performs poorly.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IIR-ACC-008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No cherry-picking</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Resolved losses remain in metrics; do not delete failed calls.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IIR-ACC-009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Scenario calibration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Track how often actual outcomes fall within downside/base/upside ranges.</w:t>
            </w:r>
          </w:p>
        </w:tc>
      </w:tr>
    </w:tbl>
    <w:p>
      <w:pPr>
        <w:spacing w:after="0"/>
      </w:pPr>
    </w:p>
    <w:p>
      <w:pPr>
        <w:pStyle w:val="Heading1"/>
        <w:spacing w:before="200" w:after="100"/>
      </w:pPr>
      <w:r>
        <w:rPr>
          <w:rFonts w:ascii="Aptos" w:hAnsi="Aptos"/>
          <w:b/>
          <w:color w:val="1B2A4A"/>
          <w:sz w:val="34"/>
        </w:rPr>
        <w:t>24. Data Architecture, Sources and Data Health</w:t>
      </w:r>
    </w:p>
    <w:p>
      <w:pPr>
        <w:pStyle w:val="Heading2"/>
        <w:spacing w:before="120" w:after="100"/>
      </w:pPr>
      <w:r>
        <w:rPr>
          <w:rFonts w:ascii="Aptos" w:hAnsi="Aptos"/>
          <w:b/>
          <w:color w:val="1B2A4A"/>
          <w:sz w:val="26"/>
        </w:rPr>
        <w:t>24.1 Core Source Policy</w:t>
      </w:r>
    </w:p>
    <w:p>
      <w:pPr>
        <w:pStyle w:val="ListBullet"/>
        <w:spacing w:after="40"/>
        <w:ind w:left="0"/>
      </w:pPr>
      <w:r>
        <w:rPr>
          <w:rFonts w:ascii="Aptos" w:hAnsi="Aptos"/>
          <w:color w:val="222222"/>
          <w:sz w:val="19"/>
        </w:rPr>
        <w:t>Official NSE EOD/common files are the preferred core source for NSE OHLCV technical history.</w:t>
      </w:r>
    </w:p>
    <w:p>
      <w:pPr>
        <w:pStyle w:val="ListBullet"/>
        <w:spacing w:after="40"/>
        <w:ind w:left="0"/>
      </w:pPr>
      <w:r>
        <w:rPr>
          <w:rFonts w:ascii="Aptos" w:hAnsi="Aptos"/>
          <w:color w:val="222222"/>
          <w:sz w:val="19"/>
        </w:rPr>
        <w:t>Official exchange / regulator information is preferred for corporate actions and public issues.</w:t>
      </w:r>
    </w:p>
    <w:p>
      <w:pPr>
        <w:pStyle w:val="ListBullet"/>
        <w:spacing w:after="40"/>
        <w:ind w:left="0"/>
      </w:pPr>
      <w:r>
        <w:rPr>
          <w:rFonts w:ascii="Aptos" w:hAnsi="Aptos"/>
          <w:color w:val="222222"/>
          <w:sz w:val="19"/>
        </w:rPr>
        <w:t>Mutual fund, macro, crypto and other data should use reliable replaceable provider adapters; source and freshness must be visible.</w:t>
      </w:r>
    </w:p>
    <w:p>
      <w:pPr>
        <w:pStyle w:val="ListBullet"/>
        <w:spacing w:after="40"/>
        <w:ind w:left="0"/>
      </w:pPr>
      <w:r>
        <w:rPr>
          <w:rFonts w:ascii="Aptos" w:hAnsi="Aptos"/>
          <w:color w:val="222222"/>
          <w:sz w:val="19"/>
        </w:rPr>
        <w:t>No new broker account or static-IP dependency is required for the core EOD Radar.</w:t>
      </w:r>
    </w:p>
    <w:p>
      <w:pPr>
        <w:pStyle w:val="ListBullet"/>
        <w:spacing w:after="40"/>
        <w:ind w:left="0"/>
      </w:pPr>
      <w:r>
        <w:rPr>
          <w:rFonts w:ascii="Aptos" w:hAnsi="Aptos"/>
          <w:color w:val="222222"/>
          <w:sz w:val="19"/>
        </w:rPr>
        <w:t>Manual fallback remains available for physical local rates, fixed-income offers, government rates and custom investments.</w:t>
      </w:r>
    </w:p>
    <w:p>
      <w:pPr>
        <w:pStyle w:val="ListBullet"/>
        <w:spacing w:after="40"/>
        <w:ind w:left="0"/>
      </w:pPr>
      <w:r>
        <w:rPr>
          <w:rFonts w:ascii="Aptos" w:hAnsi="Aptos"/>
          <w:color w:val="222222"/>
          <w:sz w:val="19"/>
        </w:rPr>
        <w:t>External provider failure must not corrupt local historical data or silently produce a confident call.</w:t>
      </w:r>
    </w:p>
    <w:p>
      <w:pPr>
        <w:pStyle w:val="Heading2"/>
        <w:spacing w:before="120" w:after="100"/>
      </w:pPr>
      <w:r>
        <w:rPr>
          <w:rFonts w:ascii="Aptos" w:hAnsi="Aptos"/>
          <w:b/>
          <w:color w:val="1B2A4A"/>
          <w:sz w:val="26"/>
        </w:rPr>
        <w:t>24.2 Data Health States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State</w:t>
            </w:r>
          </w:p>
        </w:tc>
        <w:tc>
          <w:tcPr>
            <w:tcW w:type="dxa" w:w="820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UI / Engine behavior</w:t>
            </w:r>
          </w:p>
        </w:tc>
      </w:tr>
      <w:tr>
        <w:tc>
          <w:tcPr>
            <w:tcW w:type="dxa" w:w="2160"/>
            <w:vAlign w:val="center"/>
            <w:tcMar>
              <w:top w:w="80" w:type="dxa"/>
              <w:start w:w="90" w:type="dxa"/>
              <w:bottom w:w="80" w:type="dxa"/>
              <w:end w:w="90" w:type="dxa"/>
            </w:tcMar>
          </w:tcPr>
          <w:p>
            <w:pPr>
              <w:spacing w:after="0" w:before="0" w:line="240" w:lineRule="auto"/>
            </w:pPr>
            <w:r/>
            <w:r>
              <w:rPr>
                <w:rFonts w:ascii="Aptos" w:hAnsi="Aptos"/>
                <w:b w:val="0"/>
                <w:color w:val="222222"/>
                <w:sz w:val="18"/>
              </w:rPr>
              <w:t>FRESH</w:t>
            </w:r>
          </w:p>
        </w:tc>
        <w:tc>
          <w:tcPr>
            <w:tcW w:type="dxa" w:w="8208"/>
            <w:vAlign w:val="center"/>
            <w:tcMar>
              <w:top w:w="80" w:type="dxa"/>
              <w:start w:w="90" w:type="dxa"/>
              <w:bottom w:w="80" w:type="dxa"/>
              <w:end w:w="90" w:type="dxa"/>
            </w:tcMar>
          </w:tcPr>
          <w:p>
            <w:pPr>
              <w:spacing w:after="0" w:before="0" w:line="240" w:lineRule="auto"/>
            </w:pPr>
            <w:r/>
            <w:r>
              <w:rPr>
                <w:rFonts w:ascii="Aptos" w:hAnsi="Aptos"/>
                <w:b w:val="0"/>
                <w:color w:val="222222"/>
                <w:sz w:val="18"/>
              </w:rPr>
              <w:t>Normal calculations.</w:t>
            </w:r>
          </w:p>
        </w:tc>
      </w:tr>
      <w:tr>
        <w:tc>
          <w:tcPr>
            <w:tcW w:type="dxa" w:w="21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PARTIAL</w:t>
            </w:r>
          </w:p>
        </w:tc>
        <w:tc>
          <w:tcPr>
            <w:tcW w:type="dxa" w:w="820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Use available fields, mark missing checks, lower confidence.</w:t>
            </w:r>
          </w:p>
        </w:tc>
      </w:tr>
      <w:tr>
        <w:tc>
          <w:tcPr>
            <w:tcW w:type="dxa" w:w="2160"/>
            <w:vAlign w:val="center"/>
            <w:tcMar>
              <w:top w:w="80" w:type="dxa"/>
              <w:start w:w="90" w:type="dxa"/>
              <w:bottom w:w="80" w:type="dxa"/>
              <w:end w:w="90" w:type="dxa"/>
            </w:tcMar>
          </w:tcPr>
          <w:p>
            <w:pPr>
              <w:spacing w:after="0" w:before="0" w:line="240" w:lineRule="auto"/>
            </w:pPr>
            <w:r/>
            <w:r>
              <w:rPr>
                <w:rFonts w:ascii="Aptos" w:hAnsi="Aptos"/>
                <w:b w:val="0"/>
                <w:color w:val="222222"/>
                <w:sz w:val="18"/>
              </w:rPr>
              <w:t>STALE</w:t>
            </w:r>
          </w:p>
        </w:tc>
        <w:tc>
          <w:tcPr>
            <w:tcW w:type="dxa" w:w="8208"/>
            <w:vAlign w:val="center"/>
            <w:tcMar>
              <w:top w:w="80" w:type="dxa"/>
              <w:start w:w="90" w:type="dxa"/>
              <w:bottom w:w="80" w:type="dxa"/>
              <w:end w:w="90" w:type="dxa"/>
            </w:tcMar>
          </w:tcPr>
          <w:p>
            <w:pPr>
              <w:spacing w:after="0" w:before="0" w:line="240" w:lineRule="auto"/>
            </w:pPr>
            <w:r/>
            <w:r>
              <w:rPr>
                <w:rFonts w:ascii="Aptos" w:hAnsi="Aptos"/>
                <w:b w:val="0"/>
                <w:color w:val="222222"/>
                <w:sz w:val="18"/>
              </w:rPr>
              <w:t>Display DATA STALE; do not present fresh high-confidence call.</w:t>
            </w:r>
          </w:p>
        </w:tc>
      </w:tr>
      <w:tr>
        <w:tc>
          <w:tcPr>
            <w:tcW w:type="dxa" w:w="21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FAILED</w:t>
            </w:r>
          </w:p>
        </w:tc>
        <w:tc>
          <w:tcPr>
            <w:tcW w:type="dxa" w:w="820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Do not calculate dependent recommendation; show repair/retry guidance.</w:t>
            </w:r>
          </w:p>
        </w:tc>
      </w:tr>
      <w:tr>
        <w:tc>
          <w:tcPr>
            <w:tcW w:type="dxa" w:w="2160"/>
            <w:vAlign w:val="center"/>
            <w:tcMar>
              <w:top w:w="80" w:type="dxa"/>
              <w:start w:w="90" w:type="dxa"/>
              <w:bottom w:w="80" w:type="dxa"/>
              <w:end w:w="90" w:type="dxa"/>
            </w:tcMar>
          </w:tcPr>
          <w:p>
            <w:pPr>
              <w:spacing w:after="0" w:before="0" w:line="240" w:lineRule="auto"/>
            </w:pPr>
            <w:r/>
            <w:r>
              <w:rPr>
                <w:rFonts w:ascii="Aptos" w:hAnsi="Aptos"/>
                <w:b w:val="0"/>
                <w:color w:val="222222"/>
                <w:sz w:val="18"/>
              </w:rPr>
              <w:t>LAST VALID</w:t>
            </w:r>
          </w:p>
        </w:tc>
        <w:tc>
          <w:tcPr>
            <w:tcW w:type="dxa" w:w="8208"/>
            <w:vAlign w:val="center"/>
            <w:tcMar>
              <w:top w:w="80" w:type="dxa"/>
              <w:start w:w="90" w:type="dxa"/>
              <w:bottom w:w="80" w:type="dxa"/>
              <w:end w:w="90" w:type="dxa"/>
            </w:tcMar>
          </w:tcPr>
          <w:p>
            <w:pPr>
              <w:spacing w:after="0" w:before="0" w:line="240" w:lineRule="auto"/>
            </w:pPr>
            <w:r/>
            <w:r>
              <w:rPr>
                <w:rFonts w:ascii="Aptos" w:hAnsi="Aptos"/>
                <w:b w:val="0"/>
                <w:color w:val="222222"/>
                <w:sz w:val="18"/>
              </w:rPr>
              <w:t>May show last valid cached result clearly dated; never label it current.</w:t>
            </w:r>
          </w:p>
        </w:tc>
      </w:tr>
    </w:tbl>
    <w:p>
      <w:pPr>
        <w:spacing w:after="0"/>
      </w:pPr>
    </w:p>
    <w:p>
      <w:pPr>
        <w:pStyle w:val="Heading2"/>
        <w:spacing w:before="120" w:after="100"/>
      </w:pPr>
      <w:r>
        <w:rPr>
          <w:rFonts w:ascii="Aptos" w:hAnsi="Aptos"/>
          <w:b/>
          <w:color w:val="1B2A4A"/>
          <w:sz w:val="26"/>
        </w:rPr>
        <w:t>24.3 Fast Start and Cache</w:t>
      </w:r>
    </w:p>
    <w:p>
      <w:pPr>
        <w:pStyle w:val="ListBullet"/>
        <w:spacing w:after="40"/>
        <w:ind w:left="0"/>
      </w:pPr>
      <w:r>
        <w:rPr>
          <w:rFonts w:ascii="Aptos" w:hAnsi="Aptos"/>
          <w:color w:val="222222"/>
          <w:sz w:val="19"/>
        </w:rPr>
        <w:t>Open quickly using last valid cache; refresh only what is needed.</w:t>
      </w:r>
    </w:p>
    <w:p>
      <w:pPr>
        <w:pStyle w:val="ListBullet"/>
        <w:spacing w:after="40"/>
        <w:ind w:left="0"/>
      </w:pPr>
      <w:r>
        <w:rPr>
          <w:rFonts w:ascii="Aptos" w:hAnsi="Aptos"/>
          <w:color w:val="222222"/>
          <w:sz w:val="19"/>
        </w:rPr>
        <w:t>DAILY UPDATE refreshes core EOD data and derived boards after market close.</w:t>
      </w:r>
    </w:p>
    <w:p>
      <w:pPr>
        <w:pStyle w:val="ListBullet"/>
        <w:spacing w:after="40"/>
        <w:ind w:left="0"/>
      </w:pPr>
      <w:r>
        <w:rPr>
          <w:rFonts w:ascii="Aptos" w:hAnsi="Aptos"/>
          <w:color w:val="222222"/>
          <w:sz w:val="19"/>
        </w:rPr>
        <w:t>Cache must include source timestamp and calculation timestamp.</w:t>
      </w:r>
    </w:p>
    <w:p>
      <w:pPr>
        <w:pStyle w:val="ListBullet"/>
        <w:spacing w:after="40"/>
        <w:ind w:left="0"/>
      </w:pPr>
      <w:r>
        <w:rPr>
          <w:rFonts w:ascii="Aptos" w:hAnsi="Aptos"/>
          <w:color w:val="222222"/>
          <w:sz w:val="19"/>
        </w:rPr>
        <w:t>User can force full refresh/repair from System Check.</w:t>
      </w:r>
    </w:p>
    <w:p>
      <w:pPr>
        <w:pStyle w:val="ListBullet"/>
        <w:spacing w:after="40"/>
        <w:ind w:left="0"/>
      </w:pPr>
      <w:r>
        <w:rPr>
          <w:rFonts w:ascii="Aptos" w:hAnsi="Aptos"/>
          <w:color w:val="222222"/>
          <w:sz w:val="19"/>
        </w:rPr>
        <w:t>Cached data is never silently treated as current when freshness threshold is exceeded.</w:t>
      </w:r>
    </w:p>
    <w:p>
      <w:pPr>
        <w:pStyle w:val="Heading1"/>
        <w:spacing w:before="200" w:after="100"/>
      </w:pPr>
      <w:r>
        <w:rPr>
          <w:rFonts w:ascii="Aptos" w:hAnsi="Aptos"/>
          <w:b/>
          <w:color w:val="1B2A4A"/>
          <w:sz w:val="34"/>
        </w:rPr>
        <w:t>25. News, Results and Event Safety Layer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IIR-EVT-001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Results risk</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Upcoming/just-released earnings can downgrade timing confidence or force WAIT FOR RESULT.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IIR-EVT-002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Corporate events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Dividend, bonus, split, rights, buyback, mergers/demerger and material corporate actions visibly flagged.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IIR-EVT-003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Macro events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RBI/Fed/policy/budget and other major events may reduce near-term deployment when relevant.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IIR-EVT-004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Negative news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Material credible negative developments can block strong calls pending review.</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IIR-EVT-005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Source quality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Official/credible source preference; avoid opaque rumor as sole blocker/driver.</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IIR-EVT-006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Explain impact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Show exactly which event changed the recommendation or confidence.</w:t>
            </w:r>
          </w:p>
        </w:tc>
      </w:tr>
    </w:tbl>
    <w:p>
      <w:pPr>
        <w:spacing w:after="0"/>
      </w:pPr>
    </w:p>
    <w:p>
      <w:pPr>
        <w:pStyle w:val="Heading1"/>
        <w:spacing w:before="200" w:after="100"/>
      </w:pPr>
      <w:r>
        <w:rPr>
          <w:rFonts w:ascii="Aptos" w:hAnsi="Aptos"/>
          <w:b/>
          <w:color w:val="1B2A4A"/>
          <w:sz w:val="34"/>
        </w:rPr>
        <w:t>26. Return, Risk, Tax, Inflation and Cost Calculations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IIR-CAL-001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Percentage + rupee view</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Every scenario translates percentage impact to user-entered rupee amount.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IIR-CAL-002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Downside/base/upside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Default forecast format; avoid single-point “exact return”.</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IIR-CAL-003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Probability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Only from suitable historical/validated sample; otherwise N/A.</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IIR-CAL-004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Annualization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Use only when mathematically meaningful and clearly labelled.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IIR-CAL-005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Weighted average cost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Portfolio lots aggregate by total cost / total quantity.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IIR-CAL-006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P&amp;L</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Current value - invested amount; realized/unrealized separated where data available.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IIR-CAL-007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Tax estimate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Configurable effective assumption; do not hard-code one rule for all users/products.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IIR-CAL-008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Inflation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Optional inflation assumption for real-return/goal calculations.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IIR-CAL-009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Costs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Brokerage/fees/premium/taxes/storage or other product-specific costs included where user enters/where reliable.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IIR-CAL-010</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Opportunity cost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Compare acceptable alternatives on risk-adjusted fit for exact user horizon.</w:t>
            </w:r>
          </w:p>
        </w:tc>
      </w:tr>
    </w:tbl>
    <w:p>
      <w:pPr>
        <w:spacing w:after="0"/>
      </w:pPr>
    </w:p>
    <w:p>
      <w:pPr>
        <w:pStyle w:val="Heading1"/>
        <w:spacing w:before="200" w:after="100"/>
      </w:pPr>
      <w:r>
        <w:rPr>
          <w:rFonts w:ascii="Aptos" w:hAnsi="Aptos"/>
          <w:b/>
          <w:color w:val="1B2A4A"/>
          <w:sz w:val="34"/>
        </w:rPr>
        <w:t>27. Auto Risk and Suitability Engine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IIR-RSK-001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AUTO default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Risk mode should default to AUTO in Money Optimizer.</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IIR-RSK-002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Inputs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Duration, required date, liquidity need, essential vs surplus money, existing concentration, goal importance and user overrides.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IIR-RSK-003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Product eligibility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Hard reject products incompatible with lock-in/maturity/liquidity.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IIR-RSK-004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Volatility fit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Short horizon + essential money strongly penalizes volatile assets.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IIR-RSK-005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Exposure caps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Configurable maximum equity, crypto, single-stock, Gold/Silver and other concentration limits.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IIR-RSK-006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Override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User can select Low/Moderate/High explicitly; app still warns if product conflicts with exact required date.</w:t>
            </w:r>
          </w:p>
        </w:tc>
      </w:tr>
    </w:tbl>
    <w:p>
      <w:pPr>
        <w:spacing w:after="0"/>
      </w:pPr>
    </w:p>
    <w:p>
      <w:pPr>
        <w:pStyle w:val="Heading1"/>
        <w:spacing w:before="200" w:after="100"/>
      </w:pPr>
      <w:r>
        <w:rPr>
          <w:rFonts w:ascii="Aptos" w:hAnsi="Aptos"/>
          <w:b/>
          <w:color w:val="1B2A4A"/>
          <w:sz w:val="34"/>
        </w:rPr>
        <w:t>28. Daily, Weekly and Monthly Operating Flow</w:t>
      </w:r>
    </w:p>
    <w:p>
      <w:pPr>
        <w:pStyle w:val="Heading2"/>
        <w:spacing w:before="120" w:after="100"/>
      </w:pPr>
      <w:r>
        <w:rPr>
          <w:rFonts w:ascii="Aptos" w:hAnsi="Aptos"/>
          <w:b/>
          <w:color w:val="1B2A4A"/>
          <w:sz w:val="26"/>
        </w:rPr>
        <w:t>28.1 Daily EOD Routine</w:t>
      </w:r>
    </w:p>
    <w:p>
      <w:pPr>
        <w:spacing w:after="40"/>
        <w:ind w:left="0"/>
      </w:pPr>
      <w:r>
        <w:rPr>
          <w:rFonts w:ascii="Aptos" w:hAnsi="Aptos"/>
          <w:color w:val="222222"/>
          <w:sz w:val="19"/>
        </w:rPr>
        <w:t>1.   Open India Investment Radar from Desktop/Start shortcut.</w:t>
      </w:r>
    </w:p>
    <w:p>
      <w:pPr>
        <w:spacing w:after="40"/>
        <w:ind w:left="0"/>
      </w:pPr>
      <w:r>
        <w:rPr>
          <w:rFonts w:ascii="Aptos" w:hAnsi="Aptos"/>
          <w:color w:val="222222"/>
          <w:sz w:val="19"/>
        </w:rPr>
        <w:t>2.   Check data status on Fast Start.</w:t>
      </w:r>
    </w:p>
    <w:p>
      <w:pPr>
        <w:spacing w:after="40"/>
        <w:ind w:left="0"/>
      </w:pPr>
      <w:r>
        <w:rPr>
          <w:rFonts w:ascii="Aptos" w:hAnsi="Aptos"/>
          <w:color w:val="222222"/>
          <w:sz w:val="19"/>
        </w:rPr>
        <w:t>3.   Run DAILY UPDATE after Indian market close (practical routine around 4-5 PM IST).</w:t>
      </w:r>
    </w:p>
    <w:p>
      <w:pPr>
        <w:spacing w:after="40"/>
        <w:ind w:left="0"/>
      </w:pPr>
      <w:r>
        <w:rPr>
          <w:rFonts w:ascii="Aptos" w:hAnsi="Aptos"/>
          <w:color w:val="222222"/>
          <w:sz w:val="19"/>
        </w:rPr>
        <w:t>4.   Review Market Outlook and Action Board.</w:t>
      </w:r>
    </w:p>
    <w:p>
      <w:pPr>
        <w:spacing w:after="40"/>
        <w:ind w:left="0"/>
      </w:pPr>
      <w:r>
        <w:rPr>
          <w:rFonts w:ascii="Aptos" w:hAnsi="Aptos"/>
          <w:color w:val="222222"/>
          <w:sz w:val="19"/>
        </w:rPr>
        <w:t>5.   Check tracked alerts / portfolio changes / reserve opportunities.</w:t>
      </w:r>
    </w:p>
    <w:p>
      <w:pPr>
        <w:spacing w:after="40"/>
        <w:ind w:left="0"/>
      </w:pPr>
      <w:r>
        <w:rPr>
          <w:rFonts w:ascii="Aptos" w:hAnsi="Aptos"/>
          <w:color w:val="222222"/>
          <w:sz w:val="19"/>
        </w:rPr>
        <w:t>6.   Use Best Use of My Money only when new money is available or allocation needs review.</w:t>
      </w:r>
    </w:p>
    <w:p>
      <w:pPr>
        <w:spacing w:after="40"/>
        <w:ind w:left="0"/>
      </w:pPr>
      <w:r>
        <w:rPr>
          <w:rFonts w:ascii="Aptos" w:hAnsi="Aptos"/>
          <w:color w:val="222222"/>
          <w:sz w:val="19"/>
        </w:rPr>
        <w:t>7.   Execute externally through the user’s chosen broker/platform/dealer; mark executed in Radar if desired.</w:t>
      </w:r>
    </w:p>
    <w:p>
      <w:pPr>
        <w:pStyle w:val="Heading2"/>
        <w:spacing w:before="120" w:after="100"/>
      </w:pPr>
      <w:r>
        <w:rPr>
          <w:rFonts w:ascii="Aptos" w:hAnsi="Aptos"/>
          <w:b/>
          <w:color w:val="1B2A4A"/>
          <w:sz w:val="26"/>
        </w:rPr>
        <w:t>28.2 Weekly / Long-Term Routine</w:t>
      </w:r>
    </w:p>
    <w:p>
      <w:pPr>
        <w:pStyle w:val="ListBullet"/>
        <w:spacing w:after="40"/>
        <w:ind w:left="0"/>
      </w:pPr>
      <w:r>
        <w:rPr>
          <w:rFonts w:ascii="Aptos" w:hAnsi="Aptos"/>
          <w:color w:val="222222"/>
          <w:sz w:val="19"/>
        </w:rPr>
        <w:t>Review long-term stock/fund/goal portfolio once or twice weekly as needed.</w:t>
      </w:r>
    </w:p>
    <w:p>
      <w:pPr>
        <w:pStyle w:val="ListBullet"/>
        <w:spacing w:after="40"/>
        <w:ind w:left="0"/>
      </w:pPr>
      <w:r>
        <w:rPr>
          <w:rFonts w:ascii="Aptos" w:hAnsi="Aptos"/>
          <w:color w:val="222222"/>
          <w:sz w:val="19"/>
        </w:rPr>
        <w:t>Review unresolved recommendation lifecycle and portfolio concentration.</w:t>
      </w:r>
    </w:p>
    <w:p>
      <w:pPr>
        <w:pStyle w:val="ListBullet"/>
        <w:spacing w:after="40"/>
        <w:ind w:left="0"/>
      </w:pPr>
      <w:r>
        <w:rPr>
          <w:rFonts w:ascii="Aptos" w:hAnsi="Aptos"/>
          <w:color w:val="222222"/>
          <w:sz w:val="19"/>
        </w:rPr>
        <w:t>Review accuracy dashboard and data health.</w:t>
      </w:r>
    </w:p>
    <w:p>
      <w:pPr>
        <w:pStyle w:val="ListBullet"/>
        <w:spacing w:after="40"/>
        <w:ind w:left="0"/>
      </w:pPr>
      <w:r>
        <w:rPr>
          <w:rFonts w:ascii="Aptos" w:hAnsi="Aptos"/>
          <w:color w:val="222222"/>
          <w:sz w:val="19"/>
        </w:rPr>
        <w:t>Run backup/validation maintenance if prompted.</w:t>
      </w:r>
    </w:p>
    <w:p>
      <w:pPr>
        <w:pStyle w:val="Heading2"/>
        <w:spacing w:before="120" w:after="100"/>
      </w:pPr>
      <w:r>
        <w:rPr>
          <w:rFonts w:ascii="Aptos" w:hAnsi="Aptos"/>
          <w:b/>
          <w:color w:val="1B2A4A"/>
          <w:sz w:val="26"/>
        </w:rPr>
        <w:t>28.3 Monthly Investment Routine</w:t>
      </w:r>
    </w:p>
    <w:p>
      <w:pPr>
        <w:pStyle w:val="ListBullet"/>
        <w:spacing w:after="40"/>
        <w:ind w:left="0"/>
      </w:pPr>
      <w:r>
        <w:rPr>
          <w:rFonts w:ascii="Aptos" w:hAnsi="Aptos"/>
          <w:color w:val="222222"/>
          <w:sz w:val="19"/>
        </w:rPr>
        <w:t>For monthly mode, load this month’s available amount.</w:t>
      </w:r>
    </w:p>
    <w:p>
      <w:pPr>
        <w:pStyle w:val="ListBullet"/>
        <w:spacing w:after="40"/>
        <w:ind w:left="0"/>
      </w:pPr>
      <w:r>
        <w:rPr>
          <w:rFonts w:ascii="Aptos" w:hAnsi="Aptos"/>
          <w:color w:val="222222"/>
          <w:sz w:val="19"/>
        </w:rPr>
        <w:t>Reassess current market and portfolio rather than blindly repeat last month’s split.</w:t>
      </w:r>
    </w:p>
    <w:p>
      <w:pPr>
        <w:pStyle w:val="ListBullet"/>
        <w:spacing w:after="40"/>
        <w:ind w:left="0"/>
      </w:pPr>
      <w:r>
        <w:rPr>
          <w:rFonts w:ascii="Aptos" w:hAnsi="Aptos"/>
          <w:color w:val="222222"/>
          <w:sz w:val="19"/>
        </w:rPr>
        <w:t>Preserve planned long-term discipline while permitting temporary reserve when entries are poor.</w:t>
      </w:r>
    </w:p>
    <w:p>
      <w:pPr>
        <w:pStyle w:val="ListBullet"/>
        <w:spacing w:after="40"/>
        <w:ind w:left="0"/>
      </w:pPr>
      <w:r>
        <w:rPr>
          <w:rFonts w:ascii="Aptos" w:hAnsi="Aptos"/>
          <w:color w:val="222222"/>
          <w:sz w:val="19"/>
        </w:rPr>
        <w:t>Explain why this month differs from previous month.</w:t>
      </w:r>
    </w:p>
    <w:p>
      <w:pPr>
        <w:pStyle w:val="Heading1"/>
        <w:spacing w:before="200" w:after="100"/>
      </w:pPr>
      <w:r>
        <w:rPr>
          <w:rFonts w:ascii="Aptos" w:hAnsi="Aptos"/>
          <w:b/>
          <w:color w:val="1B2A4A"/>
          <w:sz w:val="34"/>
        </w:rPr>
        <w:t>29. Reports, Export and Auditability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IIR-REP-001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Portfolio export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Excel/CSV current transaction/lot schema.</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IIR-REP-002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Recommendation report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Export/share detailed recommendation card with timestamp, data freshness and reasons.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IIR-REP-003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Plan report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Export Money Optimizer allocation with timing, scenarios, reasons and review date.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IIR-REP-004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Accuracy report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Resolved calls, win/loss statistics and reliability.</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IIR-REP-005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IPO report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Current issue comparison and exact issue detail.</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IIR-REP-006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Gold/Silver report</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Physical rate, buy zones, staged plan and scenario table.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IIR-REP-007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Audit trail</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Important changes, imports, recommendation revisions and executions time-stamped locally.</w:t>
            </w:r>
          </w:p>
        </w:tc>
      </w:tr>
    </w:tbl>
    <w:p>
      <w:pPr>
        <w:spacing w:after="0"/>
      </w:pPr>
    </w:p>
    <w:p>
      <w:pPr>
        <w:pStyle w:val="Heading1"/>
        <w:spacing w:before="200" w:after="100"/>
      </w:pPr>
      <w:r>
        <w:rPr>
          <w:rFonts w:ascii="Aptos" w:hAnsi="Aptos"/>
          <w:b/>
          <w:color w:val="1B2A4A"/>
          <w:sz w:val="34"/>
        </w:rPr>
        <w:t>30. Settings and Configuration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Settings group</w:t>
            </w:r>
          </w:p>
        </w:tc>
        <w:tc>
          <w:tcPr>
            <w:tcW w:type="dxa" w:w="7776"/>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Examples</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7"/>
              </w:rPr>
              <w:t>General</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7"/>
              </w:rPr>
              <w:t>Currency, default risk, simple/advanced mode, date format.</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Data</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Source priority, refresh, cache age, proxy selection, optional provider credentials stored locally.</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7"/>
              </w:rPr>
              <w:t>Stocks</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7"/>
              </w:rPr>
              <w:t>Strong Buy thresholds, liquidity filters, minimum history, risk-per-position.</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Gold/Silver</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Local quote units, premium, tax/GST if not included, staging percentages, reference source.</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7"/>
              </w:rPr>
              <w:t>Crypto</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7"/>
              </w:rPr>
              <w:t>Universe, max exposure, confidence penalty, data source.</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Portfolio</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Default broker/source, reserve minimum, exposure caps.</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7"/>
              </w:rPr>
              <w:t>Returns</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7"/>
              </w:rPr>
              <w:t>Inflation assumption, effective tax assumption, transaction cost assumptions.</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Alerts</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Types, severity, deduplication and preferred delivery if supported.</w:t>
            </w:r>
          </w:p>
        </w:tc>
      </w:tr>
      <w:tr>
        <w:tc>
          <w:tcPr>
            <w:tcW w:type="dxa" w:w="2592"/>
            <w:vAlign w:val="center"/>
            <w:tcMar>
              <w:top w:w="80" w:type="dxa"/>
              <w:start w:w="90" w:type="dxa"/>
              <w:bottom w:w="80" w:type="dxa"/>
              <w:end w:w="90" w:type="dxa"/>
            </w:tcMar>
          </w:tcPr>
          <w:p>
            <w:pPr>
              <w:spacing w:after="0" w:before="0" w:line="240" w:lineRule="auto"/>
            </w:pPr>
            <w:r/>
            <w:r>
              <w:rPr>
                <w:rFonts w:ascii="Aptos" w:hAnsi="Aptos"/>
                <w:b w:val="0"/>
                <w:color w:val="222222"/>
                <w:sz w:val="17"/>
              </w:rPr>
              <w:t>Backup</w:t>
            </w:r>
          </w:p>
        </w:tc>
        <w:tc>
          <w:tcPr>
            <w:tcW w:type="dxa" w:w="7776"/>
            <w:vAlign w:val="center"/>
            <w:tcMar>
              <w:top w:w="80" w:type="dxa"/>
              <w:start w:w="90" w:type="dxa"/>
              <w:bottom w:w="80" w:type="dxa"/>
              <w:end w:w="90" w:type="dxa"/>
            </w:tcMar>
          </w:tcPr>
          <w:p>
            <w:pPr>
              <w:spacing w:after="0" w:before="0" w:line="240" w:lineRule="auto"/>
            </w:pPr>
            <w:r/>
            <w:r>
              <w:rPr>
                <w:rFonts w:ascii="Aptos" w:hAnsi="Aptos"/>
                <w:b w:val="0"/>
                <w:color w:val="222222"/>
                <w:sz w:val="17"/>
              </w:rPr>
              <w:t>Location, rotation count, automatic backup before update/import replace.</w:t>
            </w:r>
          </w:p>
        </w:tc>
      </w:tr>
      <w:tr>
        <w:tc>
          <w:tcPr>
            <w:tcW w:type="dxa" w:w="2592"/>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Updates</w:t>
            </w:r>
          </w:p>
        </w:tc>
        <w:tc>
          <w:tcPr>
            <w:tcW w:type="dxa" w:w="7776"/>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Check for update, update channel, restore previous version.</w:t>
            </w:r>
          </w:p>
        </w:tc>
      </w:tr>
    </w:tbl>
    <w:p>
      <w:pPr>
        <w:spacing w:after="0"/>
      </w:pPr>
    </w:p>
    <w:p>
      <w:pPr>
        <w:pStyle w:val="Heading1"/>
        <w:spacing w:before="200" w:after="100"/>
      </w:pPr>
      <w:r>
        <w:rPr>
          <w:rFonts w:ascii="Aptos" w:hAnsi="Aptos"/>
          <w:b/>
          <w:color w:val="1B2A4A"/>
          <w:sz w:val="34"/>
        </w:rPr>
        <w:t>31. Installation, Local Architecture and One-Click Use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IIR-DEP-001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Windows local install</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Install to a stable user-local application folder; use local virtual environment.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IIR-DEP-002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One-time setup</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User runs setup once; routine use is through Desktop/Start shortcut.</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IIR-DEP-003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Shortcut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Desktop and Windows Start Menu entry named India Investment Radar.</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IIR-DEP-004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No developer dependency</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Normal update, repair, backup and restore should not require manual coding.</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IIR-DEP-005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Existing data preservation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Updates preserve local data/history/portfolio/settings unless migration explicitly required.</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IIR-DEP-006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Offline resilience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App opens with cached/local data when internet unavailable; clearly marks stale data.</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IIR-DEP-007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Online refresh</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Internet required only for new external data/optional feeds, not to view saved portfolio/history.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IIR-DEP-008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Repair</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One-click Repair Installation checks modules/dependencies/shortcuts/config.</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IIR-DEP-009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Rollback</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Backup current app/config before update; allow restore previous version.</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IIR-DEP-010</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Diagnostics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System Check reports Python/app/data/cache/source issues in user-friendly terms.</w:t>
            </w:r>
          </w:p>
        </w:tc>
      </w:tr>
    </w:tbl>
    <w:p>
      <w:pPr>
        <w:spacing w:after="0"/>
      </w:pPr>
    </w:p>
    <w:p>
      <w:pPr>
        <w:pStyle w:val="Heading1"/>
        <w:spacing w:before="200" w:after="100"/>
      </w:pPr>
      <w:r>
        <w:rPr>
          <w:rFonts w:ascii="Aptos" w:hAnsi="Aptos"/>
          <w:b/>
          <w:color w:val="1B2A4A"/>
          <w:sz w:val="34"/>
        </w:rPr>
        <w:t>32. Backup, Restore and Data Safety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IIR-BKP-001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Automatic backup</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Before destructive import replace, major update or migration.</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IIR-BKP-002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Rotating backups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Keep configurable number of recent local backups.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IIR-BKP-003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Portfolio safety</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Import errors must not partially corrupt the saved portfolio.</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IIR-BKP-004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Atomic writes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Write to temp then replace for critical JSON/CSV state where practical.</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IIR-BKP-005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Restore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User-friendly restore point selection with timestamp.</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IIR-BKP-006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Export ownership</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User can export their own portfolio/settings/recommendation history.</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IIR-BKP-007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Secrets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Provider/API keys, if any, remain local and are never embedded in shared scope/docs.</w:t>
            </w:r>
          </w:p>
        </w:tc>
      </w:tr>
    </w:tbl>
    <w:p>
      <w:pPr>
        <w:spacing w:after="0"/>
      </w:pPr>
    </w:p>
    <w:p>
      <w:pPr>
        <w:pStyle w:val="Heading1"/>
        <w:spacing w:before="200" w:after="100"/>
      </w:pPr>
      <w:r>
        <w:rPr>
          <w:rFonts w:ascii="Aptos" w:hAnsi="Aptos"/>
          <w:b/>
          <w:color w:val="1B2A4A"/>
          <w:sz w:val="34"/>
        </w:rPr>
        <w:t>33. Error Handling and System Check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Problem</w:t>
            </w:r>
          </w:p>
        </w:tc>
        <w:tc>
          <w:tcPr>
            <w:tcW w:type="dxa" w:w="748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Required user-facing behavior</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No internet</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Open app using local cache; show OFFLINE / LAST VALID DATA.</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NSE download fails</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Keep prior valid data, show retry/repair; do not overwrite with empty file.</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Malformed import</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Show row-level errors and reject/skip safely; no silent data loss.</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Missing history</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Show INSUFFICIENT HISTORY instead of fabricated score.</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Provider feed fails</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Dependent module marked unavailable/stale; other modules continue.</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Broken shortcut</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Repair tool recreates Desktop/Start shortcut using robust Windows path handling.</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7"/>
              </w:rPr>
              <w:t>Corrupt config</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7"/>
              </w:rPr>
              <w:t>Restore safe defaults or latest backup; preserve user data.</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Calculation exception</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Display simple message, log technical detail locally, avoid raw stack traces in Simple Mode.</w:t>
            </w:r>
          </w:p>
        </w:tc>
      </w:tr>
    </w:tbl>
    <w:p>
      <w:pPr>
        <w:spacing w:after="0"/>
      </w:pPr>
    </w:p>
    <w:p>
      <w:pPr>
        <w:pStyle w:val="Heading1"/>
        <w:spacing w:before="200" w:after="100"/>
      </w:pPr>
      <w:r>
        <w:rPr>
          <w:rFonts w:ascii="Aptos" w:hAnsi="Aptos"/>
          <w:b/>
          <w:color w:val="1B2A4A"/>
          <w:sz w:val="34"/>
        </w:rPr>
        <w:t>34. Performance and Responsiveness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IIR-PERF-001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Fast Start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App opens using cache without rescanning the entire market synchronously.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IIR-PERF-002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Lazy module loading</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Heavy data work only when relevant tab/refresh is used.</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IIR-PERF-003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Batch processing</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Use vectorized/batched reads/writes where possible.</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IIR-PERF-004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Incremental update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Daily update appends/refreshes newest market data rather than re-downloading all history unnecessarily.</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IIR-PERF-005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Cached dropdowns/master data</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Stock/fund/product lists load quickly.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IIR-PERF-006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Progress feedback</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Long operations show progress and exact stage.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IIR-PERF-007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No UI blinking/raw technical output</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No Streamlit DeltaGenerator/debug object or provider traces shown to normal user.</w:t>
            </w:r>
          </w:p>
        </w:tc>
      </w:tr>
    </w:tbl>
    <w:p>
      <w:pPr>
        <w:spacing w:after="0"/>
      </w:pPr>
    </w:p>
    <w:p>
      <w:pPr>
        <w:pStyle w:val="Heading1"/>
        <w:spacing w:before="200" w:after="100"/>
      </w:pPr>
      <w:r>
        <w:rPr>
          <w:rFonts w:ascii="Aptos" w:hAnsi="Aptos"/>
          <w:b/>
          <w:color w:val="1B2A4A"/>
          <w:sz w:val="34"/>
        </w:rPr>
        <w:t>35. Security and Privacy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IIR-SEC-001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Local-first data</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Portfolio, goals, settings and recommendation history stored locally by default.</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IIR-SEC-002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Credential privacy</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Optional provider keys encrypted/obscured as feasible; never printed in logs/screens/reports.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IIR-SEC-003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No automatic trade execution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Core scope is research/decision-support; broker account execution remains external unless separately designed later.</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IIR-SEC-004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Import validation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File extensions, columns and values validated before merge/replace.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IIR-SEC-005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Data minimization</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Do not require PAN/bank/login credentials for the core Radar.</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IIR-SEC-006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Auditability</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Important changes time-stamped.</w:t>
            </w:r>
          </w:p>
        </w:tc>
      </w:tr>
    </w:tbl>
    <w:p>
      <w:pPr>
        <w:spacing w:after="0"/>
      </w:pPr>
    </w:p>
    <w:p>
      <w:pPr>
        <w:pStyle w:val="Heading1"/>
        <w:spacing w:before="200" w:after="100"/>
      </w:pPr>
      <w:r>
        <w:rPr>
          <w:rFonts w:ascii="Aptos" w:hAnsi="Aptos"/>
          <w:b/>
          <w:color w:val="1B2A4A"/>
          <w:sz w:val="34"/>
        </w:rPr>
        <w:t>36. Form and Field-Level UX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 ID</w:t>
            </w:r>
          </w:p>
        </w:tc>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Requirement</w:t>
            </w:r>
          </w:p>
        </w:tc>
        <w:tc>
          <w:tcPr>
            <w:tcW w:type="dxa" w:w="576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Specification / Acceptance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IIR-FRM-001</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Selection before typing</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Use dropdown/search selection where master data exists; free text only where necessary.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IIR-FRM-002</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Smart defaults</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Pre-fill last-used/default values and recommended choice.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IIR-FRM-003</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Validation inline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Show clear human-language validation next to field.</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IIR-FRM-004</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Units visible</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Every amount/price/quantity field visibly states unit (₹, shares, grams, ₹/10g, kg, ₹/kg etc.).</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IIR-FRM-005</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Auto calculations</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Invested amount, lot cost, quantity, weighted average and scenario values calculate automatically.</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IIR-FRM-006</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No duplicate entry confusion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Stable IDs and product/date matching warnings.</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IIR-FRM-007</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Help</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Short tooltip/examples, not long technical explanations.</w:t>
            </w:r>
          </w:p>
        </w:tc>
      </w:tr>
      <w:tr>
        <w:tc>
          <w:tcPr>
            <w:tcW w:type="dxa" w:w="158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IIR-FRM-008</w:t>
            </w:r>
          </w:p>
        </w:tc>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Back/Main navigation</w:t>
            </w:r>
          </w:p>
        </w:tc>
        <w:tc>
          <w:tcPr>
            <w:tcW w:type="dxa" w:w="576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Every deep screen has obvious Back and Home.</w:t>
            </w:r>
          </w:p>
        </w:tc>
      </w:tr>
      <w:tr>
        <w:tc>
          <w:tcPr>
            <w:tcW w:type="dxa" w:w="1584"/>
            <w:vAlign w:val="center"/>
            <w:tcMar>
              <w:top w:w="80" w:type="dxa"/>
              <w:start w:w="90" w:type="dxa"/>
              <w:bottom w:w="80" w:type="dxa"/>
              <w:end w:w="90" w:type="dxa"/>
            </w:tcMar>
          </w:tcPr>
          <w:p>
            <w:pPr>
              <w:spacing w:after="0" w:before="0" w:line="240" w:lineRule="auto"/>
            </w:pPr>
            <w:r/>
            <w:r>
              <w:rPr>
                <w:rFonts w:ascii="Aptos" w:hAnsi="Aptos"/>
                <w:b w:val="0"/>
                <w:color w:val="222222"/>
                <w:sz w:val="16"/>
              </w:rPr>
              <w:t>IIR-FRM-009</w:t>
            </w:r>
          </w:p>
        </w:tc>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6"/>
              </w:rPr>
              <w:t>Responsive use</w:t>
            </w:r>
          </w:p>
        </w:tc>
        <w:tc>
          <w:tcPr>
            <w:tcW w:type="dxa" w:w="5760"/>
            <w:vAlign w:val="center"/>
            <w:tcMar>
              <w:top w:w="80" w:type="dxa"/>
              <w:start w:w="90" w:type="dxa"/>
              <w:bottom w:w="80" w:type="dxa"/>
              <w:end w:w="90" w:type="dxa"/>
            </w:tcMar>
          </w:tcPr>
          <w:p>
            <w:pPr>
              <w:spacing w:after="0" w:before="0" w:line="240" w:lineRule="auto"/>
            </w:pPr>
            <w:r/>
            <w:r>
              <w:rPr>
                <w:rFonts w:ascii="Aptos" w:hAnsi="Aptos"/>
                <w:b w:val="0"/>
                <w:color w:val="222222"/>
                <w:sz w:val="16"/>
              </w:rPr>
              <w:t>Desktop-first but layouts should avoid unnecessary horizontal scroll and support smaller browser windows.</w:t>
            </w:r>
          </w:p>
        </w:tc>
      </w:tr>
    </w:tbl>
    <w:p>
      <w:pPr>
        <w:spacing w:after="0"/>
      </w:pPr>
    </w:p>
    <w:p>
      <w:pPr>
        <w:pStyle w:val="Heading1"/>
        <w:spacing w:before="200" w:after="100"/>
      </w:pPr>
      <w:r>
        <w:rPr>
          <w:rFonts w:ascii="Aptos" w:hAnsi="Aptos"/>
          <w:b/>
          <w:color w:val="1B2A4A"/>
          <w:sz w:val="34"/>
        </w:rPr>
        <w:t>37. Acceptance Criteria by Critical User Journey</w:t>
      </w:r>
    </w:p>
    <w:p>
      <w:pPr>
        <w:pStyle w:val="Heading2"/>
        <w:spacing w:before="120" w:after="100"/>
      </w:pPr>
      <w:r>
        <w:rPr>
          <w:rFonts w:ascii="Aptos" w:hAnsi="Aptos"/>
          <w:b/>
          <w:color w:val="1B2A4A"/>
          <w:sz w:val="26"/>
        </w:rPr>
        <w:t>37.1 “I have ₹50,000 for 6 months”</w:t>
      </w:r>
    </w:p>
    <w:p>
      <w:pPr>
        <w:spacing w:after="40"/>
        <w:ind w:left="0"/>
      </w:pPr>
      <w:r>
        <w:rPr>
          <w:rFonts w:ascii="Aptos" w:hAnsi="Aptos"/>
          <w:color w:val="222222"/>
          <w:sz w:val="19"/>
        </w:rPr>
        <w:t>1.   User enters ₹50,000, 6 months and AUTO risk.</w:t>
      </w:r>
    </w:p>
    <w:p>
      <w:pPr>
        <w:spacing w:after="40"/>
        <w:ind w:left="0"/>
      </w:pPr>
      <w:r>
        <w:rPr>
          <w:rFonts w:ascii="Aptos" w:hAnsi="Aptos"/>
          <w:color w:val="222222"/>
          <w:sz w:val="19"/>
        </w:rPr>
        <w:t>2.   System excludes incompatible lock-in/maturity products.</w:t>
      </w:r>
    </w:p>
    <w:p>
      <w:pPr>
        <w:spacing w:after="40"/>
        <w:ind w:left="0"/>
      </w:pPr>
      <w:r>
        <w:rPr>
          <w:rFonts w:ascii="Aptos" w:hAnsi="Aptos"/>
          <w:color w:val="222222"/>
          <w:sz w:val="19"/>
        </w:rPr>
        <w:t>3.   System compares eligible fixed income, Gold/Silver, stocks, funds, ETFs, IPO/current opportunities, crypto/other only if risk allows and data is valid.</w:t>
      </w:r>
    </w:p>
    <w:p>
      <w:pPr>
        <w:spacing w:after="40"/>
        <w:ind w:left="0"/>
      </w:pPr>
      <w:r>
        <w:rPr>
          <w:rFonts w:ascii="Aptos" w:hAnsi="Aptos"/>
          <w:color w:val="222222"/>
          <w:sz w:val="19"/>
        </w:rPr>
        <w:t>4.   Result gives exact allocation, reserve, timing and scenario range.</w:t>
      </w:r>
    </w:p>
    <w:p>
      <w:pPr>
        <w:spacing w:after="40"/>
        <w:ind w:left="0"/>
      </w:pPr>
      <w:r>
        <w:rPr>
          <w:rFonts w:ascii="Aptos" w:hAnsi="Aptos"/>
          <w:color w:val="222222"/>
          <w:sz w:val="19"/>
        </w:rPr>
        <w:t>5.   User sees Why This Plan and Why Not Others.</w:t>
      </w:r>
    </w:p>
    <w:p>
      <w:pPr>
        <w:spacing w:after="40"/>
        <w:ind w:left="0"/>
      </w:pPr>
      <w:r>
        <w:rPr>
          <w:rFonts w:ascii="Aptos" w:hAnsi="Aptos"/>
          <w:color w:val="222222"/>
          <w:sz w:val="19"/>
        </w:rPr>
        <w:t>6.   User can Go Deeper from asset allocation to exact product.</w:t>
      </w:r>
    </w:p>
    <w:p>
      <w:pPr>
        <w:spacing w:after="40"/>
        <w:ind w:left="0"/>
      </w:pPr>
      <w:r>
        <w:rPr>
          <w:rFonts w:ascii="Aptos" w:hAnsi="Aptos"/>
          <w:color w:val="222222"/>
          <w:sz w:val="19"/>
        </w:rPr>
        <w:t>7.   User can Track the plan and later mark actual investments.</w:t>
      </w:r>
    </w:p>
    <w:p>
      <w:pPr>
        <w:pStyle w:val="Heading2"/>
        <w:spacing w:before="120" w:after="100"/>
      </w:pPr>
      <w:r>
        <w:rPr>
          <w:rFonts w:ascii="Aptos" w:hAnsi="Aptos"/>
          <w:b/>
          <w:color w:val="1B2A4A"/>
          <w:sz w:val="26"/>
        </w:rPr>
        <w:t>37.2 “I only want Gold”</w:t>
      </w:r>
    </w:p>
    <w:p>
      <w:pPr>
        <w:spacing w:after="40"/>
        <w:ind w:left="0"/>
      </w:pPr>
      <w:r>
        <w:rPr>
          <w:rFonts w:ascii="Aptos" w:hAnsi="Aptos"/>
          <w:color w:val="222222"/>
          <w:sz w:val="19"/>
        </w:rPr>
        <w:t>1.   User chooses Gold segment.</w:t>
      </w:r>
    </w:p>
    <w:p>
      <w:pPr>
        <w:spacing w:after="40"/>
        <w:ind w:left="0"/>
      </w:pPr>
      <w:r>
        <w:rPr>
          <w:rFonts w:ascii="Aptos" w:hAnsi="Aptos"/>
          <w:color w:val="222222"/>
          <w:sz w:val="19"/>
        </w:rPr>
        <w:t>2.   System asks amount/duration/risk with recommended defaults.</w:t>
      </w:r>
    </w:p>
    <w:p>
      <w:pPr>
        <w:spacing w:after="40"/>
        <w:ind w:left="0"/>
      </w:pPr>
      <w:r>
        <w:rPr>
          <w:rFonts w:ascii="Aptos" w:hAnsi="Aptos"/>
          <w:color w:val="222222"/>
          <w:sz w:val="19"/>
        </w:rPr>
        <w:t>3.   System compares suitable Gold forms; if user selects Physical only, respects constraint.</w:t>
      </w:r>
    </w:p>
    <w:p>
      <w:pPr>
        <w:spacing w:after="40"/>
        <w:ind w:left="0"/>
      </w:pPr>
      <w:r>
        <w:rPr>
          <w:rFonts w:ascii="Aptos" w:hAnsi="Aptos"/>
          <w:color w:val="222222"/>
          <w:sz w:val="19"/>
        </w:rPr>
        <w:t>4.   Physical result shows current local/reference rate, buy zones, staging, quantity, scenarios, reasons and change triggers.</w:t>
      </w:r>
    </w:p>
    <w:p>
      <w:pPr>
        <w:spacing w:after="40"/>
        <w:ind w:left="0"/>
      </w:pPr>
      <w:r>
        <w:rPr>
          <w:rFonts w:ascii="Aptos" w:hAnsi="Aptos"/>
          <w:color w:val="222222"/>
          <w:sz w:val="19"/>
        </w:rPr>
        <w:t>5.   User can save plan or add actual purchase lot after buying.</w:t>
      </w:r>
    </w:p>
    <w:p>
      <w:pPr>
        <w:pStyle w:val="Heading2"/>
        <w:spacing w:before="120" w:after="100"/>
      </w:pPr>
      <w:r>
        <w:rPr>
          <w:rFonts w:ascii="Aptos" w:hAnsi="Aptos"/>
          <w:b/>
          <w:color w:val="1B2A4A"/>
          <w:sz w:val="26"/>
        </w:rPr>
        <w:t>37.3 “I only want Mutual Funds”</w:t>
      </w:r>
    </w:p>
    <w:p>
      <w:pPr>
        <w:spacing w:after="40"/>
        <w:ind w:left="0"/>
      </w:pPr>
      <w:r>
        <w:rPr>
          <w:rFonts w:ascii="Aptos" w:hAnsi="Aptos"/>
          <w:color w:val="222222"/>
          <w:sz w:val="19"/>
        </w:rPr>
        <w:t>1.   User chooses Mutual Funds.</w:t>
      </w:r>
    </w:p>
    <w:p>
      <w:pPr>
        <w:spacing w:after="40"/>
        <w:ind w:left="0"/>
      </w:pPr>
      <w:r>
        <w:rPr>
          <w:rFonts w:ascii="Aptos" w:hAnsi="Aptos"/>
          <w:color w:val="222222"/>
          <w:sz w:val="19"/>
        </w:rPr>
        <w:t>2.   System selects category allocation based on amount, horizon, risk, goal and existing portfolio.</w:t>
      </w:r>
    </w:p>
    <w:p>
      <w:pPr>
        <w:spacing w:after="40"/>
        <w:ind w:left="0"/>
      </w:pPr>
      <w:r>
        <w:rPr>
          <w:rFonts w:ascii="Aptos" w:hAnsi="Aptos"/>
          <w:color w:val="222222"/>
          <w:sz w:val="19"/>
        </w:rPr>
        <w:t>3.   User clicks Go Deeper to exact scheme ranking.</w:t>
      </w:r>
    </w:p>
    <w:p>
      <w:pPr>
        <w:spacing w:after="40"/>
        <w:ind w:left="0"/>
      </w:pPr>
      <w:r>
        <w:rPr>
          <w:rFonts w:ascii="Aptos" w:hAnsi="Aptos"/>
          <w:color w:val="222222"/>
          <w:sz w:val="19"/>
        </w:rPr>
        <w:t>4.   Exact scheme comparison includes consistency, drawdown, risk-adjusted return, cost, overlap and fit.</w:t>
      </w:r>
    </w:p>
    <w:p>
      <w:pPr>
        <w:spacing w:after="40"/>
        <w:ind w:left="0"/>
      </w:pPr>
      <w:r>
        <w:rPr>
          <w:rFonts w:ascii="Aptos" w:hAnsi="Aptos"/>
          <w:color w:val="222222"/>
          <w:sz w:val="19"/>
        </w:rPr>
        <w:t>5.   System recommends lump sum/SIP/stagger and explains why selected/why not peers.</w:t>
      </w:r>
    </w:p>
    <w:p>
      <w:pPr>
        <w:pStyle w:val="Heading2"/>
        <w:spacing w:before="120" w:after="100"/>
      </w:pPr>
      <w:r>
        <w:rPr>
          <w:rFonts w:ascii="Aptos" w:hAnsi="Aptos"/>
          <w:b/>
          <w:color w:val="1B2A4A"/>
          <w:sz w:val="26"/>
        </w:rPr>
        <w:t>37.4 “I already own investments”</w:t>
      </w:r>
    </w:p>
    <w:p>
      <w:pPr>
        <w:spacing w:after="40"/>
        <w:ind w:left="0"/>
      </w:pPr>
      <w:r>
        <w:rPr>
          <w:rFonts w:ascii="Aptos" w:hAnsi="Aptos"/>
          <w:color w:val="222222"/>
          <w:sz w:val="19"/>
        </w:rPr>
        <w:t>1.   User manually enters lots or downloads Excel/CSV template.</w:t>
      </w:r>
    </w:p>
    <w:p>
      <w:pPr>
        <w:spacing w:after="40"/>
        <w:ind w:left="0"/>
      </w:pPr>
      <w:r>
        <w:rPr>
          <w:rFonts w:ascii="Aptos" w:hAnsi="Aptos"/>
          <w:color w:val="222222"/>
          <w:sz w:val="19"/>
        </w:rPr>
        <w:t>2.   Import with blank InvestmentID creates new lots; same ID updates existing lot.</w:t>
      </w:r>
    </w:p>
    <w:p>
      <w:pPr>
        <w:spacing w:after="40"/>
        <w:ind w:left="0"/>
      </w:pPr>
      <w:r>
        <w:rPr>
          <w:rFonts w:ascii="Aptos" w:hAnsi="Aptos"/>
          <w:color w:val="222222"/>
          <w:sz w:val="19"/>
        </w:rPr>
        <w:t>3.   System aggregates holdings and calculates average cost/P&amp;L.</w:t>
      </w:r>
    </w:p>
    <w:p>
      <w:pPr>
        <w:spacing w:after="40"/>
        <w:ind w:left="0"/>
      </w:pPr>
      <w:r>
        <w:rPr>
          <w:rFonts w:ascii="Aptos" w:hAnsi="Aptos"/>
          <w:color w:val="222222"/>
          <w:sz w:val="19"/>
        </w:rPr>
        <w:t>4.   Portfolio review returns HOLD/ADD/REDUCE/EXIT/SWITCH/REBALANCE with reasons.</w:t>
      </w:r>
    </w:p>
    <w:p>
      <w:pPr>
        <w:spacing w:after="40"/>
        <w:ind w:left="0"/>
      </w:pPr>
      <w:r>
        <w:rPr>
          <w:rFonts w:ascii="Aptos" w:hAnsi="Aptos"/>
          <w:color w:val="222222"/>
          <w:sz w:val="19"/>
        </w:rPr>
        <w:t>5.   New Money Optimizer considers existing exposure before allocating new capital.</w:t>
      </w:r>
    </w:p>
    <w:p>
      <w:pPr>
        <w:pStyle w:val="Heading1"/>
        <w:spacing w:before="200" w:after="100"/>
      </w:pPr>
      <w:r>
        <w:rPr>
          <w:rFonts w:ascii="Aptos" w:hAnsi="Aptos"/>
          <w:b/>
          <w:color w:val="1B2A4A"/>
          <w:sz w:val="34"/>
        </w:rPr>
        <w:t>38. Detailed Status and Label Dictionary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Area</w:t>
            </w:r>
          </w:p>
        </w:tc>
        <w:tc>
          <w:tcPr>
            <w:tcW w:type="dxa" w:w="792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Labels</w:t>
            </w:r>
          </w:p>
        </w:tc>
      </w:tr>
      <w:tr>
        <w:tc>
          <w:tcPr>
            <w:tcW w:type="dxa" w:w="2448"/>
            <w:vAlign w:val="center"/>
            <w:tcMar>
              <w:top w:w="80" w:type="dxa"/>
              <w:start w:w="90" w:type="dxa"/>
              <w:bottom w:w="80" w:type="dxa"/>
              <w:end w:w="90" w:type="dxa"/>
            </w:tcMar>
          </w:tcPr>
          <w:p>
            <w:pPr>
              <w:spacing w:after="0" w:before="0" w:line="240" w:lineRule="auto"/>
            </w:pPr>
            <w:r/>
            <w:r>
              <w:rPr>
                <w:rFonts w:ascii="Aptos" w:hAnsi="Aptos"/>
                <w:b w:val="0"/>
                <w:color w:val="222222"/>
                <w:sz w:val="17"/>
              </w:rPr>
              <w:t>Stocks/ETFs</w:t>
            </w:r>
          </w:p>
        </w:tc>
        <w:tc>
          <w:tcPr>
            <w:tcW w:type="dxa" w:w="7920"/>
            <w:vAlign w:val="center"/>
            <w:tcMar>
              <w:top w:w="80" w:type="dxa"/>
              <w:start w:w="90" w:type="dxa"/>
              <w:bottom w:w="80" w:type="dxa"/>
              <w:end w:w="90" w:type="dxa"/>
            </w:tcMar>
          </w:tcPr>
          <w:p>
            <w:pPr>
              <w:spacing w:after="0" w:before="0" w:line="240" w:lineRule="auto"/>
            </w:pPr>
            <w:r/>
            <w:r>
              <w:rPr>
                <w:rFonts w:ascii="Aptos" w:hAnsi="Aptos"/>
                <w:b w:val="0"/>
                <w:color w:val="222222"/>
                <w:sz w:val="17"/>
              </w:rPr>
              <w:t>STRONG BUY / BUY / BUY ON PULLBACK / WATCH / AVOID / NO RELIABLE BUY TODAY.</w:t>
            </w:r>
          </w:p>
        </w:tc>
      </w:tr>
      <w:tr>
        <w:tc>
          <w:tcPr>
            <w:tcW w:type="dxa" w:w="24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Physical Gold/Silver</w:t>
            </w:r>
          </w:p>
        </w:tc>
        <w:tc>
          <w:tcPr>
            <w:tcW w:type="dxa" w:w="79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STRONG PHYSICAL BUY / BUY PHYSICAL IN PARTS / BUY IN STAGES / WAIT FOR DIP / WAIT-WATCH / DO NOT BUY NOW.</w:t>
            </w:r>
          </w:p>
        </w:tc>
      </w:tr>
      <w:tr>
        <w:tc>
          <w:tcPr>
            <w:tcW w:type="dxa" w:w="2448"/>
            <w:vAlign w:val="center"/>
            <w:tcMar>
              <w:top w:w="80" w:type="dxa"/>
              <w:start w:w="90" w:type="dxa"/>
              <w:bottom w:w="80" w:type="dxa"/>
              <w:end w:w="90" w:type="dxa"/>
            </w:tcMar>
          </w:tcPr>
          <w:p>
            <w:pPr>
              <w:spacing w:after="0" w:before="0" w:line="240" w:lineRule="auto"/>
            </w:pPr>
            <w:r/>
            <w:r>
              <w:rPr>
                <w:rFonts w:ascii="Aptos" w:hAnsi="Aptos"/>
                <w:b w:val="0"/>
                <w:color w:val="222222"/>
                <w:sz w:val="17"/>
              </w:rPr>
              <w:t>Mutual Funds</w:t>
            </w:r>
          </w:p>
        </w:tc>
        <w:tc>
          <w:tcPr>
            <w:tcW w:type="dxa" w:w="7920"/>
            <w:vAlign w:val="center"/>
            <w:tcMar>
              <w:top w:w="80" w:type="dxa"/>
              <w:start w:w="90" w:type="dxa"/>
              <w:bottom w:w="80" w:type="dxa"/>
              <w:end w:w="90" w:type="dxa"/>
            </w:tcMar>
          </w:tcPr>
          <w:p>
            <w:pPr>
              <w:spacing w:after="0" w:before="0" w:line="240" w:lineRule="auto"/>
            </w:pPr>
            <w:r/>
            <w:r>
              <w:rPr>
                <w:rFonts w:ascii="Aptos" w:hAnsi="Aptos"/>
                <w:b w:val="0"/>
                <w:color w:val="222222"/>
                <w:sz w:val="17"/>
              </w:rPr>
              <w:t>INVEST / ACCUMULATE / WATCH / AVOID; owned: HOLD / ADD / REDUCE / SWITCH / REVIEW.</w:t>
            </w:r>
          </w:p>
        </w:tc>
      </w:tr>
      <w:tr>
        <w:tc>
          <w:tcPr>
            <w:tcW w:type="dxa" w:w="24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Fixed Income</w:t>
            </w:r>
          </w:p>
        </w:tc>
        <w:tc>
          <w:tcPr>
            <w:tcW w:type="dxa" w:w="79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INVEST / CONSIDER / HOLD / WATCH / AVOID.</w:t>
            </w:r>
          </w:p>
        </w:tc>
      </w:tr>
      <w:tr>
        <w:tc>
          <w:tcPr>
            <w:tcW w:type="dxa" w:w="2448"/>
            <w:vAlign w:val="center"/>
            <w:tcMar>
              <w:top w:w="80" w:type="dxa"/>
              <w:start w:w="90" w:type="dxa"/>
              <w:bottom w:w="80" w:type="dxa"/>
              <w:end w:w="90" w:type="dxa"/>
            </w:tcMar>
          </w:tcPr>
          <w:p>
            <w:pPr>
              <w:spacing w:after="0" w:before="0" w:line="240" w:lineRule="auto"/>
            </w:pPr>
            <w:r/>
            <w:r>
              <w:rPr>
                <w:rFonts w:ascii="Aptos" w:hAnsi="Aptos"/>
                <w:b w:val="0"/>
                <w:color w:val="222222"/>
                <w:sz w:val="17"/>
              </w:rPr>
              <w:t>IPO</w:t>
            </w:r>
          </w:p>
        </w:tc>
        <w:tc>
          <w:tcPr>
            <w:tcW w:type="dxa" w:w="7920"/>
            <w:vAlign w:val="center"/>
            <w:tcMar>
              <w:top w:w="80" w:type="dxa"/>
              <w:start w:w="90" w:type="dxa"/>
              <w:bottom w:w="80" w:type="dxa"/>
              <w:end w:w="90" w:type="dxa"/>
            </w:tcMar>
          </w:tcPr>
          <w:p>
            <w:pPr>
              <w:spacing w:after="0" w:before="0" w:line="240" w:lineRule="auto"/>
            </w:pPr>
            <w:r/>
            <w:r>
              <w:rPr>
                <w:rFonts w:ascii="Aptos" w:hAnsi="Aptos"/>
                <w:b w:val="0"/>
                <w:color w:val="222222"/>
                <w:sz w:val="17"/>
              </w:rPr>
              <w:t>STRONG APPLY / APPLY / WATCH / AVOID.</w:t>
            </w:r>
          </w:p>
        </w:tc>
      </w:tr>
      <w:tr>
        <w:tc>
          <w:tcPr>
            <w:tcW w:type="dxa" w:w="24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Timing</w:t>
            </w:r>
          </w:p>
        </w:tc>
        <w:tc>
          <w:tcPr>
            <w:tcW w:type="dxa" w:w="79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INVEST NOW / BUY NOW / BUY ON DIP / STAGGER / SIP / WAIT / HOLD RESERVE / DO NOT CHASE.</w:t>
            </w:r>
          </w:p>
        </w:tc>
      </w:tr>
      <w:tr>
        <w:tc>
          <w:tcPr>
            <w:tcW w:type="dxa" w:w="2448"/>
            <w:vAlign w:val="center"/>
            <w:tcMar>
              <w:top w:w="80" w:type="dxa"/>
              <w:start w:w="90" w:type="dxa"/>
              <w:bottom w:w="80" w:type="dxa"/>
              <w:end w:w="90" w:type="dxa"/>
            </w:tcMar>
          </w:tcPr>
          <w:p>
            <w:pPr>
              <w:spacing w:after="0" w:before="0" w:line="240" w:lineRule="auto"/>
            </w:pPr>
            <w:r/>
            <w:r>
              <w:rPr>
                <w:rFonts w:ascii="Aptos" w:hAnsi="Aptos"/>
                <w:b w:val="0"/>
                <w:color w:val="222222"/>
                <w:sz w:val="17"/>
              </w:rPr>
              <w:t>Entry validity</w:t>
            </w:r>
          </w:p>
        </w:tc>
        <w:tc>
          <w:tcPr>
            <w:tcW w:type="dxa" w:w="7920"/>
            <w:vAlign w:val="center"/>
            <w:tcMar>
              <w:top w:w="80" w:type="dxa"/>
              <w:start w:w="90" w:type="dxa"/>
              <w:bottom w:w="80" w:type="dxa"/>
              <w:end w:w="90" w:type="dxa"/>
            </w:tcMar>
          </w:tcPr>
          <w:p>
            <w:pPr>
              <w:spacing w:after="0" w:before="0" w:line="240" w:lineRule="auto"/>
            </w:pPr>
            <w:r/>
            <w:r>
              <w:rPr>
                <w:rFonts w:ascii="Aptos" w:hAnsi="Aptos"/>
                <w:b w:val="0"/>
                <w:color w:val="222222"/>
                <w:sz w:val="17"/>
              </w:rPr>
              <w:t>VALID ENTRY / NEAR ENTRY / WAIT FOR PULLBACK / DO NOT CHASE / INVALIDATED.</w:t>
            </w:r>
          </w:p>
        </w:tc>
      </w:tr>
      <w:tr>
        <w:tc>
          <w:tcPr>
            <w:tcW w:type="dxa" w:w="244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Data</w:t>
            </w:r>
          </w:p>
        </w:tc>
        <w:tc>
          <w:tcPr>
            <w:tcW w:type="dxa" w:w="792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FRESH / PARTIAL / STALE / FAILED / LAST VALID.</w:t>
            </w:r>
          </w:p>
        </w:tc>
      </w:tr>
      <w:tr>
        <w:tc>
          <w:tcPr>
            <w:tcW w:type="dxa" w:w="2448"/>
            <w:vAlign w:val="center"/>
            <w:tcMar>
              <w:top w:w="80" w:type="dxa"/>
              <w:start w:w="90" w:type="dxa"/>
              <w:bottom w:w="80" w:type="dxa"/>
              <w:end w:w="90" w:type="dxa"/>
            </w:tcMar>
          </w:tcPr>
          <w:p>
            <w:pPr>
              <w:spacing w:after="0" w:before="0" w:line="240" w:lineRule="auto"/>
            </w:pPr>
            <w:r/>
            <w:r>
              <w:rPr>
                <w:rFonts w:ascii="Aptos" w:hAnsi="Aptos"/>
                <w:b w:val="0"/>
                <w:color w:val="222222"/>
                <w:sz w:val="17"/>
              </w:rPr>
              <w:t>Lifecycle</w:t>
            </w:r>
          </w:p>
        </w:tc>
        <w:tc>
          <w:tcPr>
            <w:tcW w:type="dxa" w:w="7920"/>
            <w:vAlign w:val="center"/>
            <w:tcMar>
              <w:top w:w="80" w:type="dxa"/>
              <w:start w:w="90" w:type="dxa"/>
              <w:bottom w:w="80" w:type="dxa"/>
              <w:end w:w="90" w:type="dxa"/>
            </w:tcMar>
          </w:tcPr>
          <w:p>
            <w:pPr>
              <w:spacing w:after="0" w:before="0" w:line="240" w:lineRule="auto"/>
            </w:pPr>
            <w:r/>
            <w:r>
              <w:rPr>
                <w:rFonts w:ascii="Aptos" w:hAnsi="Aptos"/>
                <w:b w:val="0"/>
                <w:color w:val="222222"/>
                <w:sz w:val="17"/>
              </w:rPr>
              <w:t>DRAFT / ACTIVE / WAITING ENTRY / EXECUTED / TARGET1 HIT / TARGET2 HIT / STOP HIT / EXPIRED / REVISED / EXITED / CLOSED.</w:t>
            </w:r>
          </w:p>
        </w:tc>
      </w:tr>
    </w:tbl>
    <w:p>
      <w:pPr>
        <w:spacing w:after="0"/>
      </w:pPr>
    </w:p>
    <w:p>
      <w:pPr>
        <w:pStyle w:val="Heading1"/>
        <w:spacing w:before="200" w:after="100"/>
      </w:pPr>
      <w:r>
        <w:rPr>
          <w:rFonts w:ascii="Aptos" w:hAnsi="Aptos"/>
          <w:b/>
          <w:color w:val="1B2A4A"/>
          <w:sz w:val="34"/>
        </w:rPr>
        <w:t>39. Recommended Data Entities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Entity</w:t>
            </w:r>
          </w:p>
        </w:tc>
        <w:tc>
          <w:tcPr>
            <w:tcW w:type="dxa" w:w="748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Key fields / purpose</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6"/>
              </w:rPr>
              <w:t>InstrumentMaster</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6"/>
              </w:rPr>
              <w:t>Asset type, symbol/product ID, name, exchange/category, units, metadata.</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PriceHistory</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Instrument, date/timeframe, OHLCV/NAV/value, source, freshness.</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6"/>
              </w:rPr>
              <w:t>Recommendation</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6"/>
              </w:rPr>
              <w:t>ID, product, strategy, signal, scores, levels/scenarios, reasons, confidence, timestamps.</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RecommendationOutcome</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Lifecycle status, execution, targets/stops, resolved return, best/worst excursion.</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6"/>
              </w:rPr>
              <w:t>PortfolioLot</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6"/>
              </w:rPr>
              <w:t>InvestmentID and transaction-level fields.</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PortfolioHolding</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Derived aggregation by product.</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6"/>
              </w:rPr>
              <w:t>Goal</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6"/>
              </w:rPr>
              <w:t>Goal type, target, target date, contribution, risk, inflation.</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AllocationPlan</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Available amount, horizon, risk, allocations, reserve, scenarios, reasons.</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6"/>
              </w:rPr>
              <w:t>PlanLeg</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6"/>
              </w:rPr>
              <w:t>Each recommended product/amount/timing inside allocation plan.</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Alert</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Type, product/plan, trigger, severity, status, timestamp.</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6"/>
              </w:rPr>
              <w:t>DataHealth</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6"/>
              </w:rPr>
              <w:t>Source, last success, freshness, status, message.</w:t>
            </w:r>
          </w:p>
        </w:tc>
      </w:tr>
      <w:tr>
        <w:tc>
          <w:tcPr>
            <w:tcW w:type="dxa" w:w="288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Settings</w:t>
            </w:r>
          </w:p>
        </w:tc>
        <w:tc>
          <w:tcPr>
            <w:tcW w:type="dxa" w:w="748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6"/>
              </w:rPr>
              <w:t>User defaults, thresholds, assumptions, source config.</w:t>
            </w:r>
          </w:p>
        </w:tc>
      </w:tr>
      <w:tr>
        <w:tc>
          <w:tcPr>
            <w:tcW w:type="dxa" w:w="2880"/>
            <w:vAlign w:val="center"/>
            <w:tcMar>
              <w:top w:w="80" w:type="dxa"/>
              <w:start w:w="90" w:type="dxa"/>
              <w:bottom w:w="80" w:type="dxa"/>
              <w:end w:w="90" w:type="dxa"/>
            </w:tcMar>
          </w:tcPr>
          <w:p>
            <w:pPr>
              <w:spacing w:after="0" w:before="0" w:line="240" w:lineRule="auto"/>
            </w:pPr>
            <w:r/>
            <w:r>
              <w:rPr>
                <w:rFonts w:ascii="Aptos" w:hAnsi="Aptos"/>
                <w:b w:val="0"/>
                <w:color w:val="222222"/>
                <w:sz w:val="16"/>
              </w:rPr>
              <w:t>BackupIndex</w:t>
            </w:r>
          </w:p>
        </w:tc>
        <w:tc>
          <w:tcPr>
            <w:tcW w:type="dxa" w:w="7488"/>
            <w:vAlign w:val="center"/>
            <w:tcMar>
              <w:top w:w="80" w:type="dxa"/>
              <w:start w:w="90" w:type="dxa"/>
              <w:bottom w:w="80" w:type="dxa"/>
              <w:end w:w="90" w:type="dxa"/>
            </w:tcMar>
          </w:tcPr>
          <w:p>
            <w:pPr>
              <w:spacing w:after="0" w:before="0" w:line="240" w:lineRule="auto"/>
            </w:pPr>
            <w:r/>
            <w:r>
              <w:rPr>
                <w:rFonts w:ascii="Aptos" w:hAnsi="Aptos"/>
                <w:b w:val="0"/>
                <w:color w:val="222222"/>
                <w:sz w:val="16"/>
              </w:rPr>
              <w:t>Backup timestamp/path/version/reason.</w:t>
            </w:r>
          </w:p>
        </w:tc>
      </w:tr>
    </w:tbl>
    <w:p>
      <w:pPr>
        <w:spacing w:after="0"/>
      </w:pPr>
    </w:p>
    <w:p>
      <w:pPr>
        <w:pStyle w:val="Heading1"/>
        <w:spacing w:before="200" w:after="100"/>
      </w:pPr>
      <w:r>
        <w:rPr>
          <w:rFonts w:ascii="Aptos" w:hAnsi="Aptos"/>
          <w:b/>
          <w:color w:val="1B2A4A"/>
          <w:sz w:val="34"/>
        </w:rPr>
        <w:t>40. Implementation Sequence - Preserve Stability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Phase</w:t>
            </w:r>
          </w:p>
        </w:tc>
        <w:tc>
          <w:tcPr>
            <w:tcW w:type="dxa" w:w="806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Scope</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7"/>
              </w:rPr>
              <w:t>0 - Freeze baseline</w:t>
            </w:r>
          </w:p>
        </w:tc>
        <w:tc>
          <w:tcPr>
            <w:tcW w:type="dxa" w:w="8064"/>
            <w:vAlign w:val="center"/>
            <w:tcMar>
              <w:top w:w="80" w:type="dxa"/>
              <w:start w:w="90" w:type="dxa"/>
              <w:bottom w:w="80" w:type="dxa"/>
              <w:end w:w="90" w:type="dxa"/>
            </w:tcMar>
          </w:tcPr>
          <w:p>
            <w:pPr>
              <w:spacing w:after="0" w:before="0" w:line="240" w:lineRule="auto"/>
            </w:pPr>
            <w:r/>
            <w:r>
              <w:rPr>
                <w:rFonts w:ascii="Aptos" w:hAnsi="Aptos"/>
                <w:b w:val="0"/>
                <w:color w:val="222222"/>
                <w:sz w:val="17"/>
              </w:rPr>
              <w:t>Back up current working Radar and data; document current version.</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1 - Core stability</w:t>
            </w:r>
          </w:p>
        </w:tc>
        <w:tc>
          <w:tcPr>
            <w:tcW w:type="dxa" w:w="80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Updater/repair, data-health, no raw technical UI, backup/rollback.</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7"/>
              </w:rPr>
              <w:t>2 - Portfolio model</w:t>
            </w:r>
          </w:p>
        </w:tc>
        <w:tc>
          <w:tcPr>
            <w:tcW w:type="dxa" w:w="8064"/>
            <w:vAlign w:val="center"/>
            <w:tcMar>
              <w:top w:w="80" w:type="dxa"/>
              <w:start w:w="90" w:type="dxa"/>
              <w:bottom w:w="80" w:type="dxa"/>
              <w:end w:w="90" w:type="dxa"/>
            </w:tcMar>
          </w:tcPr>
          <w:p>
            <w:pPr>
              <w:spacing w:after="0" w:before="0" w:line="240" w:lineRule="auto"/>
            </w:pPr>
            <w:r/>
            <w:r>
              <w:rPr>
                <w:rFonts w:ascii="Aptos" w:hAnsi="Aptos"/>
                <w:b w:val="0"/>
                <w:color w:val="222222"/>
                <w:sz w:val="17"/>
              </w:rPr>
              <w:t>Lot-based entry/import/update/edit/export and portfolio aggregation.</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3 - Explanation standard</w:t>
            </w:r>
          </w:p>
        </w:tc>
        <w:tc>
          <w:tcPr>
            <w:tcW w:type="dxa" w:w="80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Apply same 13-question explanation structure to all existing asset modules.</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7"/>
              </w:rPr>
              <w:t>4 - Broader assets</w:t>
            </w:r>
          </w:p>
        </w:tc>
        <w:tc>
          <w:tcPr>
            <w:tcW w:type="dxa" w:w="8064"/>
            <w:vAlign w:val="center"/>
            <w:tcMar>
              <w:top w:w="80" w:type="dxa"/>
              <w:start w:w="90" w:type="dxa"/>
              <w:bottom w:w="80" w:type="dxa"/>
              <w:end w:w="90" w:type="dxa"/>
            </w:tcMar>
          </w:tcPr>
          <w:p>
            <w:pPr>
              <w:spacing w:after="0" w:before="0" w:line="240" w:lineRule="auto"/>
            </w:pPr>
            <w:r/>
            <w:r>
              <w:rPr>
                <w:rFonts w:ascii="Aptos" w:hAnsi="Aptos"/>
                <w:b w:val="0"/>
                <w:color w:val="222222"/>
                <w:sz w:val="17"/>
              </w:rPr>
              <w:t>IPO/new issues, REIT/InvIT, govt/other products and goal-fit.</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5 - Money Optimizer</w:t>
            </w:r>
          </w:p>
        </w:tc>
        <w:tc>
          <w:tcPr>
            <w:tcW w:type="dxa" w:w="80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Cross-asset amount-duration-risk allocation with timing/reserve.</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7"/>
              </w:rPr>
              <w:t>6 - Segment drill-down</w:t>
            </w:r>
          </w:p>
        </w:tc>
        <w:tc>
          <w:tcPr>
            <w:tcW w:type="dxa" w:w="8064"/>
            <w:vAlign w:val="center"/>
            <w:tcMar>
              <w:top w:w="80" w:type="dxa"/>
              <w:start w:w="90" w:type="dxa"/>
              <w:bottom w:w="80" w:type="dxa"/>
              <w:end w:w="90" w:type="dxa"/>
            </w:tcMar>
          </w:tcPr>
          <w:p>
            <w:pPr>
              <w:spacing w:after="0" w:before="0" w:line="240" w:lineRule="auto"/>
            </w:pPr>
            <w:r/>
            <w:r>
              <w:rPr>
                <w:rFonts w:ascii="Aptos" w:hAnsi="Aptos"/>
                <w:b w:val="0"/>
                <w:color w:val="222222"/>
                <w:sz w:val="17"/>
              </w:rPr>
              <w:t>Asset → category → exact product → amount → timing → explanation.</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7 - Macro/event layer</w:t>
            </w:r>
          </w:p>
        </w:tc>
        <w:tc>
          <w:tcPr>
            <w:tcW w:type="dxa" w:w="80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Market context, news/results/corporate-event safety.</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7"/>
              </w:rPr>
              <w:t>8 - Lifecycle/alerts</w:t>
            </w:r>
          </w:p>
        </w:tc>
        <w:tc>
          <w:tcPr>
            <w:tcW w:type="dxa" w:w="8064"/>
            <w:vAlign w:val="center"/>
            <w:tcMar>
              <w:top w:w="80" w:type="dxa"/>
              <w:start w:w="90" w:type="dxa"/>
              <w:bottom w:w="80" w:type="dxa"/>
              <w:end w:w="90" w:type="dxa"/>
            </w:tcMar>
          </w:tcPr>
          <w:p>
            <w:pPr>
              <w:spacing w:after="0" w:before="0" w:line="240" w:lineRule="auto"/>
            </w:pPr>
            <w:r/>
            <w:r>
              <w:rPr>
                <w:rFonts w:ascii="Aptos" w:hAnsi="Aptos"/>
                <w:b w:val="0"/>
                <w:color w:val="222222"/>
                <w:sz w:val="17"/>
              </w:rPr>
              <w:t>Persistent calls, reserve deployment, review triggers.</w:t>
            </w:r>
          </w:p>
        </w:tc>
      </w:tr>
      <w:tr>
        <w:tc>
          <w:tcPr>
            <w:tcW w:type="dxa" w:w="23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9 - Accuracy feedback</w:t>
            </w:r>
          </w:p>
        </w:tc>
        <w:tc>
          <w:tcPr>
            <w:tcW w:type="dxa" w:w="80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Walk-forward, forward outcomes, regime reliability and calibration.</w:t>
            </w:r>
          </w:p>
        </w:tc>
      </w:tr>
      <w:tr>
        <w:tc>
          <w:tcPr>
            <w:tcW w:type="dxa" w:w="2304"/>
            <w:vAlign w:val="center"/>
            <w:tcMar>
              <w:top w:w="80" w:type="dxa"/>
              <w:start w:w="90" w:type="dxa"/>
              <w:bottom w:w="80" w:type="dxa"/>
              <w:end w:w="90" w:type="dxa"/>
            </w:tcMar>
          </w:tcPr>
          <w:p>
            <w:pPr>
              <w:spacing w:after="0" w:before="0" w:line="240" w:lineRule="auto"/>
            </w:pPr>
            <w:r/>
            <w:r>
              <w:rPr>
                <w:rFonts w:ascii="Aptos" w:hAnsi="Aptos"/>
                <w:b w:val="0"/>
                <w:color w:val="222222"/>
                <w:sz w:val="17"/>
              </w:rPr>
              <w:t>10 - Final QA</w:t>
            </w:r>
          </w:p>
        </w:tc>
        <w:tc>
          <w:tcPr>
            <w:tcW w:type="dxa" w:w="8064"/>
            <w:vAlign w:val="center"/>
            <w:tcMar>
              <w:top w:w="80" w:type="dxa"/>
              <w:start w:w="90" w:type="dxa"/>
              <w:bottom w:w="80" w:type="dxa"/>
              <w:end w:w="90" w:type="dxa"/>
            </w:tcMar>
          </w:tcPr>
          <w:p>
            <w:pPr>
              <w:spacing w:after="0" w:before="0" w:line="240" w:lineRule="auto"/>
            </w:pPr>
            <w:r/>
            <w:r>
              <w:rPr>
                <w:rFonts w:ascii="Aptos" w:hAnsi="Aptos"/>
                <w:b w:val="0"/>
                <w:color w:val="222222"/>
                <w:sz w:val="17"/>
              </w:rPr>
              <w:t>End-to-end acceptance journeys, data-failure simulation, update/restore test.</w:t>
            </w:r>
          </w:p>
        </w:tc>
      </w:tr>
    </w:tbl>
    <w:p>
      <w:pPr>
        <w:spacing w:after="0"/>
      </w:pPr>
    </w:p>
    <w:p>
      <w:pPr>
        <w:pStyle w:val="Heading1"/>
        <w:spacing w:before="200" w:after="100"/>
      </w:pPr>
      <w:r>
        <w:rPr>
          <w:rFonts w:ascii="Aptos" w:hAnsi="Aptos"/>
          <w:b/>
          <w:color w:val="1B2A4A"/>
          <w:sz w:val="34"/>
        </w:rPr>
        <w:t>41. Explicit Out-of-Scope / Guardrails</w:t>
      </w:r>
    </w:p>
    <w:p>
      <w:pPr>
        <w:pStyle w:val="ListBullet"/>
        <w:spacing w:after="40"/>
        <w:ind w:left="0"/>
      </w:pPr>
      <w:r>
        <w:rPr>
          <w:rFonts w:ascii="Aptos" w:hAnsi="Aptos"/>
          <w:color w:val="222222"/>
          <w:sz w:val="19"/>
        </w:rPr>
        <w:t>No guarantee of returns, profits, listing gain or capital protection.</w:t>
      </w:r>
    </w:p>
    <w:p>
      <w:pPr>
        <w:pStyle w:val="ListBullet"/>
        <w:spacing w:after="40"/>
        <w:ind w:left="0"/>
      </w:pPr>
      <w:r>
        <w:rPr>
          <w:rFonts w:ascii="Aptos" w:hAnsi="Aptos"/>
          <w:color w:val="222222"/>
          <w:sz w:val="19"/>
        </w:rPr>
        <w:t>No hidden auto-trading or broker order placement in the core scope.</w:t>
      </w:r>
    </w:p>
    <w:p>
      <w:pPr>
        <w:pStyle w:val="ListBullet"/>
        <w:spacing w:after="40"/>
        <w:ind w:left="0"/>
      </w:pPr>
      <w:r>
        <w:rPr>
          <w:rFonts w:ascii="Aptos" w:hAnsi="Aptos"/>
          <w:color w:val="222222"/>
          <w:sz w:val="19"/>
        </w:rPr>
        <w:t>No requirement for intraday trading engine; current design is primarily EOD/research oriented.</w:t>
      </w:r>
    </w:p>
    <w:p>
      <w:pPr>
        <w:pStyle w:val="ListBullet"/>
        <w:spacing w:after="40"/>
        <w:ind w:left="0"/>
      </w:pPr>
      <w:r>
        <w:rPr>
          <w:rFonts w:ascii="Aptos" w:hAnsi="Aptos"/>
          <w:color w:val="222222"/>
          <w:sz w:val="19"/>
        </w:rPr>
        <w:t>No fabricated live value for assets without a reliable valuation feed.</w:t>
      </w:r>
    </w:p>
    <w:p>
      <w:pPr>
        <w:pStyle w:val="ListBullet"/>
        <w:spacing w:after="40"/>
        <w:ind w:left="0"/>
      </w:pPr>
      <w:r>
        <w:rPr>
          <w:rFonts w:ascii="Aptos" w:hAnsi="Aptos"/>
          <w:color w:val="222222"/>
          <w:sz w:val="19"/>
        </w:rPr>
        <w:t>No forced technical stop-loss for long-term mutual funds, physical Gold/Silver, PPF or similar products where it is inappropriate.</w:t>
      </w:r>
    </w:p>
    <w:p>
      <w:pPr>
        <w:pStyle w:val="ListBullet"/>
        <w:spacing w:after="40"/>
        <w:ind w:left="0"/>
      </w:pPr>
      <w:r>
        <w:rPr>
          <w:rFonts w:ascii="Aptos" w:hAnsi="Aptos"/>
          <w:color w:val="222222"/>
          <w:sz w:val="19"/>
        </w:rPr>
        <w:t>No permanent hard-coding of changeable tax/rate/eligibility rules as if they never change.</w:t>
      </w:r>
    </w:p>
    <w:p>
      <w:pPr>
        <w:pStyle w:val="ListBullet"/>
        <w:spacing w:after="40"/>
        <w:ind w:left="0"/>
      </w:pPr>
      <w:r>
        <w:rPr>
          <w:rFonts w:ascii="Aptos" w:hAnsi="Aptos"/>
          <w:color w:val="222222"/>
          <w:sz w:val="19"/>
        </w:rPr>
        <w:t>No raw API/provider/debug output in Simple Mode.</w:t>
      </w:r>
    </w:p>
    <w:p>
      <w:pPr>
        <w:pStyle w:val="ListBullet"/>
        <w:spacing w:after="40"/>
        <w:ind w:left="0"/>
      </w:pPr>
      <w:r>
        <w:rPr>
          <w:rFonts w:ascii="Aptos" w:hAnsi="Aptos"/>
          <w:color w:val="222222"/>
          <w:sz w:val="19"/>
        </w:rPr>
        <w:t>No automatic use of exposed/old API keys; credentials are user-local settings only.</w:t>
      </w:r>
    </w:p>
    <w:p>
      <w:pPr>
        <w:pStyle w:val="ListBullet"/>
        <w:spacing w:after="40"/>
        <w:ind w:left="0"/>
      </w:pPr>
      <w:r>
        <w:rPr>
          <w:rFonts w:ascii="Aptos" w:hAnsi="Aptos"/>
          <w:color w:val="222222"/>
          <w:sz w:val="19"/>
        </w:rPr>
        <w:t>No forced investment when confidence/entry/data quality is weak.</w:t>
      </w:r>
    </w:p>
    <w:p>
      <w:pPr>
        <w:pStyle w:val="ListBullet"/>
        <w:spacing w:after="40"/>
        <w:ind w:left="0"/>
      </w:pPr>
      <w:r>
        <w:rPr>
          <w:rFonts w:ascii="Aptos" w:hAnsi="Aptos"/>
          <w:color w:val="222222"/>
          <w:sz w:val="19"/>
        </w:rPr>
        <w:t>No confusion between NSE historical-session count and stock-universe coverage.</w:t>
      </w:r>
    </w:p>
    <w:p>
      <w:pPr>
        <w:pStyle w:val="Heading1"/>
        <w:spacing w:before="200" w:after="100"/>
      </w:pPr>
      <w:r>
        <w:rPr>
          <w:rFonts w:ascii="Aptos" w:hAnsi="Aptos"/>
          <w:b/>
          <w:color w:val="1B2A4A"/>
          <w:sz w:val="34"/>
        </w:rPr>
        <w:t>42. Final Developer Acceptance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Acceptance item</w:t>
            </w:r>
          </w:p>
        </w:tc>
        <w:tc>
          <w:tcPr>
            <w:tcW w:type="dxa" w:w="590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Pass condition</w:t>
            </w:r>
          </w:p>
        </w:tc>
      </w:tr>
      <w:tr>
        <w:tc>
          <w:tcPr>
            <w:tcW w:type="dxa" w:w="4464"/>
            <w:vAlign w:val="center"/>
            <w:tcMar>
              <w:top w:w="80" w:type="dxa"/>
              <w:start w:w="90" w:type="dxa"/>
              <w:bottom w:w="80" w:type="dxa"/>
              <w:end w:w="90" w:type="dxa"/>
            </w:tcMar>
          </w:tcPr>
          <w:p>
            <w:pPr>
              <w:spacing w:after="0" w:before="0" w:line="240" w:lineRule="auto"/>
            </w:pPr>
            <w:r/>
            <w:r>
              <w:rPr>
                <w:rFonts w:ascii="Aptos" w:hAnsi="Aptos"/>
                <w:b w:val="0"/>
                <w:color w:val="222222"/>
                <w:sz w:val="17"/>
              </w:rPr>
              <w:t>App preserves all existing agreed modules</w:t>
            </w:r>
          </w:p>
        </w:tc>
        <w:tc>
          <w:tcPr>
            <w:tcW w:type="dxa" w:w="5904"/>
            <w:vAlign w:val="center"/>
            <w:tcMar>
              <w:top w:w="80" w:type="dxa"/>
              <w:start w:w="90" w:type="dxa"/>
              <w:bottom w:w="80" w:type="dxa"/>
              <w:end w:w="90" w:type="dxa"/>
            </w:tcMar>
          </w:tcPr>
          <w:p>
            <w:pPr>
              <w:spacing w:after="0" w:before="0" w:line="240" w:lineRule="auto"/>
            </w:pPr>
            <w:r/>
            <w:r>
              <w:rPr>
                <w:rFonts w:ascii="Aptos" w:hAnsi="Aptos"/>
                <w:b w:val="0"/>
                <w:color w:val="222222"/>
                <w:sz w:val="17"/>
              </w:rPr>
              <w:t>PASS only if no current feature disappears.</w:t>
            </w:r>
          </w:p>
        </w:tc>
      </w:tr>
      <w:tr>
        <w:tc>
          <w:tcPr>
            <w:tcW w:type="dxa" w:w="44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Gold/Silver physical main mode works</w:t>
            </w:r>
          </w:p>
        </w:tc>
        <w:tc>
          <w:tcPr>
            <w:tcW w:type="dxa" w:w="59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No technical debug text; reasons and staged zones visible.</w:t>
            </w:r>
          </w:p>
        </w:tc>
      </w:tr>
      <w:tr>
        <w:tc>
          <w:tcPr>
            <w:tcW w:type="dxa" w:w="4464"/>
            <w:vAlign w:val="center"/>
            <w:tcMar>
              <w:top w:w="80" w:type="dxa"/>
              <w:start w:w="90" w:type="dxa"/>
              <w:bottom w:w="80" w:type="dxa"/>
              <w:end w:w="90" w:type="dxa"/>
            </w:tcMar>
          </w:tcPr>
          <w:p>
            <w:pPr>
              <w:spacing w:after="0" w:before="0" w:line="240" w:lineRule="auto"/>
            </w:pPr>
            <w:r/>
            <w:r>
              <w:rPr>
                <w:rFonts w:ascii="Aptos" w:hAnsi="Aptos"/>
                <w:b w:val="0"/>
                <w:color w:val="222222"/>
                <w:sz w:val="17"/>
              </w:rPr>
              <w:t>All-NSE stock search works</w:t>
            </w:r>
          </w:p>
        </w:tc>
        <w:tc>
          <w:tcPr>
            <w:tcW w:type="dxa" w:w="5904"/>
            <w:vAlign w:val="center"/>
            <w:tcMar>
              <w:top w:w="80" w:type="dxa"/>
              <w:start w:w="90" w:type="dxa"/>
              <w:bottom w:w="80" w:type="dxa"/>
              <w:end w:w="90" w:type="dxa"/>
            </w:tcMar>
          </w:tcPr>
          <w:p>
            <w:pPr>
              <w:spacing w:after="0" w:before="0" w:line="240" w:lineRule="auto"/>
            </w:pPr>
            <w:r/>
            <w:r>
              <w:rPr>
                <w:rFonts w:ascii="Aptos" w:hAnsi="Aptos"/>
                <w:b w:val="0"/>
                <w:color w:val="222222"/>
                <w:sz w:val="17"/>
              </w:rPr>
              <w:t>Any available NSE EQ can be searched and classified.</w:t>
            </w:r>
          </w:p>
        </w:tc>
      </w:tr>
      <w:tr>
        <w:tc>
          <w:tcPr>
            <w:tcW w:type="dxa" w:w="44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Strong Buy gates are conservative</w:t>
            </w:r>
          </w:p>
        </w:tc>
        <w:tc>
          <w:tcPr>
            <w:tcW w:type="dxa" w:w="59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No forced strong call.</w:t>
            </w:r>
          </w:p>
        </w:tc>
      </w:tr>
      <w:tr>
        <w:tc>
          <w:tcPr>
            <w:tcW w:type="dxa" w:w="4464"/>
            <w:vAlign w:val="center"/>
            <w:tcMar>
              <w:top w:w="80" w:type="dxa"/>
              <w:start w:w="90" w:type="dxa"/>
              <w:bottom w:w="80" w:type="dxa"/>
              <w:end w:w="90" w:type="dxa"/>
            </w:tcMar>
          </w:tcPr>
          <w:p>
            <w:pPr>
              <w:spacing w:after="0" w:before="0" w:line="240" w:lineRule="auto"/>
            </w:pPr>
            <w:r/>
            <w:r>
              <w:rPr>
                <w:rFonts w:ascii="Aptos" w:hAnsi="Aptos"/>
                <w:b w:val="0"/>
                <w:color w:val="222222"/>
                <w:sz w:val="17"/>
              </w:rPr>
              <w:t>Portfolio lot import/update works</w:t>
            </w:r>
          </w:p>
        </w:tc>
        <w:tc>
          <w:tcPr>
            <w:tcW w:type="dxa" w:w="5904"/>
            <w:vAlign w:val="center"/>
            <w:tcMar>
              <w:top w:w="80" w:type="dxa"/>
              <w:start w:w="90" w:type="dxa"/>
              <w:bottom w:w="80" w:type="dxa"/>
              <w:end w:w="90" w:type="dxa"/>
            </w:tcMar>
          </w:tcPr>
          <w:p>
            <w:pPr>
              <w:spacing w:after="0" w:before="0" w:line="240" w:lineRule="auto"/>
            </w:pPr>
            <w:r/>
            <w:r>
              <w:rPr>
                <w:rFonts w:ascii="Aptos" w:hAnsi="Aptos"/>
                <w:b w:val="0"/>
                <w:color w:val="222222"/>
                <w:sz w:val="17"/>
              </w:rPr>
              <w:t>Same ID updates; blank ID adds; weighted aggregation correct.</w:t>
            </w:r>
          </w:p>
        </w:tc>
      </w:tr>
      <w:tr>
        <w:tc>
          <w:tcPr>
            <w:tcW w:type="dxa" w:w="44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Optimizer returns exact ₹ allocations</w:t>
            </w:r>
          </w:p>
        </w:tc>
        <w:tc>
          <w:tcPr>
            <w:tcW w:type="dxa" w:w="59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Includes reserve and timing.</w:t>
            </w:r>
          </w:p>
        </w:tc>
      </w:tr>
      <w:tr>
        <w:tc>
          <w:tcPr>
            <w:tcW w:type="dxa" w:w="4464"/>
            <w:vAlign w:val="center"/>
            <w:tcMar>
              <w:top w:w="80" w:type="dxa"/>
              <w:start w:w="90" w:type="dxa"/>
              <w:bottom w:w="80" w:type="dxa"/>
              <w:end w:w="90" w:type="dxa"/>
            </w:tcMar>
          </w:tcPr>
          <w:p>
            <w:pPr>
              <w:spacing w:after="0" w:before="0" w:line="240" w:lineRule="auto"/>
            </w:pPr>
            <w:r/>
            <w:r>
              <w:rPr>
                <w:rFonts w:ascii="Aptos" w:hAnsi="Aptos"/>
                <w:b w:val="0"/>
                <w:color w:val="222222"/>
                <w:sz w:val="17"/>
              </w:rPr>
              <w:t>Exact date filters incompatible products</w:t>
            </w:r>
          </w:p>
        </w:tc>
        <w:tc>
          <w:tcPr>
            <w:tcW w:type="dxa" w:w="5904"/>
            <w:vAlign w:val="center"/>
            <w:tcMar>
              <w:top w:w="80" w:type="dxa"/>
              <w:start w:w="90" w:type="dxa"/>
              <w:bottom w:w="80" w:type="dxa"/>
              <w:end w:w="90" w:type="dxa"/>
            </w:tcMar>
          </w:tcPr>
          <w:p>
            <w:pPr>
              <w:spacing w:after="0" w:before="0" w:line="240" w:lineRule="auto"/>
            </w:pPr>
            <w:r/>
            <w:r>
              <w:rPr>
                <w:rFonts w:ascii="Aptos" w:hAnsi="Aptos"/>
                <w:b w:val="0"/>
                <w:color w:val="222222"/>
                <w:sz w:val="17"/>
              </w:rPr>
              <w:t>Lock-in/maturity conflicts rejected.</w:t>
            </w:r>
          </w:p>
        </w:tc>
      </w:tr>
      <w:tr>
        <w:tc>
          <w:tcPr>
            <w:tcW w:type="dxa" w:w="44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Go Deeper reaches exact product</w:t>
            </w:r>
          </w:p>
        </w:tc>
        <w:tc>
          <w:tcPr>
            <w:tcW w:type="dxa" w:w="59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Works for key segments.</w:t>
            </w:r>
          </w:p>
        </w:tc>
      </w:tr>
      <w:tr>
        <w:tc>
          <w:tcPr>
            <w:tcW w:type="dxa" w:w="4464"/>
            <w:vAlign w:val="center"/>
            <w:tcMar>
              <w:top w:w="80" w:type="dxa"/>
              <w:start w:w="90" w:type="dxa"/>
              <w:bottom w:w="80" w:type="dxa"/>
              <w:end w:w="90" w:type="dxa"/>
            </w:tcMar>
          </w:tcPr>
          <w:p>
            <w:pPr>
              <w:spacing w:after="0" w:before="0" w:line="240" w:lineRule="auto"/>
            </w:pPr>
            <w:r/>
            <w:r>
              <w:rPr>
                <w:rFonts w:ascii="Aptos" w:hAnsi="Aptos"/>
                <w:b w:val="0"/>
                <w:color w:val="222222"/>
                <w:sz w:val="17"/>
              </w:rPr>
              <w:t>Why/Why Not/What Changes present</w:t>
            </w:r>
          </w:p>
        </w:tc>
        <w:tc>
          <w:tcPr>
            <w:tcW w:type="dxa" w:w="5904"/>
            <w:vAlign w:val="center"/>
            <w:tcMar>
              <w:top w:w="80" w:type="dxa"/>
              <w:start w:w="90" w:type="dxa"/>
              <w:bottom w:w="80" w:type="dxa"/>
              <w:end w:w="90" w:type="dxa"/>
            </w:tcMar>
          </w:tcPr>
          <w:p>
            <w:pPr>
              <w:spacing w:after="0" w:before="0" w:line="240" w:lineRule="auto"/>
            </w:pPr>
            <w:r/>
            <w:r>
              <w:rPr>
                <w:rFonts w:ascii="Aptos" w:hAnsi="Aptos"/>
                <w:b w:val="0"/>
                <w:color w:val="222222"/>
                <w:sz w:val="17"/>
              </w:rPr>
              <w:t>Same explanation depth across asset types.</w:t>
            </w:r>
          </w:p>
        </w:tc>
      </w:tr>
      <w:tr>
        <w:tc>
          <w:tcPr>
            <w:tcW w:type="dxa" w:w="44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Recommendation lifecycle persists</w:t>
            </w:r>
          </w:p>
        </w:tc>
        <w:tc>
          <w:tcPr>
            <w:tcW w:type="dxa" w:w="59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Calls track until resolved/revised.</w:t>
            </w:r>
          </w:p>
        </w:tc>
      </w:tr>
      <w:tr>
        <w:tc>
          <w:tcPr>
            <w:tcW w:type="dxa" w:w="4464"/>
            <w:vAlign w:val="center"/>
            <w:tcMar>
              <w:top w:w="80" w:type="dxa"/>
              <w:start w:w="90" w:type="dxa"/>
              <w:bottom w:w="80" w:type="dxa"/>
              <w:end w:w="90" w:type="dxa"/>
            </w:tcMar>
          </w:tcPr>
          <w:p>
            <w:pPr>
              <w:spacing w:after="0" w:before="0" w:line="240" w:lineRule="auto"/>
            </w:pPr>
            <w:r/>
            <w:r>
              <w:rPr>
                <w:rFonts w:ascii="Aptos" w:hAnsi="Aptos"/>
                <w:b w:val="0"/>
                <w:color w:val="222222"/>
                <w:sz w:val="17"/>
              </w:rPr>
              <w:t>Accuracy dashboard uses resolved calls</w:t>
            </w:r>
          </w:p>
        </w:tc>
        <w:tc>
          <w:tcPr>
            <w:tcW w:type="dxa" w:w="5904"/>
            <w:vAlign w:val="center"/>
            <w:tcMar>
              <w:top w:w="80" w:type="dxa"/>
              <w:start w:w="90" w:type="dxa"/>
              <w:bottom w:w="80" w:type="dxa"/>
              <w:end w:w="90" w:type="dxa"/>
            </w:tcMar>
          </w:tcPr>
          <w:p>
            <w:pPr>
              <w:spacing w:after="0" w:before="0" w:line="240" w:lineRule="auto"/>
            </w:pPr>
            <w:r/>
            <w:r>
              <w:rPr>
                <w:rFonts w:ascii="Aptos" w:hAnsi="Aptos"/>
                <w:b w:val="0"/>
                <w:color w:val="222222"/>
                <w:sz w:val="17"/>
              </w:rPr>
              <w:t>Losses included; sample size visible.</w:t>
            </w:r>
          </w:p>
        </w:tc>
      </w:tr>
      <w:tr>
        <w:tc>
          <w:tcPr>
            <w:tcW w:type="dxa" w:w="44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Data stale/fail safety works</w:t>
            </w:r>
          </w:p>
        </w:tc>
        <w:tc>
          <w:tcPr>
            <w:tcW w:type="dxa" w:w="59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No confident recommendation on broken dependency.</w:t>
            </w:r>
          </w:p>
        </w:tc>
      </w:tr>
      <w:tr>
        <w:tc>
          <w:tcPr>
            <w:tcW w:type="dxa" w:w="4464"/>
            <w:vAlign w:val="center"/>
            <w:tcMar>
              <w:top w:w="80" w:type="dxa"/>
              <w:start w:w="90" w:type="dxa"/>
              <w:bottom w:w="80" w:type="dxa"/>
              <w:end w:w="90" w:type="dxa"/>
            </w:tcMar>
          </w:tcPr>
          <w:p>
            <w:pPr>
              <w:spacing w:after="0" w:before="0" w:line="240" w:lineRule="auto"/>
            </w:pPr>
            <w:r/>
            <w:r>
              <w:rPr>
                <w:rFonts w:ascii="Aptos" w:hAnsi="Aptos"/>
                <w:b w:val="0"/>
                <w:color w:val="222222"/>
                <w:sz w:val="17"/>
              </w:rPr>
              <w:t>Update/repair/backup/restore tested</w:t>
            </w:r>
          </w:p>
        </w:tc>
        <w:tc>
          <w:tcPr>
            <w:tcW w:type="dxa" w:w="5904"/>
            <w:vAlign w:val="center"/>
            <w:tcMar>
              <w:top w:w="80" w:type="dxa"/>
              <w:start w:w="90" w:type="dxa"/>
              <w:bottom w:w="80" w:type="dxa"/>
              <w:end w:w="90" w:type="dxa"/>
            </w:tcMar>
          </w:tcPr>
          <w:p>
            <w:pPr>
              <w:spacing w:after="0" w:before="0" w:line="240" w:lineRule="auto"/>
            </w:pPr>
            <w:r/>
            <w:r>
              <w:rPr>
                <w:rFonts w:ascii="Aptos" w:hAnsi="Aptos"/>
                <w:b w:val="0"/>
                <w:color w:val="222222"/>
                <w:sz w:val="17"/>
              </w:rPr>
              <w:t>Normal user does not need developer.</w:t>
            </w:r>
          </w:p>
        </w:tc>
      </w:tr>
      <w:tr>
        <w:tc>
          <w:tcPr>
            <w:tcW w:type="dxa" w:w="44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One-click daily launch</w:t>
            </w:r>
          </w:p>
        </w:tc>
        <w:tc>
          <w:tcPr>
            <w:tcW w:type="dxa" w:w="59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Desktop/Start shortcut works.</w:t>
            </w:r>
          </w:p>
        </w:tc>
      </w:tr>
      <w:tr>
        <w:tc>
          <w:tcPr>
            <w:tcW w:type="dxa" w:w="4464"/>
            <w:vAlign w:val="center"/>
            <w:tcMar>
              <w:top w:w="80" w:type="dxa"/>
              <w:start w:w="90" w:type="dxa"/>
              <w:bottom w:w="80" w:type="dxa"/>
              <w:end w:w="90" w:type="dxa"/>
            </w:tcMar>
          </w:tcPr>
          <w:p>
            <w:pPr>
              <w:spacing w:after="0" w:before="0" w:line="240" w:lineRule="auto"/>
            </w:pPr>
            <w:r/>
            <w:r>
              <w:rPr>
                <w:rFonts w:ascii="Aptos" w:hAnsi="Aptos"/>
                <w:b w:val="0"/>
                <w:color w:val="222222"/>
                <w:sz w:val="17"/>
              </w:rPr>
              <w:t>No raw technical UI</w:t>
            </w:r>
          </w:p>
        </w:tc>
        <w:tc>
          <w:tcPr>
            <w:tcW w:type="dxa" w:w="5904"/>
            <w:vAlign w:val="center"/>
            <w:tcMar>
              <w:top w:w="80" w:type="dxa"/>
              <w:start w:w="90" w:type="dxa"/>
              <w:bottom w:w="80" w:type="dxa"/>
              <w:end w:w="90" w:type="dxa"/>
            </w:tcMar>
          </w:tcPr>
          <w:p>
            <w:pPr>
              <w:spacing w:after="0" w:before="0" w:line="240" w:lineRule="auto"/>
            </w:pPr>
            <w:r/>
            <w:r>
              <w:rPr>
                <w:rFonts w:ascii="Aptos" w:hAnsi="Aptos"/>
                <w:b w:val="0"/>
                <w:color w:val="222222"/>
                <w:sz w:val="17"/>
              </w:rPr>
              <w:t>No DeltaGenerator/traceback/provider jargon in normal screens.</w:t>
            </w:r>
          </w:p>
        </w:tc>
      </w:tr>
      <w:tr>
        <w:tc>
          <w:tcPr>
            <w:tcW w:type="dxa" w:w="446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Exports/templates open correctly</w:t>
            </w:r>
          </w:p>
        </w:tc>
        <w:tc>
          <w:tcPr>
            <w:tcW w:type="dxa" w:w="590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Portfolio/IPO templates and reports usable.</w:t>
            </w:r>
          </w:p>
        </w:tc>
      </w:tr>
    </w:tbl>
    <w:p>
      <w:pPr>
        <w:spacing w:after="0"/>
      </w:pPr>
    </w:p>
    <w:p>
      <w:pPr>
        <w:pStyle w:val="Heading1"/>
        <w:spacing w:before="200" w:after="100"/>
      </w:pPr>
      <w:r>
        <w:rPr>
          <w:rFonts w:ascii="Aptos" w:hAnsi="Aptos"/>
          <w:b/>
          <w:color w:val="1B2A4A"/>
          <w:sz w:val="34"/>
        </w:rPr>
        <w:t>43. Sample Final Output - Cross-Asset Plan</w:t>
      </w:r>
    </w:p>
    <w:tbl>
      <w:tblPr>
        <w:tblW w:type="auto" w:w="0"/>
        <w:jc w:val="center"/>
        <w:tblLook w:firstColumn="1" w:firstRow="1" w:lastColumn="0" w:lastRow="0" w:noHBand="0" w:noVBand="1" w:val="04A0"/>
      </w:tblPr>
      <w:tblGrid>
        <w:gridCol w:w="10224"/>
      </w:tblGrid>
      <w:tr>
        <w:tc>
          <w:tcPr>
            <w:tcW w:type="dxa" w:w="10224"/>
            <w:shd w:fill="FFF6D6"/>
            <w:tcMar>
              <w:top w:w="130" w:type="dxa"/>
              <w:start w:w="140" w:type="dxa"/>
              <w:bottom w:w="130" w:type="dxa"/>
              <w:end w:w="140" w:type="dxa"/>
            </w:tcMar>
          </w:tcPr>
          <w:p>
            <w:pPr>
              <w:spacing w:after="60"/>
            </w:pPr>
            <w:r>
              <w:rPr>
                <w:rFonts w:ascii="Aptos" w:hAnsi="Aptos"/>
                <w:b/>
                <w:color w:val="1B2A4A"/>
                <w:sz w:val="19"/>
              </w:rPr>
              <w:t>ILLUSTRATIVE LAYOUT ONLY - NOT A LIVE INVESTMENT CALL</w:t>
            </w:r>
          </w:p>
          <w:p>
            <w:pPr>
              <w:spacing w:after="0"/>
            </w:pPr>
            <w:r>
              <w:rPr>
                <w:rFonts w:ascii="Aptos" w:hAnsi="Aptos"/>
                <w:color w:val="222222"/>
                <w:sz w:val="18"/>
              </w:rPr>
              <w:t>Values below are an example of presentation structure only. Actual results must be calculated from current validated data and the user’s inputs.</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Item</w:t>
            </w:r>
          </w:p>
        </w:tc>
        <w:tc>
          <w:tcPr>
            <w:tcW w:type="dxa" w:w="7200"/>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Example</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Available amount</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₹50,000</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Duration</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6 Months</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Risk</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Moderate / AUTO resolved</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Plan action</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STAGGER INVESTMENT</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Fixed Income</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₹20,000 - Invest Now</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Physical Gold</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₹12,500 - Buy in 2 Parts</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Strong Stock Opportunity</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₹10,000 - Only in Valid Entry Zone</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Reserve</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₹7,500 - Wait for qualified opportunity</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Downside scenario</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₹47,900</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Base scenario</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₹52,400</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Upside scenario</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₹56,100</w:t>
            </w:r>
          </w:p>
        </w:tc>
      </w:tr>
      <w:tr>
        <w:tc>
          <w:tcPr>
            <w:tcW w:type="dxa" w:w="3168"/>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Confidence</w:t>
            </w:r>
          </w:p>
        </w:tc>
        <w:tc>
          <w:tcPr>
            <w:tcW w:type="dxa" w:w="7200"/>
            <w:vAlign w:val="center"/>
            <w:tcMar>
              <w:top w:w="80" w:type="dxa"/>
              <w:start w:w="90" w:type="dxa"/>
              <w:bottom w:w="80" w:type="dxa"/>
              <w:end w:w="90" w:type="dxa"/>
            </w:tcMar>
            <w:shd w:fill="F8F9FB"/>
          </w:tcPr>
          <w:p>
            <w:pPr>
              <w:spacing w:after="0" w:before="0" w:line="240" w:lineRule="auto"/>
            </w:pPr>
            <w:r/>
            <w:r>
              <w:rPr>
                <w:rFonts w:ascii="Aptos" w:hAnsi="Aptos"/>
                <w:b w:val="0"/>
                <w:color w:val="222222"/>
                <w:sz w:val="18"/>
              </w:rPr>
              <w:t>Medium-High</w:t>
            </w:r>
          </w:p>
        </w:tc>
      </w:tr>
      <w:tr>
        <w:tc>
          <w:tcPr>
            <w:tcW w:type="dxa" w:w="3168"/>
            <w:vAlign w:val="center"/>
            <w:tcMar>
              <w:top w:w="80" w:type="dxa"/>
              <w:start w:w="90" w:type="dxa"/>
              <w:bottom w:w="80" w:type="dxa"/>
              <w:end w:w="90" w:type="dxa"/>
            </w:tcMar>
          </w:tcPr>
          <w:p>
            <w:pPr>
              <w:spacing w:after="0" w:before="0" w:line="240" w:lineRule="auto"/>
            </w:pPr>
            <w:r/>
            <w:r>
              <w:rPr>
                <w:rFonts w:ascii="Aptos" w:hAnsi="Aptos"/>
                <w:b w:val="0"/>
                <w:color w:val="222222"/>
                <w:sz w:val="18"/>
              </w:rPr>
              <w:t>Next review</w:t>
            </w:r>
          </w:p>
        </w:tc>
        <w:tc>
          <w:tcPr>
            <w:tcW w:type="dxa" w:w="7200"/>
            <w:vAlign w:val="center"/>
            <w:tcMar>
              <w:top w:w="80" w:type="dxa"/>
              <w:start w:w="90" w:type="dxa"/>
              <w:bottom w:w="80" w:type="dxa"/>
              <w:end w:w="90" w:type="dxa"/>
            </w:tcMar>
          </w:tcPr>
          <w:p>
            <w:pPr>
              <w:spacing w:after="0" w:before="0" w:line="240" w:lineRule="auto"/>
            </w:pPr>
            <w:r/>
            <w:r>
              <w:rPr>
                <w:rFonts w:ascii="Aptos" w:hAnsi="Aptos"/>
                <w:b w:val="0"/>
                <w:color w:val="222222"/>
                <w:sz w:val="18"/>
              </w:rPr>
              <w:t>Date/trigger generated by system</w:t>
            </w:r>
          </w:p>
        </w:tc>
      </w:tr>
    </w:tbl>
    <w:p>
      <w:pPr>
        <w:spacing w:after="0"/>
      </w:pPr>
    </w:p>
    <w:p>
      <w:pPr>
        <w:pStyle w:val="Heading2"/>
        <w:spacing w:before="120" w:after="100"/>
      </w:pPr>
      <w:r>
        <w:rPr>
          <w:rFonts w:ascii="Aptos" w:hAnsi="Aptos"/>
          <w:b/>
          <w:color w:val="1B2A4A"/>
          <w:sz w:val="26"/>
        </w:rPr>
        <w:t>43.1 Explanation below the plan</w:t>
      </w:r>
    </w:p>
    <w:p>
      <w:pPr>
        <w:pStyle w:val="ListBullet"/>
        <w:spacing w:after="40"/>
        <w:ind w:left="0"/>
      </w:pPr>
      <w:r>
        <w:rPr>
          <w:rFonts w:ascii="Aptos" w:hAnsi="Aptos"/>
          <w:color w:val="222222"/>
          <w:sz w:val="19"/>
        </w:rPr>
        <w:t>Why Fixed Income received the largest share.</w:t>
      </w:r>
    </w:p>
    <w:p>
      <w:pPr>
        <w:pStyle w:val="ListBullet"/>
        <w:spacing w:after="40"/>
        <w:ind w:left="0"/>
      </w:pPr>
      <w:r>
        <w:rPr>
          <w:rFonts w:ascii="Aptos" w:hAnsi="Aptos"/>
          <w:color w:val="222222"/>
          <w:sz w:val="19"/>
        </w:rPr>
        <w:t>Why Gold received ₹12,500 rather than ₹25,000.</w:t>
      </w:r>
    </w:p>
    <w:p>
      <w:pPr>
        <w:pStyle w:val="ListBullet"/>
        <w:spacing w:after="40"/>
        <w:ind w:left="0"/>
      </w:pPr>
      <w:r>
        <w:rPr>
          <w:rFonts w:ascii="Aptos" w:hAnsi="Aptos"/>
          <w:color w:val="222222"/>
          <w:sz w:val="19"/>
        </w:rPr>
        <w:t>Why stock allocation is conditional on valid entry.</w:t>
      </w:r>
    </w:p>
    <w:p>
      <w:pPr>
        <w:pStyle w:val="ListBullet"/>
        <w:spacing w:after="40"/>
        <w:ind w:left="0"/>
      </w:pPr>
      <w:r>
        <w:rPr>
          <w:rFonts w:ascii="Aptos" w:hAnsi="Aptos"/>
          <w:color w:val="222222"/>
          <w:sz w:val="19"/>
        </w:rPr>
        <w:t>Why reserve is deliberately uninvested.</w:t>
      </w:r>
    </w:p>
    <w:p>
      <w:pPr>
        <w:pStyle w:val="ListBullet"/>
        <w:spacing w:after="40"/>
        <w:ind w:left="0"/>
      </w:pPr>
      <w:r>
        <w:rPr>
          <w:rFonts w:ascii="Aptos" w:hAnsi="Aptos"/>
          <w:color w:val="222222"/>
          <w:sz w:val="19"/>
        </w:rPr>
        <w:t>Why crypto/other products were rejected for this horizon/risk, if applicable.</w:t>
      </w:r>
    </w:p>
    <w:p>
      <w:pPr>
        <w:pStyle w:val="ListBullet"/>
        <w:spacing w:after="40"/>
        <w:ind w:left="0"/>
      </w:pPr>
      <w:r>
        <w:rPr>
          <w:rFonts w:ascii="Aptos" w:hAnsi="Aptos"/>
          <w:color w:val="222222"/>
          <w:sz w:val="19"/>
        </w:rPr>
        <w:t>What conditions would redeploy the reserve.</w:t>
      </w:r>
    </w:p>
    <w:p>
      <w:pPr>
        <w:pStyle w:val="ListBullet"/>
        <w:spacing w:after="40"/>
        <w:ind w:left="0"/>
      </w:pPr>
      <w:r>
        <w:rPr>
          <w:rFonts w:ascii="Aptos" w:hAnsi="Aptos"/>
          <w:color w:val="222222"/>
          <w:sz w:val="19"/>
        </w:rPr>
        <w:t>What event or price change would alter each leg.</w:t>
      </w:r>
    </w:p>
    <w:p>
      <w:pPr>
        <w:pStyle w:val="Heading1"/>
        <w:spacing w:before="200" w:after="100"/>
      </w:pPr>
      <w:r>
        <w:rPr>
          <w:rFonts w:ascii="Aptos" w:hAnsi="Aptos"/>
          <w:b/>
          <w:color w:val="1B2A4A"/>
          <w:sz w:val="34"/>
        </w:rPr>
        <w:t>44. Sample Final Output - Specific Product Drill-Down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Level</w:t>
            </w:r>
          </w:p>
        </w:tc>
        <w:tc>
          <w:tcPr>
            <w:tcW w:type="dxa" w:w="7344"/>
            <w:vAlign w:val="center"/>
            <w:tcMar>
              <w:top w:w="80" w:type="dxa"/>
              <w:start w:w="90" w:type="dxa"/>
              <w:bottom w:w="80" w:type="dxa"/>
              <w:end w:w="90" w:type="dxa"/>
            </w:tcMar>
            <w:shd w:fill="1B2A4A"/>
          </w:tcPr>
          <w:p>
            <w:pPr>
              <w:spacing w:after="0" w:before="0" w:line="240" w:lineRule="auto"/>
            </w:pPr>
            <w:r/>
            <w:r>
              <w:rPr>
                <w:rFonts w:ascii="Aptos" w:hAnsi="Aptos"/>
                <w:b/>
                <w:color w:val="FFFFFF"/>
                <w:sz w:val="17"/>
              </w:rPr>
              <w:t>Example</w:t>
            </w:r>
          </w:p>
        </w:tc>
      </w:tr>
      <w:tr>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7"/>
              </w:rPr>
              <w:t>User choice</w:t>
            </w:r>
          </w:p>
        </w:tc>
        <w:tc>
          <w:tcPr>
            <w:tcW w:type="dxa" w:w="7344"/>
            <w:vAlign w:val="center"/>
            <w:tcMar>
              <w:top w:w="80" w:type="dxa"/>
              <w:start w:w="90" w:type="dxa"/>
              <w:bottom w:w="80" w:type="dxa"/>
              <w:end w:w="90" w:type="dxa"/>
            </w:tcMar>
          </w:tcPr>
          <w:p>
            <w:pPr>
              <w:spacing w:after="0" w:before="0" w:line="240" w:lineRule="auto"/>
            </w:pPr>
            <w:r/>
            <w:r>
              <w:rPr>
                <w:rFonts w:ascii="Aptos" w:hAnsi="Aptos"/>
                <w:b w:val="0"/>
                <w:color w:val="222222"/>
                <w:sz w:val="17"/>
              </w:rPr>
              <w:t>Mutual Funds only</w:t>
            </w:r>
          </w:p>
        </w:tc>
      </w:tr>
      <w:tr>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Amount</w:t>
            </w:r>
          </w:p>
        </w:tc>
        <w:tc>
          <w:tcPr>
            <w:tcW w:type="dxa" w:w="734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₹10,000 per month</w:t>
            </w:r>
          </w:p>
        </w:tc>
      </w:tr>
      <w:tr>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7"/>
              </w:rPr>
              <w:t>Duration</w:t>
            </w:r>
          </w:p>
        </w:tc>
        <w:tc>
          <w:tcPr>
            <w:tcW w:type="dxa" w:w="7344"/>
            <w:vAlign w:val="center"/>
            <w:tcMar>
              <w:top w:w="80" w:type="dxa"/>
              <w:start w:w="90" w:type="dxa"/>
              <w:bottom w:w="80" w:type="dxa"/>
              <w:end w:w="90" w:type="dxa"/>
            </w:tcMar>
          </w:tcPr>
          <w:p>
            <w:pPr>
              <w:spacing w:after="0" w:before="0" w:line="240" w:lineRule="auto"/>
            </w:pPr>
            <w:r/>
            <w:r>
              <w:rPr>
                <w:rFonts w:ascii="Aptos" w:hAnsi="Aptos"/>
                <w:b w:val="0"/>
                <w:color w:val="222222"/>
                <w:sz w:val="17"/>
              </w:rPr>
              <w:t>7 years</w:t>
            </w:r>
          </w:p>
        </w:tc>
      </w:tr>
      <w:tr>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Risk</w:t>
            </w:r>
          </w:p>
        </w:tc>
        <w:tc>
          <w:tcPr>
            <w:tcW w:type="dxa" w:w="734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Moderate-High</w:t>
            </w:r>
          </w:p>
        </w:tc>
      </w:tr>
      <w:tr>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7"/>
              </w:rPr>
              <w:t>Best category mix</w:t>
            </w:r>
          </w:p>
        </w:tc>
        <w:tc>
          <w:tcPr>
            <w:tcW w:type="dxa" w:w="7344"/>
            <w:vAlign w:val="center"/>
            <w:tcMar>
              <w:top w:w="80" w:type="dxa"/>
              <w:start w:w="90" w:type="dxa"/>
              <w:bottom w:w="80" w:type="dxa"/>
              <w:end w:w="90" w:type="dxa"/>
            </w:tcMar>
          </w:tcPr>
          <w:p>
            <w:pPr>
              <w:spacing w:after="0" w:before="0" w:line="240" w:lineRule="auto"/>
            </w:pPr>
            <w:r/>
            <w:r>
              <w:rPr>
                <w:rFonts w:ascii="Aptos" w:hAnsi="Aptos"/>
                <w:b w:val="0"/>
                <w:color w:val="222222"/>
                <w:sz w:val="17"/>
              </w:rPr>
              <w:t>Flexi Cap + Index + Large/Mid + Debt as calculated</w:t>
            </w:r>
          </w:p>
        </w:tc>
      </w:tr>
      <w:tr>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Go Deeper</w:t>
            </w:r>
          </w:p>
        </w:tc>
        <w:tc>
          <w:tcPr>
            <w:tcW w:type="dxa" w:w="734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Rank exact schemes inside selected category</w:t>
            </w:r>
          </w:p>
        </w:tc>
      </w:tr>
      <w:tr>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7"/>
              </w:rPr>
              <w:t>Exact scheme</w:t>
            </w:r>
          </w:p>
        </w:tc>
        <w:tc>
          <w:tcPr>
            <w:tcW w:type="dxa" w:w="7344"/>
            <w:vAlign w:val="center"/>
            <w:tcMar>
              <w:top w:w="80" w:type="dxa"/>
              <w:start w:w="90" w:type="dxa"/>
              <w:bottom w:w="80" w:type="dxa"/>
              <w:end w:w="90" w:type="dxa"/>
            </w:tcMar>
          </w:tcPr>
          <w:p>
            <w:pPr>
              <w:spacing w:after="0" w:before="0" w:line="240" w:lineRule="auto"/>
            </w:pPr>
            <w:r/>
            <w:r>
              <w:rPr>
                <w:rFonts w:ascii="Aptos" w:hAnsi="Aptos"/>
                <w:b w:val="0"/>
                <w:color w:val="222222"/>
                <w:sz w:val="17"/>
              </w:rPr>
              <w:t>Fund ABC - highest fit score</w:t>
            </w:r>
          </w:p>
        </w:tc>
      </w:tr>
      <w:tr>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Why</w:t>
            </w:r>
          </w:p>
        </w:tc>
        <w:tc>
          <w:tcPr>
            <w:tcW w:type="dxa" w:w="734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Consistency, drawdown, risk-adjusted performance, expense, style and portfolio-overlap fit</w:t>
            </w:r>
          </w:p>
        </w:tc>
      </w:tr>
      <w:tr>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7"/>
              </w:rPr>
              <w:t>Why not peer</w:t>
            </w:r>
          </w:p>
        </w:tc>
        <w:tc>
          <w:tcPr>
            <w:tcW w:type="dxa" w:w="7344"/>
            <w:vAlign w:val="center"/>
            <w:tcMar>
              <w:top w:w="80" w:type="dxa"/>
              <w:start w:w="90" w:type="dxa"/>
              <w:bottom w:w="80" w:type="dxa"/>
              <w:end w:w="90" w:type="dxa"/>
            </w:tcMar>
          </w:tcPr>
          <w:p>
            <w:pPr>
              <w:spacing w:after="0" w:before="0" w:line="240" w:lineRule="auto"/>
            </w:pPr>
            <w:r/>
            <w:r>
              <w:rPr>
                <w:rFonts w:ascii="Aptos" w:hAnsi="Aptos"/>
                <w:b w:val="0"/>
                <w:color w:val="222222"/>
                <w:sz w:val="17"/>
              </w:rPr>
              <w:t>Higher volatility / overlap / poorer risk-adjusted outcome</w:t>
            </w:r>
          </w:p>
        </w:tc>
      </w:tr>
      <w:tr>
        <w:tc>
          <w:tcPr>
            <w:tcW w:type="dxa" w:w="302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Timing</w:t>
            </w:r>
          </w:p>
        </w:tc>
        <w:tc>
          <w:tcPr>
            <w:tcW w:type="dxa" w:w="7344"/>
            <w:vAlign w:val="center"/>
            <w:tcMar>
              <w:top w:w="80" w:type="dxa"/>
              <w:start w:w="90" w:type="dxa"/>
              <w:bottom w:w="80" w:type="dxa"/>
              <w:end w:w="90" w:type="dxa"/>
            </w:tcMar>
            <w:shd w:fill="F8F9FB"/>
          </w:tcPr>
          <w:p>
            <w:pPr>
              <w:spacing w:after="0" w:before="0" w:line="240" w:lineRule="auto"/>
            </w:pPr>
            <w:r/>
            <w:r>
              <w:rPr>
                <w:rFonts w:ascii="Aptos" w:hAnsi="Aptos"/>
                <w:b w:val="0"/>
                <w:color w:val="222222"/>
                <w:sz w:val="17"/>
              </w:rPr>
              <w:t>SIP / stagger / invest now as calculated</w:t>
            </w:r>
          </w:p>
        </w:tc>
      </w:tr>
      <w:tr>
        <w:tc>
          <w:tcPr>
            <w:tcW w:type="dxa" w:w="3024"/>
            <w:vAlign w:val="center"/>
            <w:tcMar>
              <w:top w:w="80" w:type="dxa"/>
              <w:start w:w="90" w:type="dxa"/>
              <w:bottom w:w="80" w:type="dxa"/>
              <w:end w:w="90" w:type="dxa"/>
            </w:tcMar>
          </w:tcPr>
          <w:p>
            <w:pPr>
              <w:spacing w:after="0" w:before="0" w:line="240" w:lineRule="auto"/>
            </w:pPr>
            <w:r/>
            <w:r>
              <w:rPr>
                <w:rFonts w:ascii="Aptos" w:hAnsi="Aptos"/>
                <w:b w:val="0"/>
                <w:color w:val="222222"/>
                <w:sz w:val="17"/>
              </w:rPr>
              <w:t>Track</w:t>
            </w:r>
          </w:p>
        </w:tc>
        <w:tc>
          <w:tcPr>
            <w:tcW w:type="dxa" w:w="7344"/>
            <w:vAlign w:val="center"/>
            <w:tcMar>
              <w:top w:w="80" w:type="dxa"/>
              <w:start w:w="90" w:type="dxa"/>
              <w:bottom w:w="80" w:type="dxa"/>
              <w:end w:w="90" w:type="dxa"/>
            </w:tcMar>
          </w:tcPr>
          <w:p>
            <w:pPr>
              <w:spacing w:after="0" w:before="0" w:line="240" w:lineRule="auto"/>
            </w:pPr>
            <w:r/>
            <w:r>
              <w:rPr>
                <w:rFonts w:ascii="Aptos" w:hAnsi="Aptos"/>
                <w:b w:val="0"/>
                <w:color w:val="222222"/>
                <w:sz w:val="17"/>
              </w:rPr>
              <w:t>Save monthly plan and reassess each month</w:t>
            </w:r>
          </w:p>
        </w:tc>
      </w:tr>
    </w:tbl>
    <w:p>
      <w:pPr>
        <w:spacing w:after="0"/>
      </w:pPr>
    </w:p>
    <w:p>
      <w:pPr>
        <w:pStyle w:val="Heading1"/>
        <w:spacing w:before="200" w:after="100"/>
      </w:pPr>
      <w:r>
        <w:rPr>
          <w:rFonts w:ascii="Aptos" w:hAnsi="Aptos"/>
          <w:b/>
          <w:color w:val="1B2A4A"/>
          <w:sz w:val="34"/>
        </w:rPr>
        <w:t>45. Definition of “Final” for This Scope</w:t>
      </w:r>
    </w:p>
    <w:p>
      <w:pPr>
        <w:spacing w:after="80" w:line="264" w:lineRule="auto"/>
      </w:pPr>
      <w:r>
        <w:rPr>
          <w:rFonts w:ascii="Aptos" w:hAnsi="Aptos"/>
          <w:color w:val="222222"/>
          <w:sz w:val="19"/>
        </w:rPr>
        <w:t>This scope is final in the sense that it captures the agreed functional operating model from broad investment discovery through exact product selection, existing-portfolio management, money allocation, timing, explanation, tracking, validation and local deployment. Future changes should be treated as controlled enhancements rather than reasons to redesign the core flow.</w:t>
      </w:r>
    </w:p>
    <w:tbl>
      <w:tblPr>
        <w:tblW w:type="auto" w:w="0"/>
        <w:jc w:val="center"/>
        <w:tblLook w:firstColumn="1" w:firstRow="1" w:lastColumn="0" w:lastRow="0" w:noHBand="0" w:noVBand="1" w:val="04A0"/>
      </w:tblPr>
      <w:tblGrid>
        <w:gridCol w:w="10224"/>
      </w:tblGrid>
      <w:tr>
        <w:tc>
          <w:tcPr>
            <w:tcW w:type="dxa" w:w="10224"/>
            <w:shd w:fill="EAF5EC"/>
            <w:tcMar>
              <w:top w:w="130" w:type="dxa"/>
              <w:start w:w="140" w:type="dxa"/>
              <w:bottom w:w="130" w:type="dxa"/>
              <w:end w:w="140" w:type="dxa"/>
            </w:tcMar>
          </w:tcPr>
          <w:p>
            <w:pPr>
              <w:spacing w:after="60"/>
            </w:pPr>
            <w:r>
              <w:rPr>
                <w:rFonts w:ascii="Aptos" w:hAnsi="Aptos"/>
                <w:b/>
                <w:color w:val="1B2A4A"/>
                <w:sz w:val="19"/>
              </w:rPr>
              <w:t>IMPLEMENTATION RULE</w:t>
            </w:r>
          </w:p>
          <w:p>
            <w:pPr>
              <w:spacing w:after="0"/>
            </w:pPr>
            <w:r>
              <w:rPr>
                <w:rFonts w:ascii="Aptos" w:hAnsi="Aptos"/>
                <w:color w:val="222222"/>
                <w:sz w:val="18"/>
              </w:rPr>
              <w:t>Build from this document in stages, but the finished application must behave as one coherent product. “Simple selection outside, smart recommendation inside, full explanation when opened” is the permanent UX standard.</w:t>
            </w:r>
          </w:p>
        </w:tc>
      </w:tr>
    </w:tbl>
    <w:p>
      <w:pPr>
        <w:spacing w:after="80" w:line="264" w:lineRule="auto"/>
        <w:jc w:val="center"/>
      </w:pPr>
      <w:r>
        <w:rPr>
          <w:rFonts w:ascii="Aptos" w:hAnsi="Aptos"/>
          <w:color w:val="222222"/>
          <w:sz w:val="18"/>
        </w:rPr>
        <w:t>End of master scope specification.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India Investment Radar | Final Master Scope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B2A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B2A4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