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087"/>
          <w:sz w:val="36"/>
        </w:rPr>
        <w:t>Smoke Test Congress 2026 — Daily Conference Debrief</w:t>
      </w:r>
    </w:p>
    <w:p>
      <w:r>
        <w:rPr>
          <w:color w:val="5A5A5A"/>
          <w:sz w:val="18"/>
        </w:rPr>
        <w:t>Prepared for Test Client  |  Tuesday, 22 September 2026  |  Generated 19:10</w:t>
      </w:r>
    </w:p>
    <w:p>
      <w:r>
        <w:rPr>
          <w:b/>
          <w:sz w:val="23"/>
        </w:rPr>
        <w:t>US payers signalled they will require cardiovascular or renal outcomes data, not weight loss alone, for unrestricted formulary access from 2027.</w:t>
      </w:r>
    </w:p>
    <w:p>
      <w:pPr>
        <w:spacing w:before="240" w:after="80"/>
      </w:pPr>
      <w:r>
        <w:rPr>
          <w:b/>
          <w:color w:val="003087"/>
          <w:sz w:val="26"/>
        </w:rPr>
        <w:t>EXECUTIVE SUMMARY</w:t>
      </w:r>
    </w:p>
    <w:p>
      <w:r>
        <w:t>The most consequential development today for Test Client is US payers signalled they will require cardiovascular or renal outcomes data, not weight loss alone, for unrestricted formulary access from 2027.. Activity clustered around reimbursement, outcomes evidence, access strategy, with material captured from Multi-stakeholder. 1 intelligence items were logged at Smoke Test Congress 2026, of which 1 are unpublished and require verification before external circulation.</w:t>
      </w:r>
    </w:p>
    <w:p>
      <w:pPr>
        <w:spacing w:before="240" w:after="80"/>
      </w:pPr>
      <w:r>
        <w:rPr>
          <w:b/>
          <w:color w:val="003087"/>
          <w:sz w:val="26"/>
        </w:rPr>
        <w:t>TOP TAKEAWAYS</w:t>
      </w:r>
    </w:p>
    <w:p>
      <w:pPr>
        <w:pStyle w:val="ListBullet"/>
      </w:pPr>
      <w:r>
        <w:t>Multi-stakeholder: US payers signalled they will require cardiovascular or renal outcomes data, not weight loss alone, for unrestricted formulary access from 2027.</w:t>
      </w:r>
    </w:p>
    <w:p>
      <w:r>
        <w:rPr>
          <w:i/>
          <w:color w:val="5A5A5A"/>
          <w:sz w:val="16"/>
        </w:rPr>
        <w:t>Sources: booth_notes.txt</w:t>
      </w:r>
    </w:p>
    <w:p>
      <w:pPr>
        <w:spacing w:before="240" w:after="80"/>
      </w:pPr>
      <w:r>
        <w:rPr>
          <w:b/>
          <w:color w:val="003087"/>
          <w:sz w:val="26"/>
        </w:rPr>
        <w:t>COMPETITOR FOCUS — MULTI-STAKEHOLDER</w:t>
      </w:r>
    </w:p>
    <w:p>
      <w:pPr>
        <w:pStyle w:val="ListBullet"/>
      </w:pPr>
      <w:r>
        <w:t>US payers signalled they will require cardiovascular or renal outcomes data, not weight loss alone, for unrestricted formulary access from 2027. — 3 of 4 panellists indicated step-through requirements will persist; Cited annual budget impact of $9-14bn per plan at current uptake</w:t>
      </w:r>
    </w:p>
    <w:p>
      <w:r>
        <w:rPr>
          <w:i/>
          <w:color w:val="5A5A5A"/>
          <w:sz w:val="16"/>
        </w:rPr>
        <w:t>Sources: booth_notes.txt</w:t>
      </w:r>
    </w:p>
    <w:p>
      <w:pPr>
        <w:spacing w:before="240" w:after="80"/>
      </w:pPr>
      <w:r>
        <w:rPr>
          <w:b/>
          <w:color w:val="003087"/>
          <w:sz w:val="26"/>
        </w:rPr>
        <w:t>DATA HIGHLIGHTS</w:t>
      </w:r>
    </w:p>
    <w:p>
      <w:pPr>
        <w:pStyle w:val="ListBullet"/>
      </w:pPr>
      <w:r>
        <w:t>Multi-stakeholder: 3 of 4 panellists indicated step-through requirements will persist; Cited annual budget impact of $9-14bn per plan at current uptake</w:t>
      </w:r>
    </w:p>
    <w:p>
      <w:r>
        <w:rPr>
          <w:i/>
          <w:color w:val="5A5A5A"/>
          <w:sz w:val="16"/>
        </w:rPr>
        <w:t>Sources: booth_notes.txt</w:t>
      </w:r>
    </w:p>
    <w:p>
      <w:pPr>
        <w:spacing w:before="240" w:after="80"/>
      </w:pPr>
      <w:r>
        <w:rPr>
          <w:b/>
          <w:color w:val="003087"/>
          <w:sz w:val="26"/>
        </w:rPr>
        <w:t>EMERGING CONFERENCE THEMES</w:t>
      </w:r>
    </w:p>
    <w:p>
      <w:pPr>
        <w:pStyle w:val="ListBullet"/>
      </w:pPr>
      <w:r>
        <w:t>Reimbursement — referenced in 1 captured item(s)</w:t>
      </w:r>
    </w:p>
    <w:p>
      <w:pPr>
        <w:pStyle w:val="ListBullet"/>
      </w:pPr>
      <w:r>
        <w:t>Outcomes Evidence — referenced in 1 captured item(s)</w:t>
      </w:r>
    </w:p>
    <w:p>
      <w:pPr>
        <w:pStyle w:val="ListBullet"/>
      </w:pPr>
      <w:r>
        <w:t>Access Strategy — referenced in 1 captured item(s)</w:t>
      </w:r>
    </w:p>
    <w:p>
      <w:pPr>
        <w:spacing w:before="240" w:after="80"/>
      </w:pPr>
      <w:r>
        <w:rPr>
          <w:b/>
          <w:color w:val="003087"/>
          <w:sz w:val="26"/>
        </w:rPr>
        <w:t>UNPUBLISHED / TO BE VERIFIED</w:t>
      </w:r>
    </w:p>
    <w:p>
      <w:r>
        <w:t>The following was captured from booth materials, private discussions or non-public slides and has not been externally verified.</w:t>
      </w:r>
    </w:p>
    <w:p>
      <w:pPr>
        <w:pStyle w:val="ListBullet"/>
      </w:pPr>
      <w:r>
        <w:t>Multi-stakeholder: US payers signalled they will require cardiovascular or renal outcomes data, not weight loss alone, for unrestricted formulary access from 2027.</w:t>
      </w:r>
    </w:p>
    <w:p>
      <w:pPr>
        <w:spacing w:before="240" w:after="80"/>
      </w:pPr>
      <w:r>
        <w:rPr>
          <w:b/>
          <w:color w:val="003087"/>
          <w:sz w:val="26"/>
        </w:rPr>
        <w:t>STRATEGIC IMPLICATIONS</w:t>
      </w:r>
    </w:p>
    <w:p>
      <w:pPr>
        <w:pStyle w:val="ListBullet"/>
      </w:pPr>
      <w:r>
        <w:t>Assess the competitive impact of Multi-stakeholder's position on Obesity</w:t>
      </w:r>
    </w:p>
    <w:p>
      <w:pPr>
        <w:spacing w:before="240" w:after="80"/>
      </w:pPr>
      <w:r>
        <w:rPr>
          <w:b/>
          <w:color w:val="003087"/>
          <w:sz w:val="26"/>
        </w:rPr>
        <w:t>RESPONSES TO YOUR STANDING QUESTIONS</w:t>
      </w:r>
    </w:p>
    <w:p>
      <w:r>
        <w:rPr>
          <w:b/>
        </w:rPr>
        <w:t>What is the competitive efficacy benchmark in obesity?</w:t>
      </w:r>
    </w:p>
    <w:p>
      <w:r>
        <w:t>From material captured at this conference:</w:t>
        <w:br/>
        <w:t>- Multi-stakeholder: US payers signalled they will require cardiovascular or renal outcomes data, not weight loss alone, for unrestricted formulary access from 2027. (3 of 4 panellists indicated step-through requirements will persist)</w:t>
      </w:r>
    </w:p>
    <w:p>
      <w:r>
        <w:rPr>
          <w:i/>
          <w:color w:val="5A5A5A"/>
          <w:sz w:val="16"/>
        </w:rPr>
        <w:t>Sources: booth_notes.txt</w:t>
      </w:r>
    </w:p>
    <w:p>
      <w:pPr>
        <w:spacing w:before="240" w:after="80"/>
      </w:pPr>
      <w:r>
        <w:rPr>
          <w:b/>
          <w:color w:val="003087"/>
          <w:sz w:val="26"/>
        </w:rPr>
        <w:t>WATCHLIST FOR TOMORROW</w:t>
      </w:r>
    </w:p>
    <w:p>
      <w:pPr>
        <w:pStyle w:val="ListBullet"/>
      </w:pPr>
      <w:r>
        <w:t>Follow up on Payer panel on obesity reimbursement thresholds (Multi-stakeholder)</w:t>
      </w:r>
    </w:p>
    <w:p>
      <w:r>
        <w:br w:type="page"/>
      </w:r>
    </w:p>
    <w:p>
      <w:pPr>
        <w:spacing w:before="240" w:after="80"/>
      </w:pPr>
      <w:r>
        <w:rPr>
          <w:b/>
          <w:color w:val="003087"/>
          <w:sz w:val="28"/>
        </w:rPr>
        <w:t>APPENDIX — SOURCE EVIDENCE</w:t>
      </w:r>
    </w:p>
    <w:p>
      <w:r>
        <w:rPr>
          <w:b/>
        </w:rPr>
        <w:t>Payer panel on obesity reimbursement thresholds</w:t>
      </w:r>
    </w:p>
    <w:p>
      <w:r>
        <w:rPr>
          <w:color w:val="5A5A5A"/>
          <w:sz w:val="17"/>
        </w:rPr>
        <w:t>Multi-stakeholder | Obesity</w:t>
      </w:r>
    </w:p>
    <w:p>
      <w:pPr>
        <w:pStyle w:val="ListBullet"/>
      </w:pPr>
      <w:r>
        <w:t>3 of 4 panellists indicated step-through requirements will persist</w:t>
      </w:r>
    </w:p>
    <w:p>
      <w:pPr>
        <w:pStyle w:val="ListBullet"/>
      </w:pPr>
      <w:r>
        <w:t>Cited annual budget impact of $9-14bn per plan at current uptake</w:t>
      </w:r>
    </w:p>
    <w:p>
      <w:r>
        <w:rPr>
          <w:i/>
          <w:color w:val="5A5A5A"/>
          <w:sz w:val="16"/>
        </w:rPr>
        <w:t>Source: booth_notes.txt</w:t>
      </w:r>
    </w:p>
    <w:p>
      <w:pPr>
        <w:jc w:val="center"/>
      </w:pPr>
      <w:r>
        <w:rPr>
          <w:color w:val="5A5A5A"/>
          <w:sz w:val="15"/>
        </w:rPr>
        <w:t>Generated by the Conference Intelligence Assistant. AI-assisted draft — review before client circulation.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