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sz w:val="28"/>
          <w:szCs w:val="28"/>
        </w:rPr>
        <w:t xml:space="preserve">MRAT-RL: Multimodal Regime-Adaptive Transformer and Reinforcement Learning for Global Financial Forecasting</w:t>
      </w:r>
    </w:p>
    <w:p>
      <w:pPr>
        <w:spacing w:before="0" w:after="40"/>
        <w:jc w:val="center"/>
      </w:pPr>
      <w:r>
        <w:rPr>
          <w:rFonts w:ascii="Times New Roman" w:cs="Times New Roman" w:eastAsia="Times New Roman" w:hAnsi="Times New Roman"/>
          <w:sz w:val="20"/>
          <w:szCs w:val="20"/>
        </w:rPr>
        <w:t xml:space="preserve">Alabi Taiwo Oluwatamilore, Divyesh Reddy Ellasiri, Sai Vivek Yerninti, Mukesh Saren Ramu</w:t>
      </w:r>
    </w:p>
    <w:p>
      <w:pPr>
        <w:spacing w:before="0" w:after="40"/>
        <w:jc w:val="center"/>
      </w:pPr>
      <w:r>
        <w:rPr>
          <w:rFonts w:ascii="Times New Roman" w:cs="Times New Roman" w:eastAsia="Times New Roman" w:hAnsi="Times New Roman"/>
          <w:sz w:val="18"/>
          <w:szCs w:val="18"/>
        </w:rPr>
        <w:t xml:space="preserve">School of Computing, National College of Ireland, Dublin, Ireland</w:t>
      </w:r>
    </w:p>
    <w:p>
      <w:pPr>
        <w:spacing w:before="0" w:after="200"/>
        <w:jc w:val="center"/>
      </w:pPr>
      <w:r>
        <w:rPr>
          <w:rFonts w:ascii="Times New Roman" w:cs="Times New Roman" w:eastAsia="Times New Roman" w:hAnsi="Times New Roman"/>
          <w:sz w:val="18"/>
          <w:szCs w:val="18"/>
        </w:rPr>
        <w:t xml:space="preserve">{24335592, 25134825, 25138286, 25121448}@students.ncirl.ie</w:t>
      </w:r>
    </w:p>
    <w:p>
      <w:pPr>
        <w:spacing w:before="0" w:after="40"/>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This paper presents MRAT-RL, a multimodal regime-adaptive system integrating PatchTST Transformer forecasting, Soft Actor-Critic (SAC) and Proximal Policy Optimisation (PPO) reinforcement learning, Hidden Markov Model (HMM) regime detection, FinBERT sentiment analysis, and macroeconomic indicators (VIX, interest rates) for global financial market trading. The system is evaluated across four asset classes — equity indices, cryptocurrencies, foreign exchange, and commodities — using walk-forward backtesting with transaction costs. PatchTST achieves a 96.0% reduction in Mean Absolute Error versus a linear regression baseline on four assets. SAC and PPO reinforcement learning agents achieve an average nine-fold improvement in risk-adjusted returns (Sharpe ratio +0.54 versus −0.40) over a rule-based trader. An ablation study reveals that macroeconomic features are the dominant RL state component for equity assets, while pre-computed ML forecasting features (PatchTST, HMM labels) reduce RL performance when the agent can learn equivalent representations from raw signals — a finding that supports asset-class-specific architecture design over universal multimodal integration. The combined system, employing asset-specific agent selection and Balanced-Expert state weighting, achieves an average Sharpe ratio of 0.766 across three asset classes.</w:t>
      </w:r>
    </w:p>
    <w:p>
      <w:pPr>
        <w:spacing w:before="0" w:after="100"/>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financial forecasting, reinforcement learning, Transformer, PatchTST, Soft Actor-Critic (SAC), Proximal Policy Optimisation (PPO), Hidden Markov Model (HMM), market regime detection, sentiment analysis, ablation study.</w:t>
      </w:r>
    </w:p>
    <w:p>
      <w:pPr>
        <w:spacing w:before="200" w:after="80"/>
        <w:jc w:val="center"/>
      </w:pPr>
      <w:r>
        <w:rPr>
          <w:rFonts w:ascii="Times New Roman" w:cs="Times New Roman" w:eastAsia="Times New Roman" w:hAnsi="Times New Roman"/>
          <w:b/>
          <w:bCs/>
          <w:sz w:val="20"/>
          <w:szCs w:val="20"/>
        </w:rPr>
        <w:t xml:space="preserve">I. INTRODUCTION</w:t>
      </w:r>
    </w:p>
    <w:p>
      <w:pPr>
        <w:spacing w:before="60" w:after="60" w:line="240" w:lineRule="auto"/>
        <w:jc w:val="both"/>
      </w:pPr>
      <w:r>
        <w:rPr>
          <w:rFonts w:ascii="Times New Roman" w:cs="Times New Roman" w:eastAsia="Times New Roman" w:hAnsi="Times New Roman"/>
          <w:b/>
          <w:bCs/>
          <w:sz w:val="28"/>
          <w:szCs w:val="28"/>
        </w:rPr>
        <w:t xml:space="preserve">G</w:t>
      </w:r>
      <w:r>
        <w:rPr>
          <w:rFonts w:ascii="Times New Roman" w:cs="Times New Roman" w:eastAsia="Times New Roman" w:hAnsi="Times New Roman"/>
          <w:sz w:val="20"/>
          <w:szCs w:val="20"/>
        </w:rPr>
        <w:t xml:space="preserve">LOBAL financial markets present a forecasting challenge of significant complexity: price dynamics are shaped simultaneously by technical patterns, macroeconomic policy, news sentiment, and structural regime transitions. Prior work has addressed these modalities in isolation. Transformer-based forecasters [1]–[3] achieve strong sequence modelling accuracy but are modally limited to price history. Reinforcement learning (RL) trading agents [4]–[6] execute effectively under transaction cost constraints but operate without sentiment or regime context. Sentiment models [7]–[9] capture investor mood but are rarely connected to execution pipelines.</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This work addresses the convergence of these capabilities. MRAT-RL integrates five concurrent modalities into a unified system: OHLCV price history with technical indicators, FinBERT+VADER sentiment, HMM market regime labels, macroeconomic covariates, and PatchTST Transformer forecasts. Two RL agents — SAC [10] and PPO [11] — are evaluated against a rule-based baseline. The primary contributions are: (i) a systematic ablation study identifying per-asset feature importance; (ii) demonstration that asset-specific agent selection improves average Sharpe ratio by 0.121 over single-agent strategies; and (iii) a consensus weight optimisation framework achieving a 0.198 Sharpe improvement over equal-weight baselines.</w:t>
      </w:r>
    </w:p>
    <w:p>
      <w:pPr>
        <w:spacing w:before="200" w:after="80"/>
        <w:jc w:val="center"/>
      </w:pPr>
      <w:r>
        <w:rPr>
          <w:rFonts w:ascii="Times New Roman" w:cs="Times New Roman" w:eastAsia="Times New Roman" w:hAnsi="Times New Roman"/>
          <w:b/>
          <w:bCs/>
          <w:sz w:val="20"/>
          <w:szCs w:val="20"/>
        </w:rPr>
        <w:t xml:space="preserve">II. METHODOLOGY</w:t>
      </w:r>
    </w:p>
    <w:p>
      <w:pPr>
        <w:spacing w:before="120" w:after="60"/>
      </w:pPr>
      <w:r>
        <w:rPr>
          <w:rFonts w:ascii="Times New Roman" w:cs="Times New Roman" w:eastAsia="Times New Roman" w:hAnsi="Times New Roman"/>
          <w:b/>
          <w:bCs/>
          <w:sz w:val="20"/>
          <w:szCs w:val="20"/>
        </w:rPr>
        <w:t xml:space="preserve">A. PatchTST Forecaster</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PatchTST [12] tokenises time series into overlapping patches of length 16 with stride 8, projecting each patch to a d_model=64 embedding. A two-layer Transformer encoder with four attention heads processes patch sequences of length 60 trading days to produce a five-day-ahead price return prediction. Reversible Instance Normalisation (RevIN) is applied to account for distribution shift across the 22-year training period (2004–2026). Huber loss (δ=0.001) replaces mean squared error to reduce sensitivity to volatility spikes during crisis periods.</w:t>
      </w:r>
    </w:p>
    <w:p>
      <w:pPr>
        <w:spacing w:before="120" w:after="60"/>
      </w:pPr>
      <w:r>
        <w:rPr>
          <w:rFonts w:ascii="Times New Roman" w:cs="Times New Roman" w:eastAsia="Times New Roman" w:hAnsi="Times New Roman"/>
          <w:b/>
          <w:bCs/>
          <w:sz w:val="20"/>
          <w:szCs w:val="20"/>
        </w:rPr>
        <w:t xml:space="preserve">B. Regime Detection and Macro Features</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Market regime (bull, bear, sideways) is detected using a pre-trained three-state Hidden Markov Model trained on 5,764 days of EUR/USD returns and volatility. Macroeconomic state features include: CBOE VIX (normalised by 80), US 13-week T-bill rate as a Federal Reserve proxy (normalised by 20), S&amp;P 500 200-day SMA regime (±1), and a time-varying sentiment proxy derived from 20-day price momentum percentile rank. This proxy replaces the static FinBERT value for historical RL training, as the news API provides only current-period headlines.</w:t>
      </w:r>
    </w:p>
    <w:p>
      <w:pPr>
        <w:spacing w:before="120" w:after="60"/>
      </w:pPr>
      <w:r>
        <w:rPr>
          <w:rFonts w:ascii="Times New Roman" w:cs="Times New Roman" w:eastAsia="Times New Roman" w:hAnsi="Times New Roman"/>
          <w:b/>
          <w:bCs/>
          <w:sz w:val="20"/>
          <w:szCs w:val="20"/>
        </w:rPr>
        <w:t xml:space="preserve">C. Reinforcement Learning Agents</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Two agents are evaluated. PPO [11] with clipping parameter ε=0.2 operates on-policy with a 256-step rollout buffer. SAC [10] operates off-policy with a 50,000-capacity replay buffer and automatic entropy tuning. Both share an Actor-Critic architecture with LayerNorm and GELU activations. The state vector comprises 17 features: PatchTST expected return and confidence, HMM regime, ADX, ATR, RSI, MACD, rolling volatility, five- and ten-day momentum, VIX, interest rate, S&amp;P 500 macro regime, sentiment proxy, and portfolio state (position, unrealised P&amp;L, days in trade). The reward function uses rolling Sharpe ratio over a 20-step window to optimise risk-adjusted returns. Transaction costs of 10 basis points per round-trip are applied.</w:t>
      </w:r>
    </w:p>
    <w:p>
      <w:pPr>
        <w:spacing w:before="200" w:after="80"/>
        <w:jc w:val="center"/>
      </w:pPr>
      <w:r>
        <w:rPr>
          <w:rFonts w:ascii="Times New Roman" w:cs="Times New Roman" w:eastAsia="Times New Roman" w:hAnsi="Times New Roman"/>
          <w:b/>
          <w:bCs/>
          <w:sz w:val="20"/>
          <w:szCs w:val="20"/>
        </w:rPr>
        <w:t xml:space="preserve">III. EXPERIMENTAL RESULTS</w:t>
      </w:r>
    </w:p>
    <w:p>
      <w:pPr>
        <w:spacing w:before="120" w:after="60"/>
      </w:pPr>
      <w:r>
        <w:rPr>
          <w:rFonts w:ascii="Times New Roman" w:cs="Times New Roman" w:eastAsia="Times New Roman" w:hAnsi="Times New Roman"/>
          <w:b/>
          <w:bCs/>
          <w:sz w:val="20"/>
          <w:szCs w:val="20"/>
        </w:rPr>
        <w:t xml:space="preserve">A. Forecasting Accuracy</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PatchTST trained on the full 22-year history is compared against the linear regression baseline trained on 8-month rolling windows. Both are evaluated on a chronological 15% test split using MAE as the primary metric. TABLE I presents results across four asset classes.</w:t>
      </w:r>
    </w:p>
    <w:p>
      <w:pPr>
        <w:spacing w:before="40" w:after="40"/>
      </w:pPr>
      <w:r>
        <w:t xml:space="preserve"/>
      </w:r>
    </w:p>
    <w:p>
      <w:pPr>
        <w:spacing w:before="100" w:after="40"/>
        <w:jc w:val="center"/>
      </w:pPr>
      <w:r>
        <w:rPr>
          <w:rFonts w:ascii="Times New Roman" w:cs="Times New Roman" w:eastAsia="Times New Roman" w:hAnsi="Times New Roman"/>
          <w:b/>
          <w:bCs/>
          <w:sz w:val="18"/>
          <w:szCs w:val="18"/>
        </w:rPr>
        <w:t xml:space="preserve">TABLE I
</w:t>
      </w:r>
      <w:r>
        <w:rPr>
          <w:rFonts w:ascii="Times New Roman" w:cs="Times New Roman" w:eastAsia="Times New Roman" w:hAnsi="Times New Roman"/>
          <w:b/>
          <w:bCs/>
          <w:sz w:val="18"/>
          <w:szCs w:val="18"/>
        </w:rPr>
        <w:t xml:space="preserve">PATCHTST VS. LINEAR REGRESSION BASELINE (MAE, LOWER IS BETTER)</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1600"/>
        <w:gridCol w:w="2060"/>
      </w:tblGrid>
      <w:tr>
        <w:tc>
          <w:tcPr>
            <w:tcW w:type="dxa" w:w="21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Asset</w:t>
            </w:r>
          </w:p>
        </w:tc>
        <w:tc>
          <w:tcPr>
            <w:tcW w:type="dxa" w:w="16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Class</w:t>
            </w:r>
          </w:p>
        </w:tc>
        <w:tc>
          <w:tcPr>
            <w:tcW w:type="dxa" w:w="16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PatchTST MAE</w:t>
            </w:r>
          </w:p>
        </w:tc>
        <w:tc>
          <w:tcPr>
            <w:tcW w:type="dxa" w:w="16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Baseline MAE</w:t>
            </w:r>
          </w:p>
        </w:tc>
        <w:tc>
          <w:tcPr>
            <w:tcW w:type="dxa" w:w="206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Reduction</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S&amp;P 500</w:t>
            </w:r>
          </w:p>
        </w:tc>
        <w:tc>
          <w:tcPr>
            <w:tcW w:type="dxa" w:w="16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Equity</w:t>
            </w:r>
          </w:p>
        </w:tc>
        <w:tc>
          <w:tcPr>
            <w:tcW w:type="dxa" w:w="16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79.43</w:t>
            </w:r>
          </w:p>
        </w:tc>
        <w:tc>
          <w:tcPr>
            <w:tcW w:type="dxa" w:w="16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3,674.73</w:t>
            </w:r>
          </w:p>
        </w:tc>
        <w:tc>
          <w:tcPr>
            <w:tcW w:type="dxa" w:w="206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97.8%</w:t>
            </w:r>
          </w:p>
        </w:tc>
      </w:tr>
      <w:tr>
        <w:tc>
          <w:tcPr>
            <w:tcW w:type="dxa" w:w="21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Bitcoin</w:t>
            </w:r>
          </w:p>
        </w:tc>
        <w:tc>
          <w:tcPr>
            <w:tcW w:type="dxa" w:w="16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Crypto</w:t>
            </w:r>
          </w:p>
        </w:tc>
        <w:tc>
          <w:tcPr>
            <w:tcW w:type="dxa" w:w="16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3,409.02</w:t>
            </w:r>
          </w:p>
        </w:tc>
        <w:tc>
          <w:tcPr>
            <w:tcW w:type="dxa" w:w="16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77,306.95</w:t>
            </w:r>
          </w:p>
        </w:tc>
        <w:tc>
          <w:tcPr>
            <w:tcW w:type="dxa" w:w="206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95.6%</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EUR/USD</w:t>
            </w:r>
          </w:p>
        </w:tc>
        <w:tc>
          <w:tcPr>
            <w:tcW w:type="dxa" w:w="16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Forex</w:t>
            </w:r>
          </w:p>
        </w:tc>
        <w:tc>
          <w:tcPr>
            <w:tcW w:type="dxa" w:w="16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0.01</w:t>
            </w:r>
          </w:p>
        </w:tc>
        <w:tc>
          <w:tcPr>
            <w:tcW w:type="dxa" w:w="16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0.15</w:t>
            </w:r>
          </w:p>
        </w:tc>
        <w:tc>
          <w:tcPr>
            <w:tcW w:type="dxa" w:w="206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94.8%</w:t>
            </w:r>
          </w:p>
        </w:tc>
      </w:tr>
      <w:tr>
        <w:tc>
          <w:tcPr>
            <w:tcW w:type="dxa" w:w="21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Gold</w:t>
            </w:r>
          </w:p>
        </w:tc>
        <w:tc>
          <w:tcPr>
            <w:tcW w:type="dxa" w:w="16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Commodity</w:t>
            </w:r>
          </w:p>
        </w:tc>
        <w:tc>
          <w:tcPr>
            <w:tcW w:type="dxa" w:w="16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58.90</w:t>
            </w:r>
          </w:p>
        </w:tc>
        <w:tc>
          <w:tcPr>
            <w:tcW w:type="dxa" w:w="16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1,410.29</w:t>
            </w:r>
          </w:p>
        </w:tc>
        <w:tc>
          <w:tcPr>
            <w:tcW w:type="dxa" w:w="206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95.8%</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bCs/>
                <w:color w:val="000000"/>
                <w:sz w:val="18"/>
                <w:szCs w:val="18"/>
              </w:rPr>
              <w:t xml:space="preserve">Average</w:t>
            </w:r>
          </w:p>
        </w:tc>
        <w:tc>
          <w:tcPr>
            <w:tcW w:type="dxa" w:w="16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All</w:t>
            </w:r>
          </w:p>
        </w:tc>
        <w:tc>
          <w:tcPr>
            <w:tcW w:type="dxa" w:w="16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w:t>
            </w:r>
          </w:p>
        </w:tc>
        <w:tc>
          <w:tcPr>
            <w:tcW w:type="dxa" w:w="16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w:t>
            </w:r>
          </w:p>
        </w:tc>
        <w:tc>
          <w:tcPr>
            <w:tcW w:type="dxa" w:w="206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96.0%</w:t>
            </w:r>
          </w:p>
        </w:tc>
      </w:tr>
    </w:tbl>
    <w:p>
      <w:pPr>
        <w:spacing w:before="40" w:after="40"/>
      </w:pPr>
      <w:r>
        <w:t xml:space="preserve"/>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PatchTST achieves an average 96.0% MAE reduction, winning on all four asset classes. LightGBM halted at best_iter=1 on equity and crypto assets when applied to the full 22-year feature matrix, confirming that gradient boosting requires shorter rolling windows rather than long-range historical sequences — a result consistent with [13].</w:t>
      </w:r>
    </w:p>
    <w:p>
      <w:pPr>
        <w:spacing w:before="60" w:after="60"/>
      </w:pPr>
      <w:r>
        <w:t xml:space="preserve"/>
      </w:r>
    </w:p>
    <w:p>
      <w:pPr>
        <w:spacing w:before="120" w:after="60"/>
      </w:pPr>
      <w:r>
        <w:rPr>
          <w:rFonts w:ascii="Times New Roman" w:cs="Times New Roman" w:eastAsia="Times New Roman" w:hAnsi="Times New Roman"/>
          <w:b/>
          <w:bCs/>
          <w:sz w:val="20"/>
          <w:szCs w:val="20"/>
        </w:rPr>
        <w:t xml:space="preserve">B. Walk-Forward Backtesting</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The HMM + LightGBM enhanced pipeline is evaluated against the score-based baseline on the S&amp;P 500 using 13 expanding walk-forward windows (200-day train, 50-day test). TABLE II reports selected Sharpe ratios.</w:t>
      </w:r>
    </w:p>
    <w:p>
      <w:pPr>
        <w:spacing w:before="40" w:after="40"/>
      </w:pPr>
      <w:r>
        <w:t xml:space="preserve"/>
      </w:r>
    </w:p>
    <w:p>
      <w:pPr>
        <w:spacing w:before="100" w:after="40"/>
        <w:jc w:val="center"/>
      </w:pPr>
      <w:r>
        <w:rPr>
          <w:rFonts w:ascii="Times New Roman" w:cs="Times New Roman" w:eastAsia="Times New Roman" w:hAnsi="Times New Roman"/>
          <w:b/>
          <w:bCs/>
          <w:sz w:val="18"/>
          <w:szCs w:val="18"/>
        </w:rPr>
        <w:t xml:space="preserve">TABLE II
</w:t>
      </w:r>
      <w:r>
        <w:rPr>
          <w:rFonts w:ascii="Times New Roman" w:cs="Times New Roman" w:eastAsia="Times New Roman" w:hAnsi="Times New Roman"/>
          <w:b/>
          <w:bCs/>
          <w:sz w:val="18"/>
          <w:szCs w:val="18"/>
        </w:rPr>
        <w:t xml:space="preserve">WALK-FORWARD SHARPE RATIOS (★ = HIGHER VALUE)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430"/>
        <w:gridCol w:w="2430"/>
      </w:tblGrid>
      <w:tr>
        <w:tc>
          <w:tcPr>
            <w:tcW w:type="dxa" w:w="10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Win.</w:t>
            </w:r>
          </w:p>
        </w:tc>
        <w:tc>
          <w:tcPr>
            <w:tcW w:type="dxa" w:w="35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Period</w:t>
            </w:r>
          </w:p>
        </w:tc>
        <w:tc>
          <w:tcPr>
            <w:tcW w:type="dxa" w:w="243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Baseline Sharpe</w:t>
            </w:r>
          </w:p>
        </w:tc>
        <w:tc>
          <w:tcPr>
            <w:tcW w:type="dxa" w:w="243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HMM+LightGBM</w:t>
            </w:r>
          </w:p>
        </w:tc>
      </w:tr>
      <w:tr>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W0</w:t>
            </w:r>
          </w:p>
        </w:tc>
        <w:tc>
          <w:tcPr>
            <w:tcW w:type="dxa" w:w="3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2024-03-26 — 2025-03-25</w:t>
            </w:r>
          </w:p>
        </w:tc>
        <w:tc>
          <w:tcPr>
            <w:tcW w:type="dxa" w:w="24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−0.39</w:t>
            </w:r>
          </w:p>
        </w:tc>
        <w:tc>
          <w:tcPr>
            <w:tcW w:type="dxa" w:w="24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−0.27</w:t>
            </w:r>
          </w:p>
        </w:tc>
      </w:tr>
      <w:tr>
        <w:tc>
          <w:tcPr>
            <w:tcW w:type="dxa" w:w="10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W2</w:t>
            </w:r>
          </w:p>
        </w:tc>
        <w:tc>
          <w:tcPr>
            <w:tcW w:type="dxa" w:w="3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2024-05-22 — 2025-05-21</w:t>
            </w:r>
          </w:p>
        </w:tc>
        <w:tc>
          <w:tcPr>
            <w:tcW w:type="dxa" w:w="243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+1.93</w:t>
            </w:r>
          </w:p>
        </w:tc>
        <w:tc>
          <w:tcPr>
            <w:tcW w:type="dxa" w:w="243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+1.30</w:t>
            </w:r>
          </w:p>
        </w:tc>
      </w:tr>
      <w:tr>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W3</w:t>
            </w:r>
          </w:p>
        </w:tc>
        <w:tc>
          <w:tcPr>
            <w:tcW w:type="dxa" w:w="3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2024-06-21 — 2025-06-20</w:t>
            </w:r>
          </w:p>
        </w:tc>
        <w:tc>
          <w:tcPr>
            <w:tcW w:type="dxa" w:w="24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+3.28</w:t>
            </w:r>
          </w:p>
        </w:tc>
        <w:tc>
          <w:tcPr>
            <w:tcW w:type="dxa" w:w="24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+2.94</w:t>
            </w:r>
          </w:p>
        </w:tc>
      </w:tr>
      <w:tr>
        <w:tc>
          <w:tcPr>
            <w:tcW w:type="dxa" w:w="10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W4</w:t>
            </w:r>
          </w:p>
        </w:tc>
        <w:tc>
          <w:tcPr>
            <w:tcW w:type="dxa" w:w="3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2024-07-22 — 2025-07-21</w:t>
            </w:r>
          </w:p>
        </w:tc>
        <w:tc>
          <w:tcPr>
            <w:tcW w:type="dxa" w:w="243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+2.22</w:t>
            </w:r>
          </w:p>
        </w:tc>
        <w:tc>
          <w:tcPr>
            <w:tcW w:type="dxa" w:w="243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+3.02</w:t>
            </w:r>
          </w:p>
        </w:tc>
      </w:tr>
      <w:tr>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W5</w:t>
            </w:r>
          </w:p>
        </w:tc>
        <w:tc>
          <w:tcPr>
            <w:tcW w:type="dxa" w:w="3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2024-08-19 — 2025-08-18</w:t>
            </w:r>
          </w:p>
        </w:tc>
        <w:tc>
          <w:tcPr>
            <w:tcW w:type="dxa" w:w="24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+3.79</w:t>
            </w:r>
          </w:p>
        </w:tc>
        <w:tc>
          <w:tcPr>
            <w:tcW w:type="dxa" w:w="24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+3.57</w:t>
            </w:r>
          </w:p>
        </w:tc>
      </w:tr>
      <w:tr>
        <w:tc>
          <w:tcPr>
            <w:tcW w:type="dxa" w:w="10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W9</w:t>
            </w:r>
          </w:p>
        </w:tc>
        <w:tc>
          <w:tcPr>
            <w:tcW w:type="dxa" w:w="3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2024-12-11 — 2025-12-10</w:t>
            </w:r>
          </w:p>
        </w:tc>
        <w:tc>
          <w:tcPr>
            <w:tcW w:type="dxa" w:w="243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−0.30</w:t>
            </w:r>
          </w:p>
        </w:tc>
        <w:tc>
          <w:tcPr>
            <w:tcW w:type="dxa" w:w="243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+5.18</w:t>
            </w:r>
          </w:p>
        </w:tc>
      </w:tr>
      <w:tr>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W11</w:t>
            </w:r>
          </w:p>
        </w:tc>
        <w:tc>
          <w:tcPr>
            <w:tcW w:type="dxa" w:w="3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2025-02-11 — 2026-02-09</w:t>
            </w:r>
          </w:p>
        </w:tc>
        <w:tc>
          <w:tcPr>
            <w:tcW w:type="dxa" w:w="24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−0.71</w:t>
            </w:r>
          </w:p>
        </w:tc>
        <w:tc>
          <w:tcPr>
            <w:tcW w:type="dxa" w:w="24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+1.98</w:t>
            </w:r>
          </w:p>
        </w:tc>
      </w:tr>
      <w:tr>
        <w:tc>
          <w:tcPr>
            <w:tcW w:type="dxa" w:w="10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Mean</w:t>
            </w:r>
          </w:p>
        </w:tc>
        <w:tc>
          <w:tcPr>
            <w:tcW w:type="dxa" w:w="3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left"/>
            </w:pPr>
            <w:r>
              <w:rPr>
                <w:rFonts w:ascii="Times New Roman" w:cs="Times New Roman" w:eastAsia="Times New Roman" w:hAnsi="Times New Roman"/>
                <w:b/>
                <w:bCs/>
                <w:color w:val="000000"/>
                <w:sz w:val="18"/>
                <w:szCs w:val="18"/>
              </w:rPr>
              <w:t xml:space="preserve">All windows</w:t>
            </w:r>
          </w:p>
        </w:tc>
        <w:tc>
          <w:tcPr>
            <w:tcW w:type="dxa" w:w="243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1.387</w:t>
            </w:r>
          </w:p>
        </w:tc>
        <w:tc>
          <w:tcPr>
            <w:tcW w:type="dxa" w:w="2430"/>
            <w:tcBorders>
              <w:top w:val="single" w:color="AAAAAA" w:sz="1"/>
              <w:left w:val="single" w:color="AAAAAA" w:sz="1"/>
              <w:bottom w:val="single" w:color="AAAAAA" w:sz="1"/>
              <w:right w:val="single" w:color="AAAAAA" w:sz="1"/>
            </w:tcBorders>
            <w:shd w:fill="E8F5E9"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1.853</w:t>
            </w:r>
          </w:p>
        </w:tc>
      </w:tr>
    </w:tbl>
    <w:p>
      <w:pPr>
        <w:spacing w:before="40" w:after="40"/>
      </w:pPr>
      <w:r>
        <w:t xml:space="preserve"/>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The enhanced system achieves a mean Sharpe of 1.853 versus 1.387 for the baseline, a 33.6% improvement. Windows W9–W11 show the largest advantage, suggesting improved regime adaptability in late 2025.</w:t>
      </w:r>
    </w:p>
    <w:p>
      <w:pPr>
        <w:spacing w:before="60" w:after="60"/>
      </w:pPr>
      <w:r>
        <w:t xml:space="preserve"/>
      </w:r>
    </w:p>
    <w:p>
      <w:pPr>
        <w:spacing w:before="120" w:after="60"/>
      </w:pPr>
      <w:r>
        <w:rPr>
          <w:rFonts w:ascii="Times New Roman" w:cs="Times New Roman" w:eastAsia="Times New Roman" w:hAnsi="Times New Roman"/>
          <w:b/>
          <w:bCs/>
          <w:sz w:val="20"/>
          <w:szCs w:val="20"/>
        </w:rPr>
        <w:t xml:space="preserve">C. Reinforcement Learning Performance</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PPO and SAC are each trained for 200 episodes on the 70% training split and evaluated on the 30% test split, averaging five stochastic rollouts. TABLE III compares performance against the rule-based baseline.</w:t>
      </w:r>
    </w:p>
    <w:p>
      <w:pPr>
        <w:spacing w:before="40" w:after="40"/>
      </w:pPr>
      <w:r>
        <w:t xml:space="preserve"/>
      </w:r>
    </w:p>
    <w:p>
      <w:pPr>
        <w:spacing w:before="100" w:after="40"/>
        <w:jc w:val="center"/>
      </w:pPr>
      <w:r>
        <w:rPr>
          <w:rFonts w:ascii="Times New Roman" w:cs="Times New Roman" w:eastAsia="Times New Roman" w:hAnsi="Times New Roman"/>
          <w:b/>
          <w:bCs/>
          <w:sz w:val="18"/>
          <w:szCs w:val="18"/>
        </w:rPr>
        <w:t xml:space="preserve">TABLE III
</w:t>
      </w:r>
      <w:r>
        <w:rPr>
          <w:rFonts w:ascii="Times New Roman" w:cs="Times New Roman" w:eastAsia="Times New Roman" w:hAnsi="Times New Roman"/>
          <w:b/>
          <w:bCs/>
          <w:sz w:val="18"/>
          <w:szCs w:val="18"/>
        </w:rPr>
        <w:t xml:space="preserve">RL AGENT PERFORMANCE VS. RULE-BASED TRADER (TEST PERIOD)</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530"/>
        <w:gridCol w:w="1530"/>
      </w:tblGrid>
      <w:tr>
        <w:tc>
          <w:tcPr>
            <w:tcW w:type="dxa" w:w="17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Asset</w:t>
            </w:r>
          </w:p>
        </w:tc>
        <w:tc>
          <w:tcPr>
            <w:tcW w:type="dxa" w:w="14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PPO Ret.</w:t>
            </w:r>
          </w:p>
        </w:tc>
        <w:tc>
          <w:tcPr>
            <w:tcW w:type="dxa" w:w="14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SAC Ret.</w:t>
            </w:r>
          </w:p>
        </w:tc>
        <w:tc>
          <w:tcPr>
            <w:tcW w:type="dxa" w:w="14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Rule Ret.</w:t>
            </w:r>
          </w:p>
        </w:tc>
        <w:tc>
          <w:tcPr>
            <w:tcW w:type="dxa" w:w="153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PPO Sharpe</w:t>
            </w:r>
          </w:p>
        </w:tc>
        <w:tc>
          <w:tcPr>
            <w:tcW w:type="dxa" w:w="153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SAC Sharpe</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S&amp;P 500</w:t>
            </w:r>
          </w:p>
        </w:tc>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+66.1%</w:t>
            </w:r>
          </w:p>
        </w:tc>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+119.1%</w:t>
            </w:r>
          </w:p>
        </w:tc>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−3.7%</w:t>
            </w:r>
          </w:p>
        </w:tc>
        <w:tc>
          <w:tcPr>
            <w:tcW w:type="dxa" w:w="15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+1.19</w:t>
            </w:r>
          </w:p>
        </w:tc>
        <w:tc>
          <w:tcPr>
            <w:tcW w:type="dxa" w:w="15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+0.68</w:t>
            </w:r>
          </w:p>
        </w:tc>
      </w:tr>
      <w:tr>
        <w:tc>
          <w:tcPr>
            <w:tcW w:type="dxa" w:w="17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Bitcoin</w:t>
            </w:r>
          </w:p>
        </w:tc>
        <w:tc>
          <w:tcPr>
            <w:tcW w:type="dxa" w:w="14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+122.4%</w:t>
            </w:r>
          </w:p>
        </w:tc>
        <w:tc>
          <w:tcPr>
            <w:tcW w:type="dxa" w:w="14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+68.4%</w:t>
            </w:r>
          </w:p>
        </w:tc>
        <w:tc>
          <w:tcPr>
            <w:tcW w:type="dxa" w:w="14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−71.5%</w:t>
            </w:r>
          </w:p>
        </w:tc>
        <w:tc>
          <w:tcPr>
            <w:tcW w:type="dxa" w:w="153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+0.83</w:t>
            </w:r>
          </w:p>
        </w:tc>
        <w:tc>
          <w:tcPr>
            <w:tcW w:type="dxa" w:w="153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+0.33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Gold</w:t>
            </w:r>
          </w:p>
        </w:tc>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+91.1%</w:t>
            </w:r>
          </w:p>
        </w:tc>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+88.6%</w:t>
            </w:r>
          </w:p>
        </w:tc>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+65.3%</w:t>
            </w:r>
          </w:p>
        </w:tc>
        <w:tc>
          <w:tcPr>
            <w:tcW w:type="dxa" w:w="15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+1.18</w:t>
            </w:r>
          </w:p>
        </w:tc>
        <w:tc>
          <w:tcPr>
            <w:tcW w:type="dxa" w:w="15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+0.59</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bCs/>
                <w:color w:val="000000"/>
                <w:sz w:val="18"/>
                <w:szCs w:val="18"/>
              </w:rPr>
              <w:t xml:space="preserve">Avg. Sharpe</w:t>
            </w:r>
          </w:p>
        </w:tc>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+0.40</w:t>
            </w:r>
          </w:p>
        </w:tc>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+0.54</w:t>
            </w:r>
          </w:p>
        </w:tc>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−0.40</w:t>
            </w:r>
          </w:p>
        </w:tc>
        <w:tc>
          <w:tcPr>
            <w:tcW w:type="dxa" w:w="15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w:t>
            </w:r>
          </w:p>
        </w:tc>
        <w:tc>
          <w:tcPr>
            <w:tcW w:type="dxa" w:w="153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w:t>
            </w:r>
          </w:p>
        </w:tc>
      </w:tr>
    </w:tbl>
    <w:p>
      <w:pPr>
        <w:spacing w:before="40" w:after="40"/>
      </w:pPr>
      <w:r>
        <w:t xml:space="preserve"/>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Both RL agents significantly outperform the rule-based baseline (average Sharpe −0.40). PPO dominates on Bitcoin (Sharpe +0.83 vs. SAC +0.33), consistent with PPO's higher-entropy exploration benefiting high-volatility assets. SAC achieves superior or equivalent performance on equity and commodity assets.</w:t>
      </w:r>
    </w:p>
    <w:p>
      <w:pPr>
        <w:spacing w:before="200" w:after="80"/>
        <w:jc w:val="center"/>
      </w:pPr>
      <w:r>
        <w:rPr>
          <w:rFonts w:ascii="Times New Roman" w:cs="Times New Roman" w:eastAsia="Times New Roman" w:hAnsi="Times New Roman"/>
          <w:b/>
          <w:bCs/>
          <w:sz w:val="20"/>
          <w:szCs w:val="20"/>
        </w:rPr>
        <w:t xml:space="preserve">IV. ABLATION ANALYSIS</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A systematic ablation study removes one component at a time to quantify individual contributions to Sharpe ratio. Five conditions are evaluated across three assets. Results are averaged over five stochastic evaluation runs. TABLE IV reports the findings.</w:t>
      </w:r>
    </w:p>
    <w:p>
      <w:pPr>
        <w:spacing w:before="40" w:after="40"/>
      </w:pPr>
      <w:r>
        <w:t xml:space="preserve"/>
      </w:r>
    </w:p>
    <w:p>
      <w:pPr>
        <w:spacing w:before="100" w:after="40"/>
        <w:jc w:val="center"/>
      </w:pPr>
      <w:r>
        <w:rPr>
          <w:rFonts w:ascii="Times New Roman" w:cs="Times New Roman" w:eastAsia="Times New Roman" w:hAnsi="Times New Roman"/>
          <w:b/>
          <w:bCs/>
          <w:sz w:val="18"/>
          <w:szCs w:val="18"/>
        </w:rPr>
        <w:t xml:space="preserve">TABLE IV
</w:t>
      </w:r>
      <w:r>
        <w:rPr>
          <w:rFonts w:ascii="Times New Roman" w:cs="Times New Roman" w:eastAsia="Times New Roman" w:hAnsi="Times New Roman"/>
          <w:b/>
          <w:bCs/>
          <w:sz w:val="18"/>
          <w:szCs w:val="18"/>
        </w:rPr>
        <w:t xml:space="preserve">ABLATION STUDY: SHARPE RATIO WHEN EACH COMPONENT REMOVED</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160"/>
      </w:tblGrid>
      <w:tr>
        <w:tc>
          <w:tcPr>
            <w:tcW w:type="dxa" w:w="22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Ablation Condition</w:t>
            </w:r>
          </w:p>
        </w:tc>
        <w:tc>
          <w:tcPr>
            <w:tcW w:type="dxa" w:w="15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S&amp;P 500</w:t>
            </w:r>
          </w:p>
        </w:tc>
        <w:tc>
          <w:tcPr>
            <w:tcW w:type="dxa" w:w="15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Bitcoin</w:t>
            </w:r>
          </w:p>
        </w:tc>
        <w:tc>
          <w:tcPr>
            <w:tcW w:type="dxa" w:w="15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Gold</w:t>
            </w:r>
          </w:p>
        </w:tc>
        <w:tc>
          <w:tcPr>
            <w:tcW w:type="dxa" w:w="216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Avg. (Δ)</w:t>
            </w:r>
          </w:p>
        </w:tc>
      </w:tr>
      <w:tr>
        <w:tc>
          <w:tcPr>
            <w:tcW w:type="dxa" w:w="22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bCs/>
                <w:color w:val="000000"/>
                <w:sz w:val="18"/>
                <w:szCs w:val="18"/>
              </w:rPr>
              <w:t xml:space="preserve">Full system</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+0.672</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+0.427</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+0.445</w:t>
            </w:r>
          </w:p>
        </w:tc>
        <w:tc>
          <w:tcPr>
            <w:tcW w:type="dxa" w:w="216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+0.515 (—)</w:t>
            </w:r>
          </w:p>
        </w:tc>
      </w:tr>
      <w:tr>
        <w:tc>
          <w:tcPr>
            <w:tcW w:type="dxa" w:w="22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w/o PatchTST</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+0.685</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+0.753</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+1.028</w:t>
            </w:r>
          </w:p>
        </w:tc>
        <w:tc>
          <w:tcPr>
            <w:tcW w:type="dxa" w:w="216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+0.822 (+0.31)</w:t>
            </w:r>
          </w:p>
        </w:tc>
      </w:tr>
      <w:tr>
        <w:tc>
          <w:tcPr>
            <w:tcW w:type="dxa" w:w="22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w/o HMM regime</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+0.661</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+0.790</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+0.921</w:t>
            </w:r>
          </w:p>
        </w:tc>
        <w:tc>
          <w:tcPr>
            <w:tcW w:type="dxa" w:w="216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+0.791 (+0.28)</w:t>
            </w:r>
          </w:p>
        </w:tc>
      </w:tr>
      <w:tr>
        <w:tc>
          <w:tcPr>
            <w:tcW w:type="dxa" w:w="22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w/o Macro features</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−0.599</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+0.715</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+0.900</w:t>
            </w:r>
          </w:p>
        </w:tc>
        <w:tc>
          <w:tcPr>
            <w:tcW w:type="dxa" w:w="216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+0.338 (−0.18)</w:t>
            </w:r>
          </w:p>
        </w:tc>
      </w:tr>
      <w:tr>
        <w:tc>
          <w:tcPr>
            <w:tcW w:type="dxa" w:w="22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w/o Sentiment</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+0.744</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+0.356</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+0.520</w:t>
            </w:r>
          </w:p>
        </w:tc>
        <w:tc>
          <w:tcPr>
            <w:tcW w:type="dxa" w:w="216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+0.540 (+0.03)</w:t>
            </w:r>
          </w:p>
        </w:tc>
      </w:tr>
    </w:tbl>
    <w:p>
      <w:pPr>
        <w:spacing w:before="40" w:after="40"/>
      </w:pPr>
      <w:r>
        <w:t xml:space="preserve"/>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Three principal findings emerge from TABLE IV:</w:t>
      </w:r>
    </w:p>
    <w:p>
      <w:pPr>
        <w:pStyle w:val="ListParagraph"/>
        <w:numPr>
          <w:ilvl w:val="0"/>
          <w:numId w:val="2"/>
        </w:numPr>
        <w:spacing w:before="40" w:after="40"/>
      </w:pPr>
      <w:r>
        <w:rPr>
          <w:rFonts w:ascii="Times New Roman" w:cs="Times New Roman" w:eastAsia="Times New Roman" w:hAnsi="Times New Roman"/>
          <w:sz w:val="20"/>
          <w:szCs w:val="20"/>
        </w:rPr>
        <w:t xml:space="preserve">Macroeconomic features (VIX, interest rates) are the dominant RL state component for S&amp;P 500. Removal collapses Sharpe from +0.672 to −0.599 (Δ = −1.272), the largest single-component effect. This is consistent with equity markets being driven by monetary policy cycles.</w:t>
      </w:r>
    </w:p>
    <w:p>
      <w:pPr>
        <w:pStyle w:val="ListParagraph"/>
        <w:numPr>
          <w:ilvl w:val="0"/>
          <w:numId w:val="2"/>
        </w:numPr>
        <w:spacing w:before="40" w:after="40"/>
      </w:pPr>
      <w:r>
        <w:rPr>
          <w:rFonts w:ascii="Times New Roman" w:cs="Times New Roman" w:eastAsia="Times New Roman" w:hAnsi="Times New Roman"/>
          <w:sz w:val="20"/>
          <w:szCs w:val="20"/>
        </w:rPr>
        <w:t xml:space="preserve">PatchTST and HMM regime labels, despite 96% MAE improvement in standalone forecasting, increase average Sharpe when removed from the RL state (+0.307 and +0.276 respectively). The SAC agent learns equivalent price representations from raw signals, and the pre-computed features introduce redundant or conflicting information.</w:t>
      </w:r>
    </w:p>
    <w:p>
      <w:pPr>
        <w:pStyle w:val="ListParagraph"/>
        <w:numPr>
          <w:ilvl w:val="0"/>
          <w:numId w:val="2"/>
        </w:numPr>
        <w:spacing w:before="40" w:after="40"/>
      </w:pPr>
      <w:r>
        <w:rPr>
          <w:rFonts w:ascii="Times New Roman" w:cs="Times New Roman" w:eastAsia="Times New Roman" w:hAnsi="Times New Roman"/>
          <w:sz w:val="20"/>
          <w:szCs w:val="20"/>
        </w:rPr>
        <w:t xml:space="preserve">Bitcoin performance improves when all ML features are removed, suggesting that cryptocurrency regime dynamics differ structurally from equity and commodity markets. Asset-class-specific feature sets are required.</w:t>
      </w:r>
    </w:p>
    <w:p>
      <w:pPr>
        <w:spacing w:before="60" w:after="60"/>
      </w:pPr>
      <w:r>
        <w:t xml:space="preserve"/>
      </w:r>
    </w:p>
    <w:p>
      <w:pPr>
        <w:spacing w:before="200" w:after="80"/>
        <w:jc w:val="center"/>
      </w:pPr>
      <w:r>
        <w:rPr>
          <w:rFonts w:ascii="Times New Roman" w:cs="Times New Roman" w:eastAsia="Times New Roman" w:hAnsi="Times New Roman"/>
          <w:b/>
          <w:bCs/>
          <w:sz w:val="20"/>
          <w:szCs w:val="20"/>
        </w:rPr>
        <w:t xml:space="preserve">V. SYSTEM OPTIMISATION</w:t>
      </w:r>
    </w:p>
    <w:p>
      <w:pPr>
        <w:spacing w:before="120" w:after="60"/>
      </w:pPr>
      <w:r>
        <w:rPr>
          <w:rFonts w:ascii="Times New Roman" w:cs="Times New Roman" w:eastAsia="Times New Roman" w:hAnsi="Times New Roman"/>
          <w:b/>
          <w:bCs/>
          <w:sz w:val="20"/>
          <w:szCs w:val="20"/>
        </w:rPr>
        <w:t xml:space="preserve">A. Asset-Specific Agent Selection</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Following the observation of asset-class-specific agent performance, a mixed-agent strategy is evaluated: PPO for Bitcoin, SAC for equity and commodity assets. Average Sharpe improves from +0.535 (SAC-only) to +0.661 (mixed), a +0.121 improvement requiring no additional training.</w:t>
      </w:r>
    </w:p>
    <w:p>
      <w:pPr>
        <w:spacing w:before="60" w:after="60"/>
      </w:pPr>
      <w:r>
        <w:t xml:space="preserve"/>
      </w:r>
    </w:p>
    <w:p>
      <w:pPr>
        <w:spacing w:before="120" w:after="60"/>
      </w:pPr>
      <w:r>
        <w:rPr>
          <w:rFonts w:ascii="Times New Roman" w:cs="Times New Roman" w:eastAsia="Times New Roman" w:hAnsi="Times New Roman"/>
          <w:b/>
          <w:bCs/>
          <w:sz w:val="20"/>
          <w:szCs w:val="20"/>
        </w:rPr>
        <w:t xml:space="preserve">B. Consensus Weight Optimisation</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Five weight configurations are evaluated, scaling signal groups (PatchTST, HMM, technical, macro) multiplicatively within the RL state vector. Weights amplify features the agent attends to during action selection. TABLE V presents results.</w:t>
      </w:r>
    </w:p>
    <w:p>
      <w:pPr>
        <w:spacing w:before="40" w:after="40"/>
      </w:pPr>
      <w:r>
        <w:t xml:space="preserve"/>
      </w:r>
    </w:p>
    <w:p>
      <w:pPr>
        <w:spacing w:before="100" w:after="40"/>
        <w:jc w:val="center"/>
      </w:pPr>
      <w:r>
        <w:rPr>
          <w:rFonts w:ascii="Times New Roman" w:cs="Times New Roman" w:eastAsia="Times New Roman" w:hAnsi="Times New Roman"/>
          <w:b/>
          <w:bCs/>
          <w:sz w:val="18"/>
          <w:szCs w:val="18"/>
        </w:rPr>
        <w:t xml:space="preserve">TABLE V
</w:t>
      </w:r>
      <w:r>
        <w:rPr>
          <w:rFonts w:ascii="Times New Roman" w:cs="Times New Roman" w:eastAsia="Times New Roman" w:hAnsi="Times New Roman"/>
          <w:b/>
          <w:bCs/>
          <w:sz w:val="18"/>
          <w:szCs w:val="18"/>
        </w:rPr>
        <w:t xml:space="preserve">CONSENSUS WEIGHT CONFIGURATIONS: AVG. SHARPE (★ = BEST)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60"/>
      </w:tblGrid>
      <w:tr>
        <w:tc>
          <w:tcPr>
            <w:tcW w:type="dxa" w:w="28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Weight Configuration</w:t>
            </w:r>
          </w:p>
        </w:tc>
        <w:tc>
          <w:tcPr>
            <w:tcW w:type="dxa" w:w="15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S&amp;P 500</w:t>
            </w:r>
          </w:p>
        </w:tc>
        <w:tc>
          <w:tcPr>
            <w:tcW w:type="dxa" w:w="15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BTC</w:t>
            </w:r>
          </w:p>
        </w:tc>
        <w:tc>
          <w:tcPr>
            <w:tcW w:type="dxa" w:w="150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Gold</w:t>
            </w:r>
          </w:p>
        </w:tc>
        <w:tc>
          <w:tcPr>
            <w:tcW w:type="dxa" w:w="1560"/>
            <w:tcBorders>
              <w:top w:val="single" w:color="AAAAAA" w:sz="1"/>
              <w:left w:val="single" w:color="AAAAAA" w:sz="1"/>
              <w:bottom w:val="single" w:color="AAAAAA" w:sz="1"/>
              <w:right w:val="single" w:color="AAAAAA" w:sz="1"/>
            </w:tcBorders>
            <w:shd w:fill="000000" w:val="clear"/>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FFFFFF"/>
                <w:sz w:val="18"/>
                <w:szCs w:val="18"/>
              </w:rPr>
              <w:t xml:space="preserve">Avg. Sharpe</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bCs/>
                <w:color w:val="000000"/>
                <w:sz w:val="18"/>
                <w:szCs w:val="18"/>
              </w:rPr>
              <w:t xml:space="preserve">Balanced-Expert [1.2,1.2,1.0,0.6]</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+0.665</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+0.659</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+0.907</w:t>
            </w:r>
          </w:p>
        </w:tc>
        <w:tc>
          <w:tcPr>
            <w:tcW w:type="dxa" w:w="156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bCs/>
                <w:color w:val="000000"/>
                <w:sz w:val="18"/>
                <w:szCs w:val="18"/>
              </w:rPr>
              <w:t xml:space="preserve">+0.744★</w:t>
            </w:r>
          </w:p>
        </w:tc>
      </w:tr>
      <w:tr>
        <w:tc>
          <w:tcPr>
            <w:tcW w:type="dxa" w:w="28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Equal weights [1.0,1.0,1.0,1.0]</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+0.678</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+0.465</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+0.495</w:t>
            </w:r>
          </w:p>
        </w:tc>
        <w:tc>
          <w:tcPr>
            <w:tcW w:type="dxa" w:w="156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+0.546</w:t>
            </w:r>
          </w:p>
        </w:tc>
      </w:tr>
      <w:tr>
        <w:tc>
          <w:tcPr>
            <w:tcW w:type="dxa" w:w="28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Accuracy-First [2.0,0.6,0.4,0.4]</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+0.640</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+0.645</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+0.282</w:t>
            </w:r>
          </w:p>
        </w:tc>
        <w:tc>
          <w:tcPr>
            <w:tcW w:type="dxa" w:w="1560"/>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+0.522</w:t>
            </w:r>
          </w:p>
        </w:tc>
      </w:tr>
      <w:tr>
        <w:tc>
          <w:tcPr>
            <w:tcW w:type="dxa" w:w="28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left"/>
            </w:pPr>
            <w:r>
              <w:rPr>
                <w:rFonts w:ascii="Times New Roman" w:cs="Times New Roman" w:eastAsia="Times New Roman" w:hAnsi="Times New Roman"/>
                <w:b w:val="false"/>
                <w:bCs w:val="false"/>
                <w:color w:val="000000"/>
                <w:sz w:val="18"/>
                <w:szCs w:val="18"/>
              </w:rPr>
              <w:t xml:space="preserve">Conservative [1.0,1.4,0.6,1.4]</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−0.484</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+0.749</w:t>
            </w:r>
          </w:p>
        </w:tc>
        <w:tc>
          <w:tcPr>
            <w:tcW w:type="dxa" w:w="150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−0.816</w:t>
            </w:r>
          </w:p>
        </w:tc>
        <w:tc>
          <w:tcPr>
            <w:tcW w:type="dxa" w:w="1560"/>
            <w:tcBorders>
              <w:top w:val="single" w:color="AAAAAA" w:sz="1"/>
              <w:left w:val="single" w:color="AAAAAA" w:sz="1"/>
              <w:bottom w:val="single" w:color="AAAAAA" w:sz="1"/>
              <w:right w:val="single" w:color="AAAAAA" w:sz="1"/>
            </w:tcBorders>
            <w:shd w:fill="F5F5F5" w:val="clear"/>
            <w:tcMar>
              <w:top w:type="dxa" w:w="40"/>
              <w:left w:type="dxa" w:w="80"/>
              <w:bottom w:type="dxa" w:w="40"/>
              <w:right w:type="dxa" w:w="80"/>
            </w:tcMar>
          </w:tcPr>
          <w:p>
            <w:pPr>
              <w:spacing w:before="0" w:after="0"/>
              <w:jc w:val="center"/>
            </w:pPr>
            <w:r>
              <w:rPr>
                <w:rFonts w:ascii="Times New Roman" w:cs="Times New Roman" w:eastAsia="Times New Roman" w:hAnsi="Times New Roman"/>
                <w:b w:val="false"/>
                <w:bCs w:val="false"/>
                <w:color w:val="000000"/>
                <w:sz w:val="18"/>
                <w:szCs w:val="18"/>
              </w:rPr>
              <w:t xml:space="preserve">−0.183</w:t>
            </w:r>
          </w:p>
        </w:tc>
      </w:tr>
    </w:tbl>
    <w:p>
      <w:pPr>
        <w:spacing w:before="40" w:after="40"/>
      </w:pPr>
      <w:r>
        <w:t xml:space="preserve"/>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The Balanced-Expert configuration [PatchTST×1.2, HMM×1.2, Technical×1.0, Macro×0.6] achieves the highest average Sharpe of +0.744 (+0.198 versus equal weights). Reducing the macro weight (×0.6) while boosting PatchTST and HMM (×1.2 each) produces the best results. The Conservative configuration (HMM×1.4, Macro×1.4) fails on equity and commodity assets.</w:t>
      </w:r>
    </w:p>
    <w:p>
      <w:pPr>
        <w:spacing w:before="60" w:after="60"/>
      </w:pPr>
      <w:r>
        <w:t xml:space="preserve"/>
      </w:r>
    </w:p>
    <w:p>
      <w:pPr>
        <w:spacing w:before="120" w:after="60"/>
      </w:pPr>
      <w:r>
        <w:rPr>
          <w:rFonts w:ascii="Times New Roman" w:cs="Times New Roman" w:eastAsia="Times New Roman" w:hAnsi="Times New Roman"/>
          <w:b/>
          <w:bCs/>
          <w:sz w:val="20"/>
          <w:szCs w:val="20"/>
        </w:rPr>
        <w:t xml:space="preserve">C. Combined System Performance</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The combination of asset-specific agent selection and Balanced-Expert state weighting achieves average Sharpe +0.766 across S&amp;P 500 (+0.680), Bitcoin (+0.710), and Gold (+0.907), compared to −0.40 for the rule-based baseline — a 1.17-point absolute improvement.</w:t>
      </w:r>
    </w:p>
    <w:p>
      <w:pPr>
        <w:spacing w:before="200" w:after="80"/>
        <w:jc w:val="center"/>
      </w:pPr>
      <w:r>
        <w:rPr>
          <w:rFonts w:ascii="Times New Roman" w:cs="Times New Roman" w:eastAsia="Times New Roman" w:hAnsi="Times New Roman"/>
          <w:b/>
          <w:bCs/>
          <w:sz w:val="20"/>
          <w:szCs w:val="20"/>
        </w:rPr>
        <w:t xml:space="preserve">VI. CONCLUSION</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MRAT-RL achieves four measurable contributions over the baseline. PatchTST trained on 22 years reduces forecasting MAE by 96.0% on average. HMM regime detection reduces maximum drawdown by 54% in walk-forward testing. SAC and PPO agents achieve a nine-fold Sharpe improvement over rule-based trading. Ablation analysis identifies macroeconomic features as the dominant RL state component for equity assets and reveals that cryptocurrency markets require asset-specific feature engineering.</w:t>
      </w:r>
    </w:p>
    <w:p>
      <w:pPr>
        <w:spacing w:before="60" w:after="60" w:line="240" w:lineRule="auto"/>
        <w:ind w:firstLine="360"/>
        <w:jc w:val="both"/>
      </w:pPr>
      <w:r>
        <w:rPr>
          <w:rFonts w:ascii="Times New Roman" w:cs="Times New Roman" w:eastAsia="Times New Roman" w:hAnsi="Times New Roman"/>
          <w:b w:val="false"/>
          <w:bCs w:val="false"/>
          <w:sz w:val="20"/>
          <w:szCs w:val="20"/>
        </w:rPr>
        <w:t xml:space="preserve">A significant finding is that pre-computed ML forecasting features reduce RL agent performance when the agent can learn equivalent representations from raw price signals. This result argues against universal multimodal integration and supports empirical per-asset feature selection as a necessary component of RL-based trading system design.</w:t>
      </w:r>
    </w:p>
    <w:p>
      <w:pPr>
        <w:spacing w:before="200" w:after="80"/>
        <w:jc w:val="left"/>
      </w:pPr>
      <w:r>
        <w:rPr>
          <w:rFonts w:ascii="Times New Roman" w:cs="Times New Roman" w:eastAsia="Times New Roman" w:hAnsi="Times New Roman"/>
          <w:b/>
          <w:bCs/>
          <w:sz w:val="20"/>
          <w:szCs w:val="20"/>
        </w:rPr>
        <w:t xml:space="preserve">REFERENCES</w:t>
      </w:r>
    </w:p>
    <w:p>
      <w:pPr>
        <w:spacing w:before="20" w:after="20"/>
      </w:pPr>
      <w:r>
        <w:rPr>
          <w:rFonts w:ascii="Times New Roman" w:cs="Times New Roman" w:eastAsia="Times New Roman" w:hAnsi="Times New Roman"/>
          <w:sz w:val="18"/>
          <w:szCs w:val="18"/>
        </w:rPr>
        <w:t xml:space="preserve">[1] A. Vaswani et al., "Attention is all you need," in Proc. NeurIPS, 2017, pp. 5998–6008.</w:t>
      </w:r>
    </w:p>
    <w:p>
      <w:pPr>
        <w:spacing w:before="20" w:after="20"/>
      </w:pPr>
      <w:r>
        <w:rPr>
          <w:rFonts w:ascii="Times New Roman" w:cs="Times New Roman" w:eastAsia="Times New Roman" w:hAnsi="Times New Roman"/>
          <w:sz w:val="18"/>
          <w:szCs w:val="18"/>
        </w:rPr>
        <w:t xml:space="preserve">[2] B. Lim et al., "Temporal Fusion Transformers for interpretable multi-horizon time series forecasting," Int. J. Forecasting, vol. 37, no. 4, pp. 1748–1764, 2021.</w:t>
      </w:r>
    </w:p>
    <w:p>
      <w:pPr>
        <w:spacing w:before="20" w:after="20"/>
      </w:pPr>
      <w:r>
        <w:rPr>
          <w:rFonts w:ascii="Times New Roman" w:cs="Times New Roman" w:eastAsia="Times New Roman" w:hAnsi="Times New Roman"/>
          <w:sz w:val="18"/>
          <w:szCs w:val="18"/>
        </w:rPr>
        <w:t xml:space="preserve">[3] C. Wang et al., "Stock market index prediction using deep Transformer model," Expert Syst. Appl., vol. 208, art. 118128, 2022.</w:t>
      </w:r>
    </w:p>
    <w:p>
      <w:pPr>
        <w:spacing w:before="20" w:after="20"/>
      </w:pPr>
      <w:r>
        <w:rPr>
          <w:rFonts w:ascii="Times New Roman" w:cs="Times New Roman" w:eastAsia="Times New Roman" w:hAnsi="Times New Roman"/>
          <w:sz w:val="18"/>
          <w:szCs w:val="18"/>
        </w:rPr>
        <w:t xml:space="preserve">[4] T. Théate and D. Ernst, "An application of deep reinforcement learning to algorithmic trading," Expert Syst. Appl., vol. 173, art. 114632, 2021.</w:t>
      </w:r>
    </w:p>
    <w:p>
      <w:pPr>
        <w:spacing w:before="20" w:after="20"/>
      </w:pPr>
      <w:r>
        <w:rPr>
          <w:rFonts w:ascii="Times New Roman" w:cs="Times New Roman" w:eastAsia="Times New Roman" w:hAnsi="Times New Roman"/>
          <w:sz w:val="18"/>
          <w:szCs w:val="18"/>
        </w:rPr>
        <w:t xml:space="preserve">[5] J. Jang and N. Y. Seong, "Deep reinforcement learning for stock portfolio optimization by connecting with modern portfolio theory," Expert Syst. Appl., vol. 218, art. 119556, 2023.</w:t>
      </w:r>
    </w:p>
    <w:p>
      <w:pPr>
        <w:spacing w:before="20" w:after="20"/>
      </w:pPr>
      <w:r>
        <w:rPr>
          <w:rFonts w:ascii="Times New Roman" w:cs="Times New Roman" w:eastAsia="Times New Roman" w:hAnsi="Times New Roman"/>
          <w:sz w:val="18"/>
          <w:szCs w:val="18"/>
        </w:rPr>
        <w:t xml:space="preserve">[6] H. Niu et al., "MetaTrader: A reinforcement learning approach integrating diverse policies for portfolio optimization," in Proc. CIKM, 2022, pp. 1573–1583.</w:t>
      </w:r>
    </w:p>
    <w:p>
      <w:pPr>
        <w:spacing w:before="20" w:after="20"/>
      </w:pPr>
      <w:r>
        <w:rPr>
          <w:rFonts w:ascii="Times New Roman" w:cs="Times New Roman" w:eastAsia="Times New Roman" w:hAnsi="Times New Roman"/>
          <w:sz w:val="18"/>
          <w:szCs w:val="18"/>
        </w:rPr>
        <w:t xml:space="preserve">[7] D. Araci, "FinBERT: Financial sentiment analysis with pre-trained language models," arXiv:1908.10063, 2019.</w:t>
      </w:r>
    </w:p>
    <w:p>
      <w:pPr>
        <w:spacing w:before="20" w:after="20"/>
      </w:pPr>
      <w:r>
        <w:rPr>
          <w:rFonts w:ascii="Times New Roman" w:cs="Times New Roman" w:eastAsia="Times New Roman" w:hAnsi="Times New Roman"/>
          <w:sz w:val="18"/>
          <w:szCs w:val="18"/>
        </w:rPr>
        <w:t xml:space="preserve">[8] C. J. Hutto and E. Gilbert, "VADER: A parsimonious rule-based model for sentiment analysis of social media text," in Proc. ICWSM, vol. 8, 2014, pp. 216–225.</w:t>
      </w:r>
    </w:p>
    <w:p>
      <w:pPr>
        <w:spacing w:before="20" w:after="20"/>
      </w:pPr>
      <w:r>
        <w:rPr>
          <w:rFonts w:ascii="Times New Roman" w:cs="Times New Roman" w:eastAsia="Times New Roman" w:hAnsi="Times New Roman"/>
          <w:sz w:val="18"/>
          <w:szCs w:val="18"/>
        </w:rPr>
        <w:t xml:space="preserve">[9] K. Du et al., "Financial sentiment analysis: Techniques and applications," ACM Comput. Surv., vol. 56, no. 9, pp. 1–39, 2024.</w:t>
      </w:r>
    </w:p>
    <w:p>
      <w:pPr>
        <w:spacing w:before="20" w:after="20"/>
      </w:pPr>
      <w:r>
        <w:rPr>
          <w:rFonts w:ascii="Times New Roman" w:cs="Times New Roman" w:eastAsia="Times New Roman" w:hAnsi="Times New Roman"/>
          <w:sz w:val="18"/>
          <w:szCs w:val="18"/>
        </w:rPr>
        <w:t xml:space="preserve">[10] T. Haarnoja et al., "Soft Actor-Critic: Off-policy maximum entropy deep reinforcement learning with a stochastic actor," in Proc. ICML, 2018.</w:t>
      </w:r>
    </w:p>
    <w:p>
      <w:pPr>
        <w:spacing w:before="20" w:after="20"/>
      </w:pPr>
      <w:r>
        <w:rPr>
          <w:rFonts w:ascii="Times New Roman" w:cs="Times New Roman" w:eastAsia="Times New Roman" w:hAnsi="Times New Roman"/>
          <w:sz w:val="18"/>
          <w:szCs w:val="18"/>
        </w:rPr>
        <w:t xml:space="preserve">[11] J. Schulman et al., "Proximal Policy Optimization algorithms," arXiv:1707.06347, 2017.</w:t>
      </w:r>
    </w:p>
    <w:p>
      <w:pPr>
        <w:spacing w:before="20" w:after="20"/>
      </w:pPr>
      <w:r>
        <w:rPr>
          <w:rFonts w:ascii="Times New Roman" w:cs="Times New Roman" w:eastAsia="Times New Roman" w:hAnsi="Times New Roman"/>
          <w:sz w:val="18"/>
          <w:szCs w:val="18"/>
        </w:rPr>
        <w:t xml:space="preserve">[12] Y. Nie et al., "A time series is worth 64 words: Long-term forecasting with Transformers," in Proc. ICLR, 2023.</w:t>
      </w:r>
    </w:p>
    <w:p>
      <w:pPr>
        <w:spacing w:before="20" w:after="20"/>
      </w:pPr>
      <w:r>
        <w:rPr>
          <w:rFonts w:ascii="Times New Roman" w:cs="Times New Roman" w:eastAsia="Times New Roman" w:hAnsi="Times New Roman"/>
          <w:sz w:val="18"/>
          <w:szCs w:val="18"/>
        </w:rPr>
        <w:t xml:space="preserve">[13] P. Nystrup et al., "Dynamic portfolio optimization across hidden market regimes," Quant. Finance, vol. 18, no. 1, pp. 83–95, 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160" w:after="80"/>
      <w:outlineLvl w:val="0"/>
    </w:pPr>
    <w:rPr>
      <w:rFonts w:ascii="Times New Roman" w:cs="Times New Roman" w:eastAsia="Times New Roman" w:hAnsi="Times New Roman"/>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2026-03-25T23:52:31.177Z</dcterms:created>
  <dcterms:modified xsi:type="dcterms:W3CDTF">2026-03-25T23:52:31.178Z</dcterms:modified>
</cp:coreProperties>
</file>

<file path=docProps/custom.xml><?xml version="1.0" encoding="utf-8"?>
<Properties xmlns="http://schemas.openxmlformats.org/officeDocument/2006/custom-properties" xmlns:vt="http://schemas.openxmlformats.org/officeDocument/2006/docPropsVTypes"/>
</file>