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20"/>
        <w:rPr/>
      </w:pPr>
      <w:r>
        <w:rPr/>
      </w:r>
    </w:p>
    <w:p>
      <w:pPr>
        <w:pStyle w:val="Normal"/>
        <w:spacing w:before="20" w:after="10"/>
        <w:jc w:val="center"/>
        <w:rPr/>
      </w:pPr>
      <w:r>
        <w:rPr>
          <w:rFonts w:eastAsia="Times New Roman" w:cs="Times New Roman"/>
          <w:b/>
          <w:bCs/>
          <w:i w:val="false"/>
          <w:iCs w:val="false"/>
          <w:color w:val="000000"/>
          <w:sz w:val="44"/>
          <w:szCs w:val="44"/>
        </w:rPr>
        <w:t>Multimodal Regime-Adaptive Transformer and</w:t>
      </w:r>
    </w:p>
    <w:p>
      <w:pPr>
        <w:pStyle w:val="Normal"/>
        <w:spacing w:before="10" w:after="60"/>
        <w:jc w:val="center"/>
        <w:rPr>
          <w:rFonts w:ascii="Times New Roman" w:hAnsi="Times New Roman" w:eastAsia="Times New Roman" w:cs="Times New Roman"/>
          <w:b/>
          <w:bCs/>
          <w:i w:val="false"/>
          <w:i w:val="false"/>
          <w:iCs w:val="false"/>
          <w:color w:val="000000"/>
          <w:sz w:val="44"/>
          <w:szCs w:val="44"/>
        </w:rPr>
      </w:pPr>
      <w:r>
        <w:rPr>
          <w:rFonts w:eastAsia="Times New Roman" w:cs="Times New Roman"/>
          <w:b/>
          <w:bCs/>
          <w:i w:val="false"/>
          <w:iCs w:val="false"/>
          <w:color w:val="000000"/>
          <w:sz w:val="44"/>
          <w:szCs w:val="44"/>
        </w:rPr>
        <w:t>Reinforcement Learning for Global Financial Forecasting</w:t>
      </w:r>
    </w:p>
    <w:p>
      <w:pPr>
        <w:pStyle w:val="Normal"/>
        <w:numPr>
          <w:ilvl w:val="0"/>
          <w:numId w:val="0"/>
        </w:numPr>
        <w:spacing w:before="20" w:after="10"/>
        <w:ind w:hanging="0" w:left="720"/>
        <w:jc w:val="center"/>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r>
    </w:p>
    <w:p>
      <w:pPr>
        <w:pStyle w:val="Normal"/>
        <w:numPr>
          <w:ilvl w:val="0"/>
          <w:numId w:val="0"/>
        </w:numPr>
        <w:spacing w:before="20" w:after="10"/>
        <w:ind w:hanging="0" w:left="720"/>
        <w:jc w:val="center"/>
        <w:rPr/>
      </w:pPr>
      <w:r>
        <w:rPr>
          <w:rFonts w:eastAsia="Times New Roman" w:cs="Times New Roman"/>
          <w:b w:val="false"/>
          <w:bCs w:val="false"/>
          <w:i w:val="false"/>
          <w:iCs w:val="false"/>
          <w:color w:val="000000"/>
          <w:sz w:val="24"/>
          <w:szCs w:val="24"/>
        </w:rPr>
        <w:t>G</w:t>
      </w:r>
      <w:r>
        <w:rPr>
          <w:rFonts w:eastAsia="Times New Roman" w:cs="Times New Roman"/>
          <w:b w:val="false"/>
          <w:bCs w:val="false"/>
          <w:i w:val="false"/>
          <w:iCs w:val="false"/>
          <w:color w:val="000000"/>
          <w:sz w:val="24"/>
          <w:szCs w:val="24"/>
        </w:rPr>
        <w:t>r</w:t>
      </w:r>
      <w:r>
        <w:rPr>
          <w:rFonts w:eastAsia="Times New Roman" w:cs="Times New Roman"/>
          <w:b w:val="false"/>
          <w:bCs w:val="false"/>
          <w:i w:val="false"/>
          <w:iCs w:val="false"/>
          <w:color w:val="000000"/>
          <w:sz w:val="24"/>
          <w:szCs w:val="24"/>
        </w:rPr>
        <w:t>o</w:t>
      </w:r>
      <w:r>
        <w:rPr>
          <w:rFonts w:eastAsia="Times New Roman" w:cs="Times New Roman"/>
          <w:b w:val="false"/>
          <w:bCs w:val="false"/>
          <w:i w:val="false"/>
          <w:iCs w:val="false"/>
          <w:color w:val="000000"/>
          <w:sz w:val="24"/>
          <w:szCs w:val="24"/>
        </w:rPr>
        <w:t>u</w:t>
      </w:r>
      <w:r>
        <w:rPr>
          <w:rFonts w:eastAsia="Times New Roman" w:cs="Times New Roman"/>
          <w:b w:val="false"/>
          <w:bCs w:val="false"/>
          <w:i w:val="false"/>
          <w:iCs w:val="false"/>
          <w:color w:val="000000"/>
          <w:sz w:val="24"/>
          <w:szCs w:val="24"/>
        </w:rPr>
        <w:t xml:space="preserve">p </w:t>
      </w:r>
      <w:r>
        <w:rPr>
          <w:rFonts w:eastAsia="Times New Roman" w:cs="Times New Roman"/>
          <w:b w:val="false"/>
          <w:bCs w:val="false"/>
          <w:i w:val="false"/>
          <w:iCs w:val="false"/>
          <w:color w:val="000000"/>
          <w:sz w:val="24"/>
          <w:szCs w:val="24"/>
        </w:rPr>
        <w:t>D</w:t>
      </w:r>
      <w:r>
        <w:rPr>
          <w:rFonts w:eastAsia="Times New Roman" w:cs="Times New Roman"/>
          <w:b w:val="false"/>
          <w:bCs w:val="false"/>
          <w:i w:val="false"/>
          <w:iCs w:val="false"/>
          <w:color w:val="000000"/>
          <w:sz w:val="24"/>
          <w:szCs w:val="24"/>
        </w:rPr>
        <w:t>e</w:t>
      </w:r>
      <w:r>
        <w:rPr>
          <w:rFonts w:eastAsia="Times New Roman" w:cs="Times New Roman"/>
          <w:b w:val="false"/>
          <w:bCs w:val="false"/>
          <w:i w:val="false"/>
          <w:iCs w:val="false"/>
          <w:color w:val="000000"/>
          <w:sz w:val="24"/>
          <w:szCs w:val="24"/>
        </w:rPr>
        <w:t>t</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l</w:t>
      </w:r>
      <w:r>
        <w:rPr>
          <w:rFonts w:eastAsia="Times New Roman" w:cs="Times New Roman"/>
          <w:b w:val="false"/>
          <w:bCs w:val="false"/>
          <w:i w:val="false"/>
          <w:iCs w:val="false"/>
          <w:color w:val="000000"/>
          <w:sz w:val="24"/>
          <w:szCs w:val="24"/>
        </w:rPr>
        <w:t>s:</w:t>
      </w:r>
    </w:p>
    <w:p>
      <w:pPr>
        <w:pStyle w:val="Normal"/>
        <w:numPr>
          <w:ilvl w:val="0"/>
          <w:numId w:val="0"/>
        </w:numPr>
        <w:spacing w:before="20" w:after="10"/>
        <w:ind w:hanging="0" w:left="720"/>
        <w:jc w:val="center"/>
        <w:rPr/>
      </w:pPr>
      <w:r>
        <w:rPr>
          <w:rFonts w:eastAsia="Times New Roman" w:cs="Times New Roman"/>
          <w:b w:val="false"/>
          <w:bCs w:val="false"/>
          <w:i w:val="false"/>
          <w:iCs w:val="false"/>
          <w:color w:val="000000"/>
          <w:sz w:val="24"/>
          <w:szCs w:val="24"/>
        </w:rPr>
        <w:t xml:space="preserve">Alabi Taiwo </w:t>
      </w:r>
      <w:r>
        <w:rPr>
          <w:rFonts w:eastAsia="Times New Roman" w:cs="Times New Roman"/>
          <w:b w:val="false"/>
          <w:bCs w:val="false"/>
          <w:i w:val="false"/>
          <w:iCs w:val="false"/>
          <w:color w:val="000000"/>
          <w:sz w:val="24"/>
          <w:szCs w:val="24"/>
        </w:rPr>
        <w:t>(</w:t>
      </w:r>
      <w:r>
        <w:rPr>
          <w:rFonts w:eastAsia="Times New Roman" w:cs="Times New Roman"/>
          <w:b w:val="false"/>
          <w:bCs w:val="false"/>
          <w:i w:val="false"/>
          <w:iCs w:val="false"/>
          <w:color w:val="000000"/>
          <w:sz w:val="24"/>
          <w:szCs w:val="24"/>
        </w:rPr>
        <w:t>2</w:t>
      </w:r>
      <w:r>
        <w:rPr>
          <w:rFonts w:eastAsia="Times New Roman" w:cs="Times New Roman"/>
          <w:b w:val="false"/>
          <w:bCs w:val="false"/>
          <w:i w:val="false"/>
          <w:iCs w:val="false"/>
          <w:color w:val="000000"/>
          <w:sz w:val="24"/>
          <w:szCs w:val="24"/>
        </w:rPr>
        <w:t>4</w:t>
      </w:r>
      <w:r>
        <w:rPr>
          <w:rFonts w:eastAsia="Times New Roman" w:cs="Times New Roman"/>
          <w:b w:val="false"/>
          <w:bCs w:val="false"/>
          <w:i w:val="false"/>
          <w:iCs w:val="false"/>
          <w:color w:val="000000"/>
          <w:sz w:val="24"/>
          <w:szCs w:val="24"/>
        </w:rPr>
        <w:t>3</w:t>
      </w:r>
      <w:r>
        <w:rPr>
          <w:rFonts w:eastAsia="Times New Roman" w:cs="Times New Roman"/>
          <w:b w:val="false"/>
          <w:bCs w:val="false"/>
          <w:i w:val="false"/>
          <w:iCs w:val="false"/>
          <w:color w:val="000000"/>
          <w:sz w:val="24"/>
          <w:szCs w:val="24"/>
        </w:rPr>
        <w:t>3</w:t>
      </w:r>
      <w:r>
        <w:rPr>
          <w:rFonts w:eastAsia="Times New Roman" w:cs="Times New Roman"/>
          <w:b w:val="false"/>
          <w:bCs w:val="false"/>
          <w:i w:val="false"/>
          <w:iCs w:val="false"/>
          <w:color w:val="000000"/>
          <w:sz w:val="24"/>
          <w:szCs w:val="24"/>
        </w:rPr>
        <w:t>5</w:t>
      </w:r>
      <w:r>
        <w:rPr>
          <w:rFonts w:eastAsia="Times New Roman" w:cs="Times New Roman"/>
          <w:b w:val="false"/>
          <w:bCs w:val="false"/>
          <w:i w:val="false"/>
          <w:iCs w:val="false"/>
          <w:color w:val="000000"/>
          <w:sz w:val="24"/>
          <w:szCs w:val="24"/>
        </w:rPr>
        <w:t>5</w:t>
      </w:r>
      <w:r>
        <w:rPr>
          <w:rFonts w:eastAsia="Times New Roman" w:cs="Times New Roman"/>
          <w:b w:val="false"/>
          <w:bCs w:val="false"/>
          <w:i w:val="false"/>
          <w:iCs w:val="false"/>
          <w:color w:val="000000"/>
          <w:sz w:val="24"/>
          <w:szCs w:val="24"/>
        </w:rPr>
        <w:t>9</w:t>
      </w:r>
      <w:r>
        <w:rPr>
          <w:rFonts w:eastAsia="Times New Roman" w:cs="Times New Roman"/>
          <w:b w:val="false"/>
          <w:bCs w:val="false"/>
          <w:i w:val="false"/>
          <w:iCs w:val="false"/>
          <w:color w:val="000000"/>
          <w:sz w:val="24"/>
          <w:szCs w:val="24"/>
        </w:rPr>
        <w:t>2</w:t>
      </w:r>
      <w:r>
        <w:rPr>
          <w:rFonts w:eastAsia="Times New Roman" w:cs="Times New Roman"/>
          <w:b w:val="false"/>
          <w:bCs w:val="false"/>
          <w:i w:val="false"/>
          <w:iCs w:val="false"/>
          <w:color w:val="000000"/>
          <w:sz w:val="24"/>
          <w:szCs w:val="24"/>
        </w:rPr>
        <w:t>)</w:t>
      </w:r>
    </w:p>
    <w:p>
      <w:pPr>
        <w:pStyle w:val="Normal"/>
        <w:numPr>
          <w:ilvl w:val="0"/>
          <w:numId w:val="0"/>
        </w:numPr>
        <w:spacing w:before="20" w:after="10"/>
        <w:ind w:hanging="0" w:left="720"/>
        <w:jc w:val="center"/>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t>Divyesh Reddy Ellasiri (25134825)</w:t>
      </w:r>
    </w:p>
    <w:p>
      <w:pPr>
        <w:pStyle w:val="Normal"/>
        <w:numPr>
          <w:ilvl w:val="0"/>
          <w:numId w:val="0"/>
        </w:numPr>
        <w:spacing w:before="20" w:after="10"/>
        <w:ind w:hanging="0" w:left="720"/>
        <w:jc w:val="center"/>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t>Mukesh Saren Ramu (25121448)</w:t>
      </w:r>
    </w:p>
    <w:p>
      <w:pPr>
        <w:pStyle w:val="Normal"/>
        <w:numPr>
          <w:ilvl w:val="0"/>
          <w:numId w:val="0"/>
        </w:numPr>
        <w:spacing w:before="20" w:after="10"/>
        <w:ind w:hanging="0" w:left="720"/>
        <w:jc w:val="center"/>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t>Sai Vivek Yernintin (25138286)</w:t>
      </w:r>
    </w:p>
    <w:p>
      <w:pPr>
        <w:pStyle w:val="Normal"/>
        <w:spacing w:before="10" w:after="10"/>
        <w:jc w:val="center"/>
        <w:rPr>
          <w:rFonts w:ascii="Times New Roman" w:hAnsi="Times New Roman" w:eastAsia="Times New Roman" w:cs="Times New Roman"/>
          <w:b w:val="false"/>
          <w:bCs w:val="false"/>
          <w:i w:val="false"/>
          <w:i w:val="false"/>
          <w:iCs w:val="false"/>
          <w:color w:val="000000"/>
          <w:sz w:val="24"/>
          <w:szCs w:val="24"/>
        </w:rPr>
      </w:pPr>
      <w:r>
        <w:rPr/>
      </w:r>
    </w:p>
    <w:p>
      <w:pPr>
        <w:pStyle w:val="Normal"/>
        <w:spacing w:before="10" w:after="10"/>
        <w:jc w:val="center"/>
        <w:rPr/>
      </w:pPr>
      <w:r>
        <w:rPr>
          <w:rFonts w:eastAsia="Times New Roman" w:cs="Times New Roman"/>
          <w:b w:val="false"/>
          <w:bCs w:val="false"/>
          <w:i w:val="false"/>
          <w:iCs w:val="false"/>
          <w:color w:val="000000"/>
          <w:sz w:val="24"/>
          <w:szCs w:val="24"/>
        </w:rPr>
        <w:t xml:space="preserve">Module: </w:t>
      </w:r>
      <w:r>
        <w:rPr>
          <w:rFonts w:eastAsia="Times New Roman" w:cs="Times New Roman"/>
          <w:b w:val="false"/>
          <w:bCs w:val="false"/>
          <w:i w:val="false"/>
          <w:iCs w:val="false"/>
          <w:color w:val="000000"/>
          <w:sz w:val="24"/>
          <w:szCs w:val="24"/>
        </w:rPr>
        <w:t>P</w:t>
      </w:r>
      <w:r>
        <w:rPr>
          <w:rFonts w:eastAsia="Times New Roman" w:cs="Times New Roman"/>
          <w:b w:val="false"/>
          <w:bCs w:val="false"/>
          <w:i w:val="false"/>
          <w:iCs w:val="false"/>
          <w:color w:val="000000"/>
          <w:sz w:val="24"/>
          <w:szCs w:val="24"/>
        </w:rPr>
        <w:t>r</w:t>
      </w:r>
      <w:r>
        <w:rPr>
          <w:rFonts w:eastAsia="Times New Roman" w:cs="Times New Roman"/>
          <w:b w:val="false"/>
          <w:bCs w:val="false"/>
          <w:i w:val="false"/>
          <w:iCs w:val="false"/>
          <w:color w:val="000000"/>
          <w:sz w:val="24"/>
          <w:szCs w:val="24"/>
        </w:rPr>
        <w:t>o</w:t>
      </w:r>
      <w:r>
        <w:rPr>
          <w:rFonts w:eastAsia="Times New Roman" w:cs="Times New Roman"/>
          <w:b w:val="false"/>
          <w:bCs w:val="false"/>
          <w:i w:val="false"/>
          <w:iCs w:val="false"/>
          <w:color w:val="000000"/>
          <w:sz w:val="24"/>
          <w:szCs w:val="24"/>
        </w:rPr>
        <w:t>g</w:t>
      </w:r>
      <w:r>
        <w:rPr>
          <w:rFonts w:eastAsia="Times New Roman" w:cs="Times New Roman"/>
          <w:b w:val="false"/>
          <w:bCs w:val="false"/>
          <w:i w:val="false"/>
          <w:iCs w:val="false"/>
          <w:color w:val="000000"/>
          <w:sz w:val="24"/>
          <w:szCs w:val="24"/>
        </w:rPr>
        <w:t>r</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m</w:t>
      </w:r>
      <w:r>
        <w:rPr>
          <w:rFonts w:eastAsia="Times New Roman" w:cs="Times New Roman"/>
          <w:b w:val="false"/>
          <w:bCs w:val="false"/>
          <w:i w:val="false"/>
          <w:iCs w:val="false"/>
          <w:color w:val="000000"/>
          <w:sz w:val="24"/>
          <w:szCs w:val="24"/>
        </w:rPr>
        <w:t>m</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n</w:t>
      </w:r>
      <w:r>
        <w:rPr>
          <w:rFonts w:eastAsia="Times New Roman" w:cs="Times New Roman"/>
          <w:b w:val="false"/>
          <w:bCs w:val="false"/>
          <w:i w:val="false"/>
          <w:iCs w:val="false"/>
          <w:color w:val="000000"/>
          <w:sz w:val="24"/>
          <w:szCs w:val="24"/>
        </w:rPr>
        <w:t xml:space="preserve">g </w:t>
      </w:r>
      <w:r>
        <w:rPr>
          <w:rFonts w:eastAsia="Times New Roman" w:cs="Times New Roman"/>
          <w:b w:val="false"/>
          <w:bCs w:val="false"/>
          <w:i w:val="false"/>
          <w:iCs w:val="false"/>
          <w:color w:val="000000"/>
          <w:sz w:val="24"/>
          <w:szCs w:val="24"/>
        </w:rPr>
        <w:t>f</w:t>
      </w:r>
      <w:r>
        <w:rPr>
          <w:rFonts w:eastAsia="Times New Roman" w:cs="Times New Roman"/>
          <w:b w:val="false"/>
          <w:bCs w:val="false"/>
          <w:i w:val="false"/>
          <w:iCs w:val="false"/>
          <w:color w:val="000000"/>
          <w:sz w:val="24"/>
          <w:szCs w:val="24"/>
        </w:rPr>
        <w:t>o</w:t>
      </w:r>
      <w:r>
        <w:rPr>
          <w:rFonts w:eastAsia="Times New Roman" w:cs="Times New Roman"/>
          <w:b w:val="false"/>
          <w:bCs w:val="false"/>
          <w:i w:val="false"/>
          <w:iCs w:val="false"/>
          <w:color w:val="000000"/>
          <w:sz w:val="24"/>
          <w:szCs w:val="24"/>
        </w:rPr>
        <w:t xml:space="preserve">r </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r</w:t>
      </w:r>
      <w:r>
        <w:rPr>
          <w:rFonts w:eastAsia="Times New Roman" w:cs="Times New Roman"/>
          <w:b w:val="false"/>
          <w:bCs w:val="false"/>
          <w:i w:val="false"/>
          <w:iCs w:val="false"/>
          <w:color w:val="000000"/>
          <w:sz w:val="24"/>
          <w:szCs w:val="24"/>
        </w:rPr>
        <w:t>t</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f</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c</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 xml:space="preserve">l </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n</w:t>
      </w:r>
      <w:r>
        <w:rPr>
          <w:rFonts w:eastAsia="Times New Roman" w:cs="Times New Roman"/>
          <w:b w:val="false"/>
          <w:bCs w:val="false"/>
          <w:i w:val="false"/>
          <w:iCs w:val="false"/>
          <w:color w:val="000000"/>
          <w:sz w:val="24"/>
          <w:szCs w:val="24"/>
        </w:rPr>
        <w:t>t</w:t>
      </w:r>
      <w:r>
        <w:rPr>
          <w:rFonts w:eastAsia="Times New Roman" w:cs="Times New Roman"/>
          <w:b w:val="false"/>
          <w:bCs w:val="false"/>
          <w:i w:val="false"/>
          <w:iCs w:val="false"/>
          <w:color w:val="000000"/>
          <w:sz w:val="24"/>
          <w:szCs w:val="24"/>
        </w:rPr>
        <w:t>e</w:t>
      </w:r>
      <w:r>
        <w:rPr>
          <w:rFonts w:eastAsia="Times New Roman" w:cs="Times New Roman"/>
          <w:b w:val="false"/>
          <w:bCs w:val="false"/>
          <w:i w:val="false"/>
          <w:iCs w:val="false"/>
          <w:color w:val="000000"/>
          <w:sz w:val="24"/>
          <w:szCs w:val="24"/>
        </w:rPr>
        <w:t>l</w:t>
      </w:r>
      <w:r>
        <w:rPr>
          <w:rFonts w:eastAsia="Times New Roman" w:cs="Times New Roman"/>
          <w:b w:val="false"/>
          <w:bCs w:val="false"/>
          <w:i w:val="false"/>
          <w:iCs w:val="false"/>
          <w:color w:val="000000"/>
          <w:sz w:val="24"/>
          <w:szCs w:val="24"/>
        </w:rPr>
        <w:t>l</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g</w:t>
      </w:r>
      <w:r>
        <w:rPr>
          <w:rFonts w:eastAsia="Times New Roman" w:cs="Times New Roman"/>
          <w:b w:val="false"/>
          <w:bCs w:val="false"/>
          <w:i w:val="false"/>
          <w:iCs w:val="false"/>
          <w:color w:val="000000"/>
          <w:sz w:val="24"/>
          <w:szCs w:val="24"/>
        </w:rPr>
        <w:t>e</w:t>
      </w:r>
      <w:r>
        <w:rPr>
          <w:rFonts w:eastAsia="Times New Roman" w:cs="Times New Roman"/>
          <w:b w:val="false"/>
          <w:bCs w:val="false"/>
          <w:i w:val="false"/>
          <w:iCs w:val="false"/>
          <w:color w:val="000000"/>
          <w:sz w:val="24"/>
          <w:szCs w:val="24"/>
        </w:rPr>
        <w:t>n</w:t>
      </w:r>
      <w:r>
        <w:rPr>
          <w:rFonts w:eastAsia="Times New Roman" w:cs="Times New Roman"/>
          <w:b w:val="false"/>
          <w:bCs w:val="false"/>
          <w:i w:val="false"/>
          <w:iCs w:val="false"/>
          <w:color w:val="000000"/>
          <w:sz w:val="24"/>
          <w:szCs w:val="24"/>
        </w:rPr>
        <w:t>c</w:t>
      </w:r>
      <w:r>
        <w:rPr>
          <w:rFonts w:eastAsia="Times New Roman" w:cs="Times New Roman"/>
          <w:b w:val="false"/>
          <w:bCs w:val="false"/>
          <w:i w:val="false"/>
          <w:iCs w:val="false"/>
          <w:color w:val="000000"/>
          <w:sz w:val="24"/>
          <w:szCs w:val="24"/>
        </w:rPr>
        <w:t xml:space="preserve">e </w:t>
      </w:r>
      <w:r>
        <w:rPr>
          <w:rFonts w:eastAsia="Times New Roman" w:cs="Times New Roman"/>
          <w:b w:val="false"/>
          <w:bCs w:val="false"/>
          <w:i w:val="false"/>
          <w:iCs w:val="false"/>
          <w:color w:val="000000"/>
          <w:sz w:val="24"/>
          <w:szCs w:val="24"/>
        </w:rPr>
        <w:t>(</w:t>
      </w:r>
      <w:r>
        <w:rPr>
          <w:rFonts w:eastAsia="Times New Roman" w:cs="Times New Roman"/>
          <w:b w:val="false"/>
          <w:bCs w:val="false"/>
          <w:i w:val="false"/>
          <w:iCs w:val="false"/>
          <w:color w:val="000000"/>
          <w:sz w:val="24"/>
          <w:szCs w:val="24"/>
        </w:rPr>
        <w:t>M</w:t>
      </w:r>
      <w:r>
        <w:rPr>
          <w:rFonts w:eastAsia="Times New Roman" w:cs="Times New Roman"/>
          <w:b w:val="false"/>
          <w:bCs w:val="false"/>
          <w:i w:val="false"/>
          <w:iCs w:val="false"/>
          <w:color w:val="000000"/>
          <w:sz w:val="24"/>
          <w:szCs w:val="24"/>
        </w:rPr>
        <w:t>S</w:t>
      </w:r>
      <w:r>
        <w:rPr>
          <w:rFonts w:eastAsia="Times New Roman" w:cs="Times New Roman"/>
          <w:b w:val="false"/>
          <w:bCs w:val="false"/>
          <w:i w:val="false"/>
          <w:iCs w:val="false"/>
          <w:color w:val="000000"/>
          <w:sz w:val="24"/>
          <w:szCs w:val="24"/>
        </w:rPr>
        <w:t>C</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J</w:t>
      </w:r>
      <w:r>
        <w:rPr>
          <w:rFonts w:eastAsia="Times New Roman" w:cs="Times New Roman"/>
          <w:b w:val="false"/>
          <w:bCs w:val="false"/>
          <w:i w:val="false"/>
          <w:iCs w:val="false"/>
          <w:color w:val="000000"/>
          <w:sz w:val="24"/>
          <w:szCs w:val="24"/>
        </w:rPr>
        <w:t>A</w:t>
      </w:r>
      <w:r>
        <w:rPr>
          <w:rFonts w:eastAsia="Times New Roman" w:cs="Times New Roman"/>
          <w:b w:val="false"/>
          <w:bCs w:val="false"/>
          <w:i w:val="false"/>
          <w:iCs w:val="false"/>
          <w:color w:val="000000"/>
          <w:sz w:val="24"/>
          <w:szCs w:val="24"/>
        </w:rPr>
        <w:t>N</w:t>
      </w:r>
      <w:r>
        <w:rPr>
          <w:rFonts w:eastAsia="Times New Roman" w:cs="Times New Roman"/>
          <w:b w:val="false"/>
          <w:bCs w:val="false"/>
          <w:i w:val="false"/>
          <w:iCs w:val="false"/>
          <w:color w:val="000000"/>
          <w:sz w:val="24"/>
          <w:szCs w:val="24"/>
        </w:rPr>
        <w:t>2</w:t>
      </w:r>
      <w:r>
        <w:rPr>
          <w:rFonts w:eastAsia="Times New Roman" w:cs="Times New Roman"/>
          <w:b w:val="false"/>
          <w:bCs w:val="false"/>
          <w:i w:val="false"/>
          <w:iCs w:val="false"/>
          <w:color w:val="000000"/>
          <w:sz w:val="24"/>
          <w:szCs w:val="24"/>
        </w:rPr>
        <w:t>6</w:t>
      </w:r>
      <w:r>
        <w:rPr>
          <w:rFonts w:eastAsia="Times New Roman" w:cs="Times New Roman"/>
          <w:b w:val="false"/>
          <w:bCs w:val="false"/>
          <w:i w:val="false"/>
          <w:iCs w:val="false"/>
          <w:color w:val="000000"/>
          <w:sz w:val="24"/>
          <w:szCs w:val="24"/>
        </w:rPr>
        <w:t>I</w:t>
      </w:r>
      <w:r>
        <w:rPr>
          <w:rFonts w:eastAsia="Times New Roman" w:cs="Times New Roman"/>
          <w:b w:val="false"/>
          <w:bCs w:val="false"/>
          <w:i w:val="false"/>
          <w:iCs w:val="false"/>
          <w:color w:val="000000"/>
          <w:sz w:val="24"/>
          <w:szCs w:val="24"/>
        </w:rPr>
        <w:t>)</w:t>
      </w:r>
    </w:p>
    <w:p>
      <w:pPr>
        <w:pStyle w:val="Normal"/>
        <w:spacing w:before="10" w:after="60"/>
        <w:jc w:val="center"/>
        <w:rPr/>
      </w:pPr>
      <w:r>
        <w:rPr>
          <w:rFonts w:eastAsia="Times New Roman" w:cs="Times New Roman"/>
          <w:b w:val="false"/>
          <w:bCs w:val="false"/>
          <w:i w:val="false"/>
          <w:iCs w:val="false"/>
          <w:color w:val="000000"/>
          <w:sz w:val="24"/>
          <w:szCs w:val="24"/>
        </w:rPr>
        <w:t>Date: March 18, 2026</w:t>
      </w:r>
    </w:p>
    <w:p>
      <w:pPr>
        <w:pStyle w:val="Normal"/>
        <w:spacing w:before="40" w:after="20"/>
        <w:rPr/>
      </w:pPr>
      <w:r>
        <w:rPr/>
      </w:r>
    </w:p>
    <w:p>
      <w:pPr>
        <w:pStyle w:val="Normal"/>
        <w:spacing w:before="120" w:after="80"/>
        <w:jc w:val="center"/>
        <w:rPr/>
      </w:pPr>
      <w:r>
        <w:rPr>
          <w:rFonts w:eastAsia="Times New Roman" w:cs="Times New Roman"/>
          <w:b/>
          <w:bCs/>
          <w:i w:val="false"/>
          <w:iCs w:val="false"/>
          <w:color w:val="000000"/>
          <w:sz w:val="28"/>
          <w:szCs w:val="28"/>
        </w:rPr>
        <w:t>Multimodal Regime-Adaptive Transformer and Reinforcement Learning for Global Financial Forecasting</w:t>
      </w:r>
    </w:p>
    <w:p>
      <w:pPr>
        <w:pStyle w:val="Normal"/>
        <w:spacing w:before="180" w:after="80"/>
        <w:jc w:val="center"/>
        <w:rPr/>
      </w:pPr>
      <w:r>
        <w:rPr>
          <w:rFonts w:eastAsia="Times New Roman" w:cs="Times New Roman"/>
          <w:b/>
          <w:bCs/>
          <w:i w:val="false"/>
          <w:iCs w:val="false"/>
          <w:color w:val="000000"/>
          <w:sz w:val="24"/>
          <w:szCs w:val="24"/>
        </w:rPr>
        <w:t>Abstract</w:t>
      </w:r>
    </w:p>
    <w:p>
      <w:pPr>
        <w:pStyle w:val="Normal"/>
        <w:spacing w:before="60" w:after="60"/>
        <w:jc w:val="both"/>
        <w:rPr/>
      </w:pPr>
      <w:r>
        <w:rPr>
          <w:rFonts w:eastAsia="Times New Roman" w:cs="Times New Roman"/>
          <w:b w:val="false"/>
          <w:bCs w:val="false"/>
          <w:i w:val="false"/>
          <w:iCs w:val="false"/>
          <w:color w:val="000000"/>
          <w:sz w:val="24"/>
          <w:szCs w:val="24"/>
        </w:rPr>
        <w:t>Global markets do not run on price alone. News cycles, macroeconomic shocks, and structural regime shifts reshape returns in ways that single-modal forecasting frameworks cannot see. This paper presents MRAT-RL: a Transformer-based architecture integrating historical OHLCV data; six technical indicators; a hybrid FinBERT+VADER sentiment pipeline; market regime labels derived via K-Means clustering; and macroeconomic covariates including VIX, inflation, and interest rates. A Reinforcement Learning (RL) agent with three risk profiles translates probabilistic forecasts into trading decisions across 56+ global assets spanning equities, cryptocurrency, forex, and commodities. Twelve peer-reviewed works are surveyed  spanning Transformer architectures [1][2][3], RL-based trading [4][5][6], and financial sentiment analysis [7][8][9][10][11][12]. None combine all five capabilities simultaneously. That gap is the research contribution this system addresses.</w:t>
      </w:r>
    </w:p>
    <w:p>
      <w:pPr>
        <w:pStyle w:val="Normal"/>
        <w:spacing w:before="40" w:after="0"/>
        <w:rPr/>
      </w:pPr>
      <w:r>
        <w:rPr/>
      </w:r>
    </w:p>
    <w:p>
      <w:pPr>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pPr>
    </w:p>
    <w:p>
      <w:pPr>
        <w:pStyle w:val="Normal"/>
        <w:spacing w:before="180" w:after="80"/>
        <w:jc w:val="center"/>
        <w:rPr/>
      </w:pPr>
      <w:r>
        <w:rPr>
          <w:rFonts w:eastAsia="Times New Roman" w:cs="Times New Roman"/>
          <w:b/>
          <w:bCs/>
          <w:i w:val="false"/>
          <w:iCs w:val="false"/>
          <w:color w:val="000000"/>
          <w:sz w:val="24"/>
          <w:szCs w:val="24"/>
        </w:rPr>
        <w:t>I.  Introduction</w:t>
      </w:r>
    </w:p>
    <w:p>
      <w:pPr>
        <w:pStyle w:val="Normal"/>
        <w:spacing w:before="60" w:after="60"/>
        <w:jc w:val="both"/>
        <w:rPr/>
      </w:pPr>
      <w:r>
        <w:rPr>
          <w:rFonts w:eastAsia="Times New Roman" w:cs="Times New Roman"/>
          <w:b w:val="false"/>
          <w:bCs w:val="false"/>
          <w:i w:val="false"/>
          <w:iCs w:val="false"/>
          <w:color w:val="000000"/>
          <w:sz w:val="24"/>
          <w:szCs w:val="24"/>
        </w:rPr>
        <w:t>The picture is far from simple. For decades, quantitative finance leaned on linear models ARIMA, Markowitz mean-variance theory, standard factor regressions, that assume stable, Gaussian-distributed markets [12]. Those models work tolerably well in calm conditions; they fall apart precisely when they matter most. The 2008 financial crisis and the 2020 COVID shock swept through global markets without any of those models raising a clear warning.</w:t>
      </w:r>
    </w:p>
    <w:p>
      <w:pPr>
        <w:pStyle w:val="Normal"/>
        <w:spacing w:before="60" w:after="60"/>
        <w:jc w:val="both"/>
        <w:rPr/>
      </w:pPr>
      <w:r>
        <w:rPr>
          <w:rFonts w:eastAsia="Times New Roman" w:cs="Times New Roman"/>
          <w:b w:val="false"/>
          <w:bCs w:val="false"/>
          <w:i w:val="false"/>
          <w:iCs w:val="false"/>
          <w:color w:val="000000"/>
          <w:sz w:val="24"/>
          <w:szCs w:val="24"/>
        </w:rPr>
        <w:t>Deep learning changed direction. Vaswani et al. [1] demonstrated in 2017 that self-attention alone achieves state-of-the-art sequence modelling with no recurrence required, that paper now sits at the centre of the entire forecasting field. Lim et al. [2] extended it into multi-horizon quantile prediction; Wang et al. [3] applied the architecture directly to stock index price series. Yet the picture remains far from simple, both systems are price-only; they are blind to news, macro conditions, and regime transitions. That blind spot carries real weight in live portfolio management.</w:t>
      </w:r>
    </w:p>
    <w:p>
      <w:pPr>
        <w:pStyle w:val="Normal"/>
        <w:spacing w:before="60" w:after="60"/>
        <w:jc w:val="both"/>
        <w:rPr/>
      </w:pPr>
      <w:r>
        <w:rPr>
          <w:rFonts w:eastAsia="Times New Roman" w:cs="Times New Roman"/>
          <w:b w:val="false"/>
          <w:bCs w:val="false"/>
          <w:i w:val="false"/>
          <w:iCs w:val="false"/>
          <w:color w:val="000000"/>
          <w:sz w:val="24"/>
          <w:szCs w:val="24"/>
        </w:rPr>
        <w:t>Reinforcement Learning took a different angle. Théate and Ernst [4] proved that a custom DQN-based RL agent (TDQN) can learn profitable trading policies under real-world constraints: transaction costs, slippage, position limits. Jang and Seong [5] advanced this by integrating Modern Portfolio Theory directly into the RL reward function, achieving superior Sharpe ratios. Compelling work; yet both systems operate on price and technical indicators alone, sentiment and macroeconomic context are swept up and left out without anyone asking why. Financial NLP added its own strand. FinBERT [7] achieves F1 = 0.95 on financial sentiment classification (100% annotator-agreement subset); VADER [8] delivers F1 = 0.96 on social media text with zero training overhead. Du et al. [9] confirmed that domain-adapted models consistently outperform lexicons, yet sentiment almost never connects to execution engines; that gap raises urgent questions about practical deployability.</w:t>
      </w:r>
    </w:p>
    <w:p>
      <w:pPr>
        <w:pStyle w:val="Normal"/>
        <w:spacing w:before="60" w:after="60"/>
        <w:jc w:val="both"/>
        <w:rPr/>
      </w:pPr>
      <w:r>
        <w:rPr>
          <w:rFonts w:eastAsia="Times New Roman" w:cs="Times New Roman"/>
          <w:b w:val="false"/>
          <w:bCs w:val="false"/>
          <w:i w:val="false"/>
          <w:iCs w:val="false"/>
          <w:color w:val="000000"/>
          <w:sz w:val="24"/>
          <w:szCs w:val="24"/>
        </w:rPr>
        <w:t>The most recent literature acknowledges regime transitions [12] and multimodal fusion [10][11]. Progress, certainly. Yet no existing work closes the loop, from multimodal input to regime-aware forecasting to live RL execution across a global asset universe. This paper addresses that directly.</w:t>
      </w:r>
    </w:p>
    <w:p>
      <w:pPr>
        <w:pStyle w:val="Normal"/>
        <w:spacing w:before="60" w:after="20"/>
        <w:rPr/>
      </w:pPr>
      <w:r>
        <w:rPr/>
      </w:r>
    </w:p>
    <w:p>
      <w:pPr>
        <w:pStyle w:val="Normal"/>
        <w:spacing w:before="180" w:after="80"/>
        <w:jc w:val="center"/>
        <w:rPr/>
      </w:pPr>
      <w:r>
        <w:rPr>
          <w:rFonts w:eastAsia="Times New Roman" w:cs="Times New Roman"/>
          <w:b/>
          <w:bCs/>
          <w:i w:val="false"/>
          <w:iCs w:val="false"/>
          <w:color w:val="000000"/>
          <w:sz w:val="24"/>
          <w:szCs w:val="24"/>
        </w:rPr>
        <w:t>II.  Methodology</w:t>
      </w:r>
    </w:p>
    <w:p>
      <w:pPr>
        <w:pStyle w:val="Normal"/>
        <w:spacing w:before="60" w:after="60"/>
        <w:jc w:val="both"/>
        <w:rPr/>
      </w:pPr>
      <w:r>
        <w:rPr>
          <w:rFonts w:eastAsia="Times New Roman" w:cs="Times New Roman"/>
          <w:b w:val="false"/>
          <w:bCs w:val="false"/>
          <w:i w:val="false"/>
          <w:iCs w:val="false"/>
          <w:color w:val="000000"/>
          <w:sz w:val="24"/>
          <w:szCs w:val="24"/>
        </w:rPr>
        <w:t>Consider what MRAT-RL actually does. It takes in heterogeneous financial data across five concurrent streams; feeds it through a regime-aware Transformer encoder; then hands probabilistic forecasts to a Reinforcement Learning agent that outputs real trading decisions. Prediction and execution are not decoupled, they form a single, end-to-end pipeline.</w:t>
      </w:r>
    </w:p>
    <w:p>
      <w:pPr>
        <w:pStyle w:val="Normal"/>
        <w:spacing w:before="120" w:after="60"/>
        <w:jc w:val="left"/>
        <w:rPr/>
      </w:pPr>
      <w:r>
        <w:rPr>
          <w:rFonts w:eastAsia="Times New Roman" w:cs="Times New Roman"/>
          <w:b/>
          <w:bCs/>
          <w:i/>
          <w:iCs/>
          <w:color w:val="000000"/>
          <w:sz w:val="24"/>
          <w:szCs w:val="24"/>
        </w:rPr>
        <w:t>A.  System Architecture</w:t>
      </w:r>
    </w:p>
    <w:p>
      <w:pPr>
        <w:pStyle w:val="Normal"/>
        <w:spacing w:before="60" w:after="40"/>
        <w:jc w:val="both"/>
        <w:rPr/>
      </w:pPr>
      <w:r>
        <w:rPr>
          <w:rFonts w:eastAsia="Times New Roman" w:cs="Times New Roman"/>
          <w:b w:val="false"/>
          <w:bCs w:val="false"/>
          <w:i w:val="false"/>
          <w:iCs w:val="false"/>
          <w:color w:val="000000"/>
          <w:sz w:val="24"/>
          <w:szCs w:val="24"/>
        </w:rPr>
        <w:t>Five input streams sit at the centre of the system:</w:t>
      </w:r>
    </w:p>
    <w:p>
      <w:pPr>
        <w:pStyle w:val="ListParagraph"/>
        <w:numPr>
          <w:ilvl w:val="0"/>
          <w:numId w:val="5"/>
        </w:numPr>
        <w:spacing w:before="40" w:after="40"/>
        <w:rPr/>
      </w:pPr>
      <w:r>
        <w:rPr>
          <w:rFonts w:eastAsia="Times New Roman" w:cs="Times New Roman"/>
          <w:sz w:val="24"/>
          <w:szCs w:val="24"/>
        </w:rPr>
        <w:t>Historical OHLCV: Open, High, Low, Close, Volume for 56+ assets at daily granularity; rolling z-score normalised.</w:t>
      </w:r>
    </w:p>
    <w:p>
      <w:pPr>
        <w:pStyle w:val="ListParagraph"/>
        <w:numPr>
          <w:ilvl w:val="0"/>
          <w:numId w:val="1"/>
        </w:numPr>
        <w:spacing w:before="40" w:after="40"/>
        <w:rPr/>
      </w:pPr>
      <w:r>
        <w:rPr>
          <w:rFonts w:eastAsia="Times New Roman" w:cs="Times New Roman"/>
          <w:sz w:val="24"/>
          <w:szCs w:val="24"/>
        </w:rPr>
        <w:t>Technical Indicators: RSI-14; MACD-12/26/9; Bollinger Bands-20 (±2σ); SMA-20; SMA-50; ATR-14 , six features per asset per day.</w:t>
      </w:r>
    </w:p>
    <w:p>
      <w:pPr>
        <w:pStyle w:val="ListParagraph"/>
        <w:numPr>
          <w:ilvl w:val="0"/>
          <w:numId w:val="1"/>
        </w:numPr>
        <w:spacing w:before="40" w:after="40"/>
        <w:rPr/>
      </w:pPr>
      <w:r>
        <w:rPr>
          <w:rFonts w:eastAsia="Times New Roman" w:cs="Times New Roman"/>
          <w:sz w:val="24"/>
          <w:szCs w:val="24"/>
        </w:rPr>
        <w:t>Hybrid Sentiment: FinBERT [7] primary classifier; VADER [8] fast fallback when inference queue exceeds threshold, reducing latency by 10–30×.</w:t>
      </w:r>
    </w:p>
    <w:p>
      <w:pPr>
        <w:pStyle w:val="ListParagraph"/>
        <w:numPr>
          <w:ilvl w:val="0"/>
          <w:numId w:val="1"/>
        </w:numPr>
        <w:spacing w:before="40" w:after="40"/>
        <w:rPr/>
      </w:pPr>
      <w:r>
        <w:rPr>
          <w:rFonts w:eastAsia="Times New Roman" w:cs="Times New Roman"/>
          <w:sz w:val="24"/>
          <w:szCs w:val="24"/>
        </w:rPr>
        <w:t>Regime Labels: Bull, Bear, or Volatile, K-Means clustering on 20-day realised volatility, return momentum, and VIX level; updated daily; fed as categorical embeddings to both Transformer and RL state vector.</w:t>
      </w:r>
    </w:p>
    <w:p>
      <w:pPr>
        <w:pStyle w:val="ListParagraph"/>
        <w:numPr>
          <w:ilvl w:val="0"/>
          <w:numId w:val="1"/>
        </w:numPr>
        <w:spacing w:before="40" w:after="40"/>
        <w:rPr/>
      </w:pPr>
      <w:r>
        <w:rPr>
          <w:rFonts w:eastAsia="Times New Roman" w:cs="Times New Roman"/>
          <w:sz w:val="24"/>
          <w:szCs w:val="24"/>
        </w:rPr>
        <w:t>Macroeconomic Covariates: CBOE VIX; CPI inflation rate; central bank policy rate; volume spike indicator; liquidity condition proxy.</w:t>
      </w:r>
    </w:p>
    <w:p>
      <w:pPr>
        <w:pStyle w:val="Normal"/>
        <w:spacing w:before="40" w:after="20"/>
        <w:rPr/>
      </w:pPr>
      <w:r>
        <w:rPr/>
      </w:r>
    </w:p>
    <w:p>
      <w:pPr>
        <w:pStyle w:val="Normal"/>
        <w:spacing w:before="60" w:after="60"/>
        <w:jc w:val="both"/>
        <w:rPr/>
      </w:pPr>
      <w:r>
        <w:rPr>
          <w:rFonts w:eastAsia="Times New Roman" w:cs="Times New Roman"/>
          <w:b w:val="false"/>
          <w:bCs w:val="false"/>
          <w:i w:val="false"/>
          <w:iCs w:val="false"/>
          <w:color w:val="000000"/>
          <w:sz w:val="24"/>
          <w:szCs w:val="24"/>
        </w:rPr>
        <w:t>The system forecasts across 5, 10, 15, and 20-day horizons and produces Buy/Sell/Hold trading decisions alongside dynamic portfolio weights and risk-adjusted returns (Sharpe ratio, Sortino ratio, maximum drawdown) per risk profile.</w:t>
      </w:r>
    </w:p>
    <w:p>
      <w:pPr>
        <w:pStyle w:val="Normal"/>
        <w:spacing w:before="120" w:after="60"/>
        <w:jc w:val="left"/>
        <w:rPr/>
      </w:pPr>
      <w:r>
        <w:rPr>
          <w:rFonts w:eastAsia="Times New Roman" w:cs="Times New Roman"/>
          <w:b/>
          <w:bCs/>
          <w:i/>
          <w:iCs/>
          <w:color w:val="000000"/>
          <w:sz w:val="24"/>
          <w:szCs w:val="24"/>
        </w:rPr>
        <w:t>B.  Algorithmic Components</w:t>
      </w:r>
    </w:p>
    <w:p>
      <w:pPr>
        <w:pStyle w:val="Normal"/>
        <w:spacing w:before="60" w:after="60"/>
        <w:jc w:val="both"/>
        <w:rPr/>
      </w:pPr>
      <w:r>
        <w:rPr>
          <w:rFonts w:eastAsia="Times New Roman" w:cs="Times New Roman"/>
          <w:b w:val="false"/>
          <w:bCs w:val="false"/>
          <w:i w:val="false"/>
          <w:iCs w:val="false"/>
          <w:color w:val="000000"/>
          <w:sz w:val="24"/>
          <w:szCs w:val="24"/>
        </w:rPr>
        <w:t>The Transformer encoder [1] processes all five modalities via modality-specific linear projections into a shared embedding space. A categorical regime embedding is added at the input stage, conditioning multi-head attention (h=8) on current market state: Bull patterns activate momentum signals; Bear patterns trigger defensive weighting; Volatile patterns widen prediction intervals. The forecaster outputs a probability distribution over price direction and magnitude for each horizon.</w:t>
      </w:r>
    </w:p>
    <w:p>
      <w:pPr>
        <w:pStyle w:val="Normal"/>
        <w:spacing w:before="60" w:after="60"/>
        <w:jc w:val="both"/>
        <w:rPr/>
      </w:pPr>
      <w:r>
        <w:rPr>
          <w:rFonts w:eastAsia="Times New Roman" w:cs="Times New Roman"/>
          <w:b w:val="false"/>
          <w:bCs w:val="false"/>
          <w:i w:val="false"/>
          <w:iCs w:val="false"/>
          <w:color w:val="000000"/>
          <w:sz w:val="24"/>
          <w:szCs w:val="24"/>
        </w:rPr>
        <w:t>Three independent RL agents, Conservative (Sortino ratio, hard drawdown cap), Moderate (Sharpe ratio), and Aggressive (total return under volatility ceiling), are trained using Proximal Policy Optimisation (PPO, ε=0.2). Each receives a state vector comprising the Transformer forecast distribution, live regime label, sentiment score, macro covariates, and current portfolio allocation. Dynamic stop-loss and take-profit thresholds tighten automatically under Bear or Volatile regimes.</w:t>
      </w:r>
    </w:p>
    <w:p>
      <w:pPr>
        <w:pStyle w:val="Normal"/>
        <w:spacing w:before="60" w:after="60"/>
        <w:jc w:val="both"/>
        <w:rPr/>
      </w:pPr>
      <w:r>
        <w:rPr>
          <w:rFonts w:eastAsia="Times New Roman" w:cs="Times New Roman"/>
          <w:b w:val="false"/>
          <w:bCs w:val="false"/>
          <w:i w:val="false"/>
          <w:iCs w:val="false"/>
          <w:color w:val="000000"/>
          <w:sz w:val="24"/>
          <w:szCs w:val="24"/>
        </w:rPr>
        <w:t>Market regimes are detected via K-Means clustering (k=3) on a normalised composite vector, retrained on a rolling 252-day window to adapt to structural shifts, directly addressing the fixed-parameter limitation documented by Nystrup et al. [12]. Sentiment caching with a configurable TTL keyed by headline hash eliminates redundant FinBERT inference on repeated news items.</w:t>
      </w:r>
    </w:p>
    <w:p>
      <w:pPr>
        <w:pStyle w:val="Normal"/>
        <w:spacing w:before="40" w:after="0"/>
        <w:rPr/>
      </w:pPr>
      <w:r>
        <w:rPr/>
      </w:r>
    </w:p>
    <w:p>
      <w:pPr>
        <w:sectPr>
          <w:footerReference w:type="even" r:id="rId5"/>
          <w:footerReference w:type="default" r:id="rId6"/>
          <w:footerReference w:type="first" r:id="rId7"/>
          <w:type w:val="nextPage"/>
          <w:pgSz w:w="12240" w:h="15840"/>
          <w:pgMar w:left="1440" w:right="1440" w:gutter="0" w:header="0" w:top="1440" w:footer="708" w:bottom="1440"/>
          <w:pgNumType w:fmt="decimal"/>
          <w:cols w:num="2" w:space="720" w:equalWidth="true" w:sep="false"/>
          <w:formProt w:val="false"/>
          <w:textDirection w:val="lrTb"/>
          <w:docGrid w:type="default" w:linePitch="360" w:charSpace="0"/>
        </w:sectPr>
      </w:pPr>
    </w:p>
    <w:p>
      <w:pPr>
        <w:pStyle w:val="Normal"/>
        <w:spacing w:before="180" w:after="80"/>
        <w:jc w:val="center"/>
        <w:rPr/>
      </w:pPr>
      <w:r>
        <w:rPr>
          <w:rFonts w:eastAsia="Times New Roman" w:cs="Times New Roman"/>
          <w:b/>
          <w:bCs/>
          <w:i w:val="false"/>
          <w:iCs w:val="false"/>
          <w:color w:val="000000"/>
          <w:sz w:val="24"/>
          <w:szCs w:val="24"/>
        </w:rPr>
        <w:t>III.  Results — Systematic Literature Comparison</w:t>
      </w:r>
    </w:p>
    <w:p>
      <w:pPr>
        <w:pStyle w:val="Normal"/>
        <w:spacing w:before="60" w:after="60"/>
        <w:jc w:val="both"/>
        <w:rPr/>
      </w:pPr>
      <w:r>
        <w:rPr>
          <w:rFonts w:eastAsia="Times New Roman" w:cs="Times New Roman"/>
          <w:b w:val="false"/>
          <w:bCs w:val="false"/>
          <w:i w:val="false"/>
          <w:iCs w:val="false"/>
          <w:color w:val="000000"/>
          <w:sz w:val="24"/>
          <w:szCs w:val="24"/>
        </w:rPr>
        <w:t>Twelve peer-reviewed papers were surveyed. The comparison covers existing works only, the proposed MRAT-RL system is described in Section II and does not appear as a row under evaluation. Table I, Figure 1, and Table II follow on the pages below.</w:t>
      </w:r>
    </w:p>
    <w:p>
      <w:pPr>
        <w:pStyle w:val="Normal"/>
        <w:spacing w:before="40" w:after="20"/>
        <w:rPr/>
      </w:pPr>
      <w:r>
        <w:rPr/>
      </w:r>
    </w:p>
    <w:p>
      <w:pPr>
        <w:pStyle w:val="Normal"/>
        <w:spacing w:before="60" w:after="60"/>
        <w:jc w:val="both"/>
        <w:rPr/>
      </w:pPr>
      <w:r>
        <w:rPr>
          <w:rFonts w:eastAsia="Times New Roman" w:cs="Times New Roman"/>
          <w:b w:val="false"/>
          <w:bCs w:val="false"/>
          <w:i w:val="false"/>
          <w:iCs w:val="false"/>
          <w:color w:val="000000"/>
          <w:sz w:val="24"/>
          <w:szCs w:val="24"/>
        </w:rPr>
        <w:t>The pattern is clear. Transformer papers [1][2][3] are architecturally strong; they are modally blind. RL papers [4][5][6] can execute; they cannot perceive context beyond price. Sentiment papers [7][8][9] read the market's mood; they cannot act on it. Papers [10][11][12] begin to combine these strands, yet each one stops short of integrating RL execution, explicit regime detection, and multi-asset coverage simultaneously. That convergence is the novel contribution of MRAT-RL.</w:t>
      </w:r>
    </w:p>
    <w:p>
      <w:pPr>
        <w:pStyle w:val="Normal"/>
        <w:spacing w:before="20" w:after="20"/>
        <w:rPr/>
      </w:pPr>
      <w:r>
        <w:rPr/>
      </w:r>
    </w:p>
    <w:p>
      <w:pPr>
        <w:pStyle w:val="Normal"/>
        <w:spacing w:before="120" w:after="60"/>
        <w:jc w:val="left"/>
        <w:rPr/>
      </w:pPr>
      <w:r>
        <w:rPr>
          <w:rFonts w:eastAsia="Times New Roman" w:cs="Times New Roman"/>
          <w:b/>
          <w:bCs/>
          <w:i/>
          <w:iCs/>
          <w:color w:val="000000"/>
          <w:sz w:val="24"/>
          <w:szCs w:val="24"/>
        </w:rPr>
        <w:t>Citation Clusters</w:t>
      </w:r>
    </w:p>
    <w:p>
      <w:pPr>
        <w:pStyle w:val="Normal"/>
        <w:spacing w:before="60" w:after="60"/>
        <w:jc w:val="both"/>
        <w:rPr/>
      </w:pPr>
      <w:r>
        <w:rPr>
          <w:rFonts w:eastAsia="Times New Roman" w:cs="Times New Roman"/>
          <w:b/>
          <w:bCs/>
          <w:i w:val="false"/>
          <w:iCs w:val="false"/>
          <w:color w:val="000000"/>
          <w:sz w:val="24"/>
          <w:szCs w:val="24"/>
        </w:rPr>
        <w:t xml:space="preserve">Cluster A: Pure Price-Based Models [1][2][3]: </w:t>
      </w:r>
      <w:r>
        <w:rPr>
          <w:rFonts w:eastAsia="Times New Roman" w:cs="Times New Roman"/>
          <w:b w:val="false"/>
          <w:bCs w:val="false"/>
          <w:i w:val="false"/>
          <w:iCs w:val="false"/>
          <w:color w:val="000000"/>
          <w:sz w:val="24"/>
          <w:szCs w:val="24"/>
        </w:rPr>
        <w:t>Transformers work for financial time series; they need richer inputs. Strong architectures; narrow data.</w:t>
      </w:r>
    </w:p>
    <w:p>
      <w:pPr>
        <w:pStyle w:val="Normal"/>
        <w:spacing w:before="60" w:after="60"/>
        <w:jc w:val="both"/>
        <w:rPr/>
      </w:pPr>
      <w:r>
        <w:rPr>
          <w:rFonts w:eastAsia="Times New Roman" w:cs="Times New Roman"/>
          <w:b/>
          <w:bCs/>
          <w:i w:val="false"/>
          <w:iCs w:val="false"/>
          <w:color w:val="000000"/>
          <w:sz w:val="24"/>
          <w:szCs w:val="24"/>
        </w:rPr>
        <w:t xml:space="preserve">Cluster B: Early Sentiment + Price [7][8][9]: </w:t>
      </w:r>
      <w:r>
        <w:rPr>
          <w:rFonts w:eastAsia="Times New Roman" w:cs="Times New Roman"/>
          <w:b w:val="false"/>
          <w:bCs w:val="false"/>
          <w:i w:val="false"/>
          <w:iCs w:val="false"/>
          <w:color w:val="000000"/>
          <w:sz w:val="24"/>
          <w:szCs w:val="24"/>
        </w:rPr>
        <w:t>Domain-adapted models consistently outperform lexicons; sentiment almost never connects to execution engines.</w:t>
      </w:r>
    </w:p>
    <w:p>
      <w:pPr>
        <w:pStyle w:val="Normal"/>
        <w:spacing w:before="60" w:after="60"/>
        <w:jc w:val="both"/>
        <w:rPr/>
      </w:pPr>
      <w:r>
        <w:rPr>
          <w:rFonts w:eastAsia="Times New Roman" w:cs="Times New Roman"/>
          <w:b/>
          <w:bCs/>
          <w:i w:val="false"/>
          <w:iCs w:val="false"/>
          <w:color w:val="000000"/>
          <w:sz w:val="24"/>
          <w:szCs w:val="24"/>
        </w:rPr>
        <w:t xml:space="preserve">Cluster C: Transformer / RL in Finance [4][5][6]: </w:t>
      </w:r>
      <w:r>
        <w:rPr>
          <w:rFonts w:eastAsia="Times New Roman" w:cs="Times New Roman"/>
          <w:b w:val="false"/>
          <w:bCs w:val="false"/>
          <w:i w:val="false"/>
          <w:iCs w:val="false"/>
          <w:color w:val="000000"/>
          <w:sz w:val="24"/>
          <w:szCs w:val="24"/>
        </w:rPr>
        <w:t>RL proves viable under real-world constraints; multimodal RL remains genuinely open.</w:t>
      </w:r>
    </w:p>
    <w:p>
      <w:pPr>
        <w:pStyle w:val="Normal"/>
        <w:spacing w:before="60" w:after="60"/>
        <w:jc w:val="both"/>
        <w:rPr/>
      </w:pPr>
      <w:r>
        <w:rPr>
          <w:rFonts w:eastAsia="Times New Roman" w:cs="Times New Roman"/>
          <w:b/>
          <w:bCs/>
          <w:i w:val="false"/>
          <w:iCs w:val="false"/>
          <w:color w:val="000000"/>
          <w:sz w:val="24"/>
          <w:szCs w:val="24"/>
        </w:rPr>
        <w:t xml:space="preserve">Cluster D: Multi-Asset / Regime-Aware [10][11][12]: </w:t>
      </w:r>
      <w:r>
        <w:rPr>
          <w:rFonts w:eastAsia="Times New Roman" w:cs="Times New Roman"/>
          <w:b w:val="false"/>
          <w:bCs w:val="false"/>
          <w:i w:val="false"/>
          <w:iCs w:val="false"/>
          <w:color w:val="000000"/>
          <w:sz w:val="24"/>
          <w:szCs w:val="24"/>
        </w:rPr>
        <w:t>Multimodal fusion and regime detection each add value; none combine both with live RL execution.</w:t>
      </w:r>
    </w:p>
    <w:p>
      <w:pPr>
        <w:pStyle w:val="Normal"/>
        <w:spacing w:before="40" w:after="20"/>
        <w:rPr/>
      </w:pPr>
      <w:r>
        <w:rPr/>
      </w:r>
    </w:p>
    <w:p>
      <w:pPr>
        <w:pStyle w:val="Normal"/>
        <w:spacing w:before="180" w:after="80"/>
        <w:jc w:val="center"/>
        <w:rPr/>
      </w:pPr>
      <w:r>
        <w:rPr>
          <w:rFonts w:eastAsia="Times New Roman" w:cs="Times New Roman"/>
          <w:b/>
          <w:bCs/>
          <w:i w:val="false"/>
          <w:iCs w:val="false"/>
          <w:color w:val="000000"/>
          <w:sz w:val="24"/>
          <w:szCs w:val="24"/>
        </w:rPr>
        <w:t>IV.  Future Works</w:t>
      </w:r>
    </w:p>
    <w:p>
      <w:pPr>
        <w:pStyle w:val="Normal"/>
        <w:spacing w:before="60" w:after="60"/>
        <w:jc w:val="both"/>
        <w:rPr/>
      </w:pPr>
      <w:r>
        <w:rPr>
          <w:rFonts w:eastAsia="Times New Roman" w:cs="Times New Roman"/>
          <w:b w:val="false"/>
          <w:bCs w:val="false"/>
          <w:i w:val="false"/>
          <w:iCs w:val="false"/>
          <w:color w:val="000000"/>
          <w:sz w:val="24"/>
          <w:szCs w:val="24"/>
        </w:rPr>
        <w:t>The system opens several promising directions:</w:t>
      </w:r>
    </w:p>
    <w:p>
      <w:pPr>
        <w:pStyle w:val="ListParagraph"/>
        <w:numPr>
          <w:ilvl w:val="0"/>
          <w:numId w:val="6"/>
        </w:numPr>
        <w:spacing w:before="40" w:after="40"/>
        <w:rPr/>
      </w:pPr>
      <w:r>
        <w:rPr>
          <w:rFonts w:eastAsia="Times New Roman" w:cs="Times New Roman"/>
          <w:sz w:val="24"/>
          <w:szCs w:val="24"/>
        </w:rPr>
        <w:t>Large Language Model Sentiment: Replacing FinBERT with GPT-4 or LLaMA-based models for context-aware extraction from long-form text, earnings calls, central bank statements, not just headlines.</w:t>
      </w:r>
    </w:p>
    <w:p>
      <w:pPr>
        <w:pStyle w:val="ListParagraph"/>
        <w:numPr>
          <w:ilvl w:val="0"/>
          <w:numId w:val="2"/>
        </w:numPr>
        <w:spacing w:before="40" w:after="40"/>
        <w:rPr/>
      </w:pPr>
      <w:r>
        <w:rPr>
          <w:rFonts w:eastAsia="Times New Roman" w:cs="Times New Roman"/>
          <w:sz w:val="24"/>
          <w:szCs w:val="24"/>
        </w:rPr>
        <w:t>Graph Neural Network Extension: Adding an asset correlation graph, similar to Sawhney et al. [11], into the Transformer's attention bias to capture cross-asset contagion during crisis regimes.</w:t>
      </w:r>
    </w:p>
    <w:p>
      <w:pPr>
        <w:pStyle w:val="ListParagraph"/>
        <w:numPr>
          <w:ilvl w:val="0"/>
          <w:numId w:val="2"/>
        </w:numPr>
        <w:spacing w:before="40" w:after="40"/>
        <w:rPr/>
      </w:pPr>
      <w:r>
        <w:rPr>
          <w:rFonts w:eastAsia="Times New Roman" w:cs="Times New Roman"/>
          <w:sz w:val="24"/>
          <w:szCs w:val="24"/>
        </w:rPr>
        <w:t>Adaptive Regime Count: Replacing fixed k=3 K-Means with a Dirichlet Process Mixture Model that infers the optimal regime count automatically.</w:t>
      </w:r>
    </w:p>
    <w:p>
      <w:pPr>
        <w:pStyle w:val="ListParagraph"/>
        <w:numPr>
          <w:ilvl w:val="0"/>
          <w:numId w:val="2"/>
        </w:numPr>
        <w:spacing w:before="40" w:after="40"/>
        <w:rPr/>
      </w:pPr>
      <w:r>
        <w:rPr>
          <w:rFonts w:eastAsia="Times New Roman" w:cs="Times New Roman"/>
          <w:sz w:val="24"/>
          <w:szCs w:val="24"/>
        </w:rPr>
        <w:t>Online Continual Learning: Allowing the Transformer and RL agent to update continuously on arriving market data, reducing concept drift without full retraining cycles.</w:t>
      </w:r>
    </w:p>
    <w:p>
      <w:pPr>
        <w:pStyle w:val="ListParagraph"/>
        <w:numPr>
          <w:ilvl w:val="0"/>
          <w:numId w:val="2"/>
        </w:numPr>
        <w:spacing w:before="40" w:after="40"/>
        <w:rPr/>
      </w:pPr>
      <w:r>
        <w:rPr>
          <w:rFonts w:eastAsia="Times New Roman" w:cs="Times New Roman"/>
          <w:sz w:val="24"/>
          <w:szCs w:val="24"/>
        </w:rPr>
        <w:t>Explainability and Compliance: Integrating attention-based interpretability (as in TFT [2]) and SHAP attribution for audit-ready explanations of each RL decision.</w:t>
      </w:r>
    </w:p>
    <w:p>
      <w:pPr>
        <w:pStyle w:val="ListParagraph"/>
        <w:numPr>
          <w:ilvl w:val="0"/>
          <w:numId w:val="2"/>
        </w:numPr>
        <w:spacing w:before="40" w:after="40"/>
        <w:rPr/>
      </w:pPr>
      <w:r>
        <w:rPr>
          <w:rFonts w:eastAsia="Times New Roman" w:cs="Times New Roman"/>
          <w:sz w:val="24"/>
          <w:szCs w:val="24"/>
        </w:rPr>
        <w:t xml:space="preserve">Alternative Data Streams: </w:t>
      </w:r>
      <w:r>
        <w:rPr>
          <w:rFonts w:eastAsia="Times New Roman" w:cs="Times New Roman"/>
          <w:sz w:val="24"/>
          <w:szCs w:val="24"/>
        </w:rPr>
        <w:t>W</w:t>
      </w:r>
      <w:r>
        <w:rPr>
          <w:rFonts w:eastAsia="Times New Roman" w:cs="Times New Roman"/>
          <w:sz w:val="24"/>
          <w:szCs w:val="24"/>
        </w:rPr>
        <w:t>eb traffic data, and options market implied volatility surfaces, each casts a long shadow on asset prices before it appears in conventional price series.</w:t>
      </w:r>
    </w:p>
    <w:p>
      <w:pPr>
        <w:pStyle w:val="Normal"/>
        <w:spacing w:before="40" w:after="20"/>
        <w:rPr/>
      </w:pPr>
      <w:r>
        <w:rPr/>
      </w:r>
    </w:p>
    <w:p>
      <w:pPr>
        <w:pStyle w:val="Normal"/>
        <w:spacing w:before="180" w:after="80"/>
        <w:jc w:val="center"/>
        <w:rPr/>
      </w:pPr>
      <w:r>
        <w:rPr>
          <w:rFonts w:eastAsia="Times New Roman" w:cs="Times New Roman"/>
          <w:b/>
          <w:bCs/>
          <w:i w:val="false"/>
          <w:iCs w:val="false"/>
          <w:color w:val="000000"/>
          <w:sz w:val="24"/>
          <w:szCs w:val="24"/>
        </w:rPr>
        <w:t>V.  Conclusion</w:t>
      </w:r>
    </w:p>
    <w:p>
      <w:pPr>
        <w:pStyle w:val="Normal"/>
        <w:spacing w:before="60" w:after="60"/>
        <w:jc w:val="both"/>
        <w:rPr/>
      </w:pPr>
      <w:r>
        <w:rPr>
          <w:rFonts w:eastAsia="Times New Roman" w:cs="Times New Roman"/>
          <w:b w:val="false"/>
          <w:bCs w:val="false"/>
          <w:i w:val="false"/>
          <w:iCs w:val="false"/>
          <w:color w:val="000000"/>
          <w:sz w:val="24"/>
          <w:szCs w:val="24"/>
        </w:rPr>
        <w:t>The systematic review is clear. Transformers can forecast; RL agents can trade; sentiment models can read the market's mood. Those capabilities all point in the same direction, toward integration. Yet not one of the twelve surveyed papers genuinely achieves it. That is not a minor gap; it could cost a real portfolio significant drawdown during the very crisis conditions; volatile regimes, macro shocks, sentiment dislocations, that each isolated system cannot see.</w:t>
      </w:r>
    </w:p>
    <w:p>
      <w:pPr>
        <w:pStyle w:val="Normal"/>
        <w:spacing w:before="60" w:after="60"/>
        <w:jc w:val="both"/>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t xml:space="preserve">MRAT-RL fills that space with four genuinely novel contributions. </w:t>
      </w:r>
    </w:p>
    <w:p>
      <w:pPr>
        <w:pStyle w:val="Normal"/>
        <w:spacing w:before="60" w:after="60"/>
        <w:jc w:val="both"/>
        <w:rPr>
          <w:rFonts w:ascii="Times New Roman" w:hAnsi="Times New Roman"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t>First: five concurrent input modalities unified in a single Transformer forecasting backbone. Second: 56+ assets across four asset classes, exceeding all surveyed works in breadth. Third: regime conditioning feeding directly into the RL agent's state vector and risk-profile selection, operationalising the regime sensitivity documented by Nystrup et al. [12] in a way no prior system achieves. Fourth: a hybrid FinBERT+VADER caching pipeline that resolves the inference latency problem that has quietly prevented domain-adapted sentiment models from reaching production trading systems, cutting latency by 10–30% whilst preserving classification accuracy.</w:t>
      </w:r>
    </w:p>
    <w:p>
      <w:pPr>
        <w:pStyle w:val="Normal"/>
        <w:spacing w:before="60" w:after="0"/>
        <w:rPr/>
      </w:pPr>
      <w:r>
        <w:rPr/>
      </w:r>
    </w:p>
    <w:p>
      <w:pPr>
        <w:sectPr>
          <w:footerReference w:type="even" r:id="rId8"/>
          <w:footerReference w:type="default" r:id="rId9"/>
          <w:footerReference w:type="first" r:id="rId10"/>
          <w:type w:val="nextPage"/>
          <w:pgSz w:w="12240" w:h="15840"/>
          <w:pgMar w:left="1440" w:right="1440" w:gutter="0" w:header="0" w:top="1440" w:footer="708" w:bottom="1440"/>
          <w:pgNumType w:fmt="decimal"/>
          <w:cols w:num="2" w:space="720" w:equalWidth="true" w:sep="false"/>
          <w:formProt w:val="false"/>
          <w:textDirection w:val="lrTb"/>
          <w:docGrid w:type="default" w:linePitch="360" w:charSpace="0"/>
        </w:sectPr>
      </w:pPr>
    </w:p>
    <w:p>
      <w:pPr>
        <w:pStyle w:val="Normal"/>
        <w:spacing w:before="40" w:after="60"/>
        <w:jc w:val="center"/>
        <w:rPr/>
      </w:pPr>
      <w:r>
        <w:rPr>
          <w:rFonts w:eastAsia="Times New Roman" w:cs="Times New Roman"/>
          <w:b/>
          <w:bCs/>
          <w:sz w:val="21"/>
          <w:szCs w:val="21"/>
        </w:rPr>
        <w:t xml:space="preserve">Table I </w:t>
      </w:r>
      <w:r>
        <w:rPr>
          <w:rFonts w:eastAsia="Times New Roman" w:cs="Times New Roman"/>
          <w:b/>
          <w:bCs/>
          <w:sz w:val="21"/>
          <w:szCs w:val="21"/>
        </w:rPr>
        <w:t>-</w:t>
      </w:r>
      <w:r>
        <w:rPr>
          <w:rFonts w:eastAsia="Times New Roman" w:cs="Times New Roman"/>
          <w:b/>
          <w:bCs/>
          <w:sz w:val="21"/>
          <w:szCs w:val="21"/>
        </w:rPr>
        <w:t xml:space="preserve"> Systematic Comparison of Existing Literature (12 Papers)</w:t>
      </w:r>
    </w:p>
    <w:tbl>
      <w:tblPr>
        <w:tblW w:w="9360" w:type="dxa"/>
        <w:jc w:val="left"/>
        <w:tblInd w:w="0" w:type="dxa"/>
        <w:tblLayout w:type="fixed"/>
        <w:tblCellMar>
          <w:top w:w="60" w:type="dxa"/>
          <w:left w:w="90" w:type="dxa"/>
          <w:bottom w:w="60" w:type="dxa"/>
          <w:right w:w="90" w:type="dxa"/>
        </w:tblCellMar>
      </w:tblPr>
      <w:tblGrid>
        <w:gridCol w:w="1949"/>
        <w:gridCol w:w="1625"/>
        <w:gridCol w:w="1842"/>
        <w:gridCol w:w="1885"/>
        <w:gridCol w:w="2059"/>
      </w:tblGrid>
      <w:tr>
        <w:trPr>
          <w:tblHeader w:val="true"/>
        </w:trPr>
        <w:tc>
          <w:tcPr>
            <w:tcW w:w="194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Paper (Year)</w:t>
            </w:r>
          </w:p>
        </w:tc>
        <w:tc>
          <w:tcPr>
            <w:tcW w:w="1625"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Input Variables</w:t>
            </w:r>
          </w:p>
        </w:tc>
        <w:tc>
          <w:tcPr>
            <w:tcW w:w="1842"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Intervention / Model</w:t>
            </w:r>
          </w:p>
        </w:tc>
        <w:tc>
          <w:tcPr>
            <w:tcW w:w="1885"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Key Results</w:t>
            </w:r>
          </w:p>
        </w:tc>
        <w:tc>
          <w:tcPr>
            <w:tcW w:w="205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Conclusions</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[1] Vaswani et al., 2017</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Token sequences + sinusoidal positional encodings</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Transformer enc–dec; 6 layers, 8 heads; Base model 65M params (27.3 BLEU EN→DE); Big model 213M params (NeurIPS 2017)</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Big model: 28.4 BLEU EN→DE; 41.0 BLEU EN→FR — SOTA at publication</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Self-attention alone achieves SOTA in sequence modelling; architecture is domain-agnostic with no financial adaptation</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[2] Lim et al., 2021</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Static covariates, future inputs, past targets</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Temporal Fusion Transformer (TFT): VSN + GRN + LSTM + attention (Int. J. Forecasting)</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7% lower P50; 9% lower P90 vs. baselines</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 RL, no text; regime awareness post-hoc only</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[3] Wang et al., 2022</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Daily closing prices: CSI 300, S&amp;P 500, HSI, Nikkei 225</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Standard Transformer encoder–decoder vs. CNN/RNN/LSTM (Expert Syst. Appl.)</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Outperforms all baselines in MSE/MAE/RMSE on all 4 indices</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Closing prices only; no sentiment, regime, or RL</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[4] Théate &amp; Ernst, 2021</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Historical daily price sequences and current portfolio state</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TDQN (Trading Deep Q-Network): novel DQN-based algorithm adapted for trading; maximises Sharpe ratio; trained on simulated trajectories (Expert Syst. Appl., ~191 citations)</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TDQN outperforms benchmark buy-and-hold and rule-based strategies under transaction cost constraints</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Price-only inputs; no sentiment, macro context, or regime conditioning; single-asset evaluation</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[5] Jang &amp; Seong, 2023</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Historical stock returns and covariance matrices across S&amp;P 500 equities</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Deep RL integrated with Modern Portfolio Theory mean-variance objective as reward shaping (Expert Syst. Appl., vol. 218, art. 119556)</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RL-MPT outperforms Markowitz and single-algorithm RL baselines; higher Sharpe ratio</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Restricted to US equities; ignores all text, sentiment, and regime data; no configurable risk profiles</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[6] Niu et al., 2022</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OHLCV, technical indicator signals, market state vector</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MetaTrader: two-stage RL — Stage 1: diverse policy learning via RL + imitation learning; Stage 2: meta-policy selection conditioned on market conditions (CIKM 2022)</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Two-stage policy ensemble significantly outperforms state-of-the-art single-algorithm RL baselines in balancing profit and risk</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Restricted to price and technical indicators; no sentiment, macro covariates, or regime conditioning in state space</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[7] Araci, 2019</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Financial PhraseBank (4,845 sentences); FiQA financial microblogs; BERT-base pre-trained</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FinBERT: BERT-base further pre-trained on financial text then fine-tuned for sentiment classification (arXiv 1908.10063)</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Accuracy 0.97, F1 0.95 on 100% annotator-agreement subset; all-data result: Acc 0.86, F1 0.84 — surpasses LSTM, ULMFit, all prior SOTA</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Text-only classifier; no price prediction, temporal sentiment dynamics, or RL integration</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[8] Hutto &amp; Gilbert, 2014</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Social media text; 7,500+ lexicon features</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VADER: rule-based lexicon + 5 syntactic heuristics; O(n) inference (ICWSM 2014)</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Tweet F1 = 0.96 — outperforms individual human raters</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Not financial-domain; 'bear', 'short' misclassified</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[9] Du et al., 2024</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Financial text corpora: news, calls, social media</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Survey: lexicons, ML classifiers, BERT variants, LLMs (ACM Comput. Surv., 185 citations)</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FinBERT/LLMs consistently outperform lexicons</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Survey only; no implementation or RL integration</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[10] Farimani et al., 2024</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Historical prices, financial news, social media text, volume data</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CNN for text + LSTM for price + cross-modal attention-based fusion (IEEE Access)</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Reported approx. 15–20% error reduction vs. unimodal baselines (full paper required to confirm exact figure)</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 RL decision-making, no regime detection, single-asset scope, no risk management framework</w:t>
            </w:r>
          </w:p>
        </w:tc>
      </w:tr>
      <w:tr>
        <w:trPr/>
        <w:tc>
          <w:tcPr>
            <w:tcW w:w="194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[11] Sawhney et al., 2020</w:t>
            </w:r>
          </w:p>
        </w:tc>
        <w:tc>
          <w:tcPr>
            <w:tcW w:w="162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S&amp;P 500 stock prices, English tweets, Wikidata inter-stock corporate relation graph</w:t>
            </w:r>
          </w:p>
        </w:tc>
        <w:tc>
          <w:tcPr>
            <w:tcW w:w="1842"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MAN-SF: GRU price encoder + hierarchical text attention + bilinear cross-modal fusion + Graph Attention Network (EMNLP 2020)</w:t>
            </w:r>
          </w:p>
        </w:tc>
        <w:tc>
          <w:tcPr>
            <w:tcW w:w="1885"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Outperforms StockNet, HATS, and adversarial LSTM baselines on stock movement prediction; specific F1/MCC/Sharpe metrics require full paper access to confirm</w:t>
            </w:r>
          </w:p>
        </w:tc>
        <w:tc>
          <w:tcPr>
            <w:tcW w:w="205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No regime awareness; no RL execution; restricted to US equities; no macroeconomic inputs; static corporate graph</w:t>
            </w:r>
          </w:p>
        </w:tc>
      </w:tr>
      <w:tr>
        <w:trPr/>
        <w:tc>
          <w:tcPr>
            <w:tcW w:w="194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[12] Nystrup et al., 2018</w:t>
            </w:r>
          </w:p>
        </w:tc>
        <w:tc>
          <w:tcPr>
            <w:tcW w:w="162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S&amp;P 500 daily returns + cash; ~20 years</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Time-varying Gaussian HMM (2-state) + Model Predictive Control (Quant. Finance)</w:t>
            </w:r>
          </w:p>
        </w:tc>
        <w:tc>
          <w:tcPr>
            <w:tcW w:w="1885"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Higher Sharpe and lower max drawdown vs. buy-and-hold</w:t>
            </w:r>
          </w:p>
        </w:tc>
        <w:tc>
          <w:tcPr>
            <w:tcW w:w="205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Price only; 2 assets; linear Gaussian HMM; no DL or RL</w:t>
            </w:r>
          </w:p>
        </w:tc>
      </w:tr>
    </w:tbl>
    <w:p>
      <w:pPr>
        <w:pStyle w:val="Normal"/>
        <w:spacing w:before="100" w:after="60"/>
        <w:rPr/>
      </w:pPr>
      <w:r>
        <w:rPr/>
      </w:r>
    </w:p>
    <w:p>
      <w:pPr>
        <w:pStyle w:val="Normal"/>
        <w:spacing w:before="40" w:after="60"/>
        <w:jc w:val="center"/>
        <w:rPr/>
      </w:pPr>
      <w:r>
        <w:rPr>
          <w:rFonts w:eastAsia="Times New Roman" w:cs="Times New Roman"/>
          <w:b/>
          <w:bCs/>
          <w:sz w:val="21"/>
          <w:szCs w:val="21"/>
        </w:rPr>
        <w:t>Figure 1 - Research Gap Matrix: Model Complexity vs. Data Modality</w:t>
      </w:r>
    </w:p>
    <w:tbl>
      <w:tblPr>
        <w:tblW w:w="9360" w:type="dxa"/>
        <w:jc w:val="left"/>
        <w:tblInd w:w="0" w:type="dxa"/>
        <w:tblLayout w:type="fixed"/>
        <w:tblCellMar>
          <w:top w:w="60" w:type="dxa"/>
          <w:left w:w="90" w:type="dxa"/>
          <w:bottom w:w="60" w:type="dxa"/>
          <w:right w:w="90" w:type="dxa"/>
        </w:tblCellMar>
      </w:tblPr>
      <w:tblGrid>
        <w:gridCol w:w="1599"/>
        <w:gridCol w:w="3881"/>
        <w:gridCol w:w="3880"/>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
          </w:p>
        </w:tc>
        <w:tc>
          <w:tcPr>
            <w:tcW w:w="3881"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Traditional ML / Statistical Models</w:t>
            </w:r>
          </w:p>
        </w:tc>
        <w:tc>
          <w:tcPr>
            <w:tcW w:w="3880"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Deep Learning / RL (Advanced Architecture)</w:t>
            </w:r>
          </w:p>
        </w:tc>
      </w:tr>
      <w:tr>
        <w:trPr/>
        <w:tc>
          <w:tcPr>
            <w:tcW w:w="159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MULTI-MODAL (Price + Text + Sentiment + Macro + Regime)</w:t>
            </w:r>
          </w:p>
        </w:tc>
        <w:tc>
          <w:tcPr>
            <w:tcW w:w="3881" w:type="dxa"/>
            <w:tcBorders>
              <w:top w:val="single" w:sz="4" w:space="0" w:color="000000"/>
              <w:left w:val="single" w:sz="4" w:space="0" w:color="000000"/>
              <w:bottom w:val="single" w:sz="4" w:space="0" w:color="000000"/>
              <w:right w:val="single" w:sz="4" w:space="0" w:color="000000"/>
            </w:tcBorders>
            <w:shd w:fill="FFFFFF" w:val="clear"/>
            <w:tcMar>
              <w:top w:w="80" w:type="dxa"/>
              <w:left w:w="100" w:type="dxa"/>
              <w:bottom w:w="80" w:type="dxa"/>
              <w:right w:w="100" w:type="dxa"/>
            </w:tcMar>
          </w:tcPr>
          <w:p>
            <w:pPr>
              <w:pStyle w:val="Normal"/>
              <w:spacing w:before="10" w:after="8"/>
              <w:rPr/>
            </w:pPr>
            <w:r>
              <w:rPr>
                <w:rFonts w:eastAsia="Times New Roman" w:cs="Times New Roman"/>
                <w:i/>
                <w:iCs/>
                <w:sz w:val="17"/>
                <w:szCs w:val="17"/>
              </w:rPr>
              <w:t>Limited presence. Some XGBoost + VADER rule-based hybrids exist; none in top peer-reviewed venues.</w:t>
            </w:r>
          </w:p>
        </w:tc>
        <w:tc>
          <w:tcPr>
            <w:tcW w:w="3880" w:type="dxa"/>
            <w:tcBorders>
              <w:top w:val="single" w:sz="4" w:space="0" w:color="000000"/>
              <w:left w:val="single" w:sz="4" w:space="0" w:color="000000"/>
              <w:bottom w:val="single" w:sz="4" w:space="0" w:color="000000"/>
              <w:right w:val="single" w:sz="4" w:space="0" w:color="000000"/>
            </w:tcBorders>
            <w:shd w:fill="FFFFFF" w:val="clear"/>
            <w:tcMar>
              <w:top w:w="80" w:type="dxa"/>
              <w:left w:w="100" w:type="dxa"/>
              <w:bottom w:w="80" w:type="dxa"/>
              <w:right w:w="100" w:type="dxa"/>
            </w:tcMar>
          </w:tcPr>
          <w:p>
            <w:pPr>
              <w:pStyle w:val="Normal"/>
              <w:spacing w:before="10" w:after="6"/>
              <w:rPr/>
            </w:pPr>
            <w:r>
              <w:rPr>
                <w:rFonts w:eastAsia="Times New Roman" w:cs="Times New Roman"/>
                <w:sz w:val="17"/>
                <w:szCs w:val="17"/>
              </w:rPr>
              <w:t>[10] Farimani et al. (2024): multimodal CNN+LSTM; no RL, no regime</w:t>
            </w:r>
          </w:p>
          <w:p>
            <w:pPr>
              <w:pStyle w:val="Normal"/>
              <w:spacing w:before="6" w:after="6"/>
              <w:rPr/>
            </w:pPr>
            <w:r>
              <w:rPr>
                <w:rFonts w:eastAsia="Times New Roman" w:cs="Times New Roman"/>
                <w:sz w:val="17"/>
                <w:szCs w:val="17"/>
              </w:rPr>
              <w:t>[11] Sawhney et al. (2020): price+text+graph; no regime, no RL</w:t>
            </w:r>
          </w:p>
          <w:p>
            <w:pPr>
              <w:pStyle w:val="Normal"/>
              <w:spacing w:before="10" w:after="4"/>
              <w:rPr/>
            </w:pPr>
            <w:r>
              <w:rPr>
                <w:rFonts w:eastAsia="Times New Roman" w:cs="Times New Roman"/>
                <w:b/>
                <w:bCs/>
                <w:sz w:val="19"/>
                <w:szCs w:val="19"/>
              </w:rPr>
              <w:t xml:space="preserve">★ </w:t>
            </w:r>
            <w:r>
              <w:rPr>
                <w:rFonts w:eastAsia="Times New Roman" w:cs="Times New Roman"/>
                <w:b/>
                <w:bCs/>
                <w:sz w:val="19"/>
                <w:szCs w:val="19"/>
              </w:rPr>
              <w:t>MRAT-RL [This Work] ★</w:t>
            </w:r>
          </w:p>
          <w:p>
            <w:pPr>
              <w:pStyle w:val="Normal"/>
              <w:spacing w:before="4" w:after="10"/>
              <w:rPr/>
            </w:pPr>
            <w:r>
              <w:rPr>
                <w:rFonts w:eastAsia="Times New Roman" w:cs="Times New Roman"/>
                <w:i/>
                <w:iCs/>
                <w:sz w:val="16"/>
                <w:szCs w:val="16"/>
              </w:rPr>
              <w:t>Transformer + RL + FinBERT+VADER + Regime Clustering + 56+ Assets + Macro Covariates</w:t>
            </w:r>
          </w:p>
        </w:tc>
      </w:tr>
      <w:tr>
        <w:trPr/>
        <w:tc>
          <w:tcPr>
            <w:tcW w:w="159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SINGLE-MODAL (Price / Structured Data Only)</w:t>
            </w:r>
          </w:p>
        </w:tc>
        <w:tc>
          <w:tcPr>
            <w:tcW w:w="3881" w:type="dxa"/>
            <w:tcBorders>
              <w:top w:val="single" w:sz="4" w:space="0" w:color="000000"/>
              <w:left w:val="single" w:sz="4" w:space="0" w:color="000000"/>
              <w:bottom w:val="single" w:sz="4" w:space="0" w:color="000000"/>
              <w:right w:val="single" w:sz="4" w:space="0" w:color="000000"/>
            </w:tcBorders>
            <w:shd w:fill="F2F2F2" w:val="clear"/>
            <w:tcMar>
              <w:top w:w="80" w:type="dxa"/>
              <w:left w:w="100" w:type="dxa"/>
              <w:bottom w:w="80" w:type="dxa"/>
              <w:right w:w="100" w:type="dxa"/>
            </w:tcMar>
          </w:tcPr>
          <w:p>
            <w:pPr>
              <w:pStyle w:val="Normal"/>
              <w:spacing w:before="10" w:after="6"/>
              <w:rPr/>
            </w:pPr>
            <w:r>
              <w:rPr>
                <w:rFonts w:eastAsia="Times New Roman" w:cs="Times New Roman"/>
                <w:sz w:val="17"/>
                <w:szCs w:val="17"/>
              </w:rPr>
              <w:t>[8] Hutto &amp; Gilbert (2014) — VADER lexicon (text only)</w:t>
            </w:r>
          </w:p>
          <w:p>
            <w:pPr>
              <w:pStyle w:val="Normal"/>
              <w:spacing w:before="6" w:after="6"/>
              <w:rPr/>
            </w:pPr>
            <w:r>
              <w:rPr>
                <w:rFonts w:eastAsia="Times New Roman" w:cs="Times New Roman"/>
                <w:sz w:val="17"/>
                <w:szCs w:val="17"/>
              </w:rPr>
              <w:t>[12] Nystrup et al. (2018) — HMM + MPC (price only)</w:t>
            </w:r>
          </w:p>
          <w:p>
            <w:pPr>
              <w:pStyle w:val="Normal"/>
              <w:spacing w:before="6" w:after="6"/>
              <w:rPr/>
            </w:pPr>
            <w:r>
              <w:rPr>
                <w:rFonts w:eastAsia="Times New Roman" w:cs="Times New Roman"/>
                <w:i/>
                <w:iCs/>
                <w:sz w:val="16"/>
                <w:szCs w:val="16"/>
              </w:rPr>
              <w:t>ARIMA; Markowitz; linear factor models</w:t>
            </w:r>
          </w:p>
        </w:tc>
        <w:tc>
          <w:tcPr>
            <w:tcW w:w="3880" w:type="dxa"/>
            <w:tcBorders>
              <w:top w:val="single" w:sz="4" w:space="0" w:color="000000"/>
              <w:left w:val="single" w:sz="4" w:space="0" w:color="000000"/>
              <w:bottom w:val="single" w:sz="4" w:space="0" w:color="000000"/>
              <w:right w:val="single" w:sz="4" w:space="0" w:color="000000"/>
            </w:tcBorders>
            <w:shd w:fill="F2F2F2" w:val="clear"/>
            <w:tcMar>
              <w:top w:w="80" w:type="dxa"/>
              <w:left w:w="100" w:type="dxa"/>
              <w:bottom w:w="80" w:type="dxa"/>
              <w:right w:w="100" w:type="dxa"/>
            </w:tcMar>
          </w:tcPr>
          <w:p>
            <w:pPr>
              <w:pStyle w:val="Normal"/>
              <w:spacing w:before="10" w:after="6"/>
              <w:rPr/>
            </w:pPr>
            <w:r>
              <w:rPr>
                <w:rFonts w:eastAsia="Times New Roman" w:cs="Times New Roman"/>
                <w:sz w:val="17"/>
                <w:szCs w:val="17"/>
              </w:rPr>
              <w:t>[1] Vaswani et al. (2017) — Transformer (NLP sequences only)</w:t>
            </w:r>
          </w:p>
          <w:p>
            <w:pPr>
              <w:pStyle w:val="Normal"/>
              <w:spacing w:before="6" w:after="6"/>
              <w:rPr/>
            </w:pPr>
            <w:r>
              <w:rPr>
                <w:rFonts w:eastAsia="Times New Roman" w:cs="Times New Roman"/>
                <w:sz w:val="17"/>
                <w:szCs w:val="17"/>
              </w:rPr>
              <w:t>[2] Lim et al. (2021) — TFT (structured tabular data; no text/sentiment)</w:t>
            </w:r>
          </w:p>
          <w:p>
            <w:pPr>
              <w:pStyle w:val="Normal"/>
              <w:spacing w:before="6" w:after="6"/>
              <w:rPr/>
            </w:pPr>
            <w:r>
              <w:rPr>
                <w:rFonts w:eastAsia="Times New Roman" w:cs="Times New Roman"/>
                <w:sz w:val="17"/>
                <w:szCs w:val="17"/>
              </w:rPr>
              <w:t>[3] Wang et al. (2022) — Transformer (closing prices only)</w:t>
            </w:r>
          </w:p>
          <w:p>
            <w:pPr>
              <w:pStyle w:val="Normal"/>
              <w:spacing w:before="6" w:after="6"/>
              <w:rPr/>
            </w:pPr>
            <w:r>
              <w:rPr>
                <w:rFonts w:eastAsia="Times New Roman" w:cs="Times New Roman"/>
                <w:sz w:val="17"/>
                <w:szCs w:val="17"/>
              </w:rPr>
              <w:t>[4] Théate &amp; Ernst (2021) — TDQN / RL (price history only)</w:t>
            </w:r>
          </w:p>
          <w:p>
            <w:pPr>
              <w:pStyle w:val="Normal"/>
              <w:spacing w:before="6" w:after="6"/>
              <w:rPr/>
            </w:pPr>
            <w:r>
              <w:rPr>
                <w:rFonts w:eastAsia="Times New Roman" w:cs="Times New Roman"/>
                <w:sz w:val="17"/>
                <w:szCs w:val="17"/>
              </w:rPr>
              <w:t>[5] Jang &amp; Seong (2023) — RL+MPT (returns/covariance only)</w:t>
            </w:r>
          </w:p>
          <w:p>
            <w:pPr>
              <w:pStyle w:val="Normal"/>
              <w:spacing w:before="6" w:after="6"/>
              <w:rPr/>
            </w:pPr>
            <w:r>
              <w:rPr>
                <w:rFonts w:eastAsia="Times New Roman" w:cs="Times New Roman"/>
                <w:sz w:val="17"/>
                <w:szCs w:val="17"/>
              </w:rPr>
              <w:t>[6] Niu et al. (2022) — MetaTrader RL (price+technicals only)</w:t>
            </w:r>
          </w:p>
          <w:p>
            <w:pPr>
              <w:pStyle w:val="Normal"/>
              <w:spacing w:before="6" w:after="6"/>
              <w:rPr/>
            </w:pPr>
            <w:r>
              <w:rPr>
                <w:rFonts w:eastAsia="Times New Roman" w:cs="Times New Roman"/>
                <w:sz w:val="17"/>
                <w:szCs w:val="17"/>
              </w:rPr>
              <w:t>[7] Araci (2019) — FinBERT (text only; no price data)</w:t>
            </w:r>
          </w:p>
          <w:p>
            <w:pPr>
              <w:pStyle w:val="Normal"/>
              <w:spacing w:before="6" w:after="8"/>
              <w:rPr/>
            </w:pPr>
            <w:r>
              <w:rPr>
                <w:rFonts w:eastAsia="Times New Roman" w:cs="Times New Roman"/>
                <w:sz w:val="17"/>
                <w:szCs w:val="17"/>
              </w:rPr>
              <w:t>[9] Du et al. (2024) — NLP survey (no implementation)</w:t>
            </w:r>
          </w:p>
        </w:tc>
      </w:tr>
    </w:tbl>
    <w:p>
      <w:pPr>
        <w:pStyle w:val="Normal"/>
        <w:spacing w:before="100" w:after="60"/>
        <w:rPr/>
      </w:pPr>
      <w:r>
        <w:rPr/>
      </w:r>
    </w:p>
    <w:p>
      <w:pPr>
        <w:pStyle w:val="Normal"/>
        <w:spacing w:before="40" w:after="60"/>
        <w:jc w:val="center"/>
        <w:rPr/>
      </w:pPr>
      <w:r>
        <w:rPr>
          <w:rFonts w:eastAsia="Times New Roman" w:cs="Times New Roman"/>
          <w:b/>
          <w:bCs/>
          <w:sz w:val="21"/>
          <w:szCs w:val="21"/>
        </w:rPr>
        <w:t>Table II - Limitations of Existing Works vs. Proposed MRAT-RL System</w:t>
      </w:r>
    </w:p>
    <w:tbl>
      <w:tblPr>
        <w:tblW w:w="9360" w:type="dxa"/>
        <w:jc w:val="left"/>
        <w:tblInd w:w="0" w:type="dxa"/>
        <w:tblLayout w:type="fixed"/>
        <w:tblCellMar>
          <w:top w:w="60" w:type="dxa"/>
          <w:left w:w="90" w:type="dxa"/>
          <w:bottom w:w="60" w:type="dxa"/>
          <w:right w:w="90" w:type="dxa"/>
        </w:tblCellMar>
      </w:tblPr>
      <w:tblGrid>
        <w:gridCol w:w="1500"/>
        <w:gridCol w:w="3929"/>
        <w:gridCol w:w="3931"/>
      </w:tblGrid>
      <w:tr>
        <w:trPr>
          <w:tblHeader w:val="true"/>
        </w:trPr>
        <w:tc>
          <w:tcPr>
            <w:tcW w:w="1500"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Existing Paper</w:t>
            </w:r>
          </w:p>
        </w:tc>
        <w:tc>
          <w:tcPr>
            <w:tcW w:w="3929"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Key Limitation of Existing Work</w:t>
            </w:r>
          </w:p>
        </w:tc>
        <w:tc>
          <w:tcPr>
            <w:tcW w:w="3931" w:type="dxa"/>
            <w:tcBorders>
              <w:top w:val="single" w:sz="4" w:space="0" w:color="000000"/>
              <w:left w:val="single" w:sz="4" w:space="0" w:color="000000"/>
              <w:bottom w:val="single" w:sz="4" w:space="0" w:color="000000"/>
              <w:right w:val="single" w:sz="4" w:space="0" w:color="000000"/>
            </w:tcBorders>
            <w:shd w:fill="D9D9D9" w:val="clear"/>
          </w:tcPr>
          <w:p>
            <w:pPr>
              <w:pStyle w:val="Normal"/>
              <w:jc w:val="left"/>
              <w:rPr/>
            </w:pPr>
            <w:r>
              <w:rPr>
                <w:rFonts w:eastAsia="Times New Roman" w:cs="Times New Roman"/>
                <w:b/>
                <w:bCs/>
                <w:i w:val="false"/>
                <w:iCs w:val="false"/>
                <w:sz w:val="17"/>
                <w:szCs w:val="17"/>
              </w:rPr>
              <w:t>MRAT-RL System Advantage (This Work)</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[1] Vaswani et al.</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NLP-only architecture; no financial data, RL, or regime awareness; O(n²) complexity; static encodings cannot handle irregular trading calendars</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Transformer applied to OHLCV + 5 modalities; RL closes the prediction-to-execution loop across 56+ assets</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[2] Lim et al.</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 RL execution layer; no news or text; regime awareness is post-hoc via attention visualisation, not a learned label fed into the system</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Explicit regime labels, hybrid FinBERT+VADER sentiment, and a live RL portfolio agent added to multi-horizon multi-asset forecasting</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[3] Wang et al.</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Closing prices only; no sentiment, no regime, no RL, no multi-horizon output; single next-day prediction with no execution layer</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Full OHLCV + 6 indicators + hybrid sentiment + macro covariates; 5/10/15/20-day horizons; RL agent for live execution</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[4] Théate &amp; Ernst</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RL state is price history alone; no sentiment, news, or macroeconomic context; evaluation limited to individual equity instruments</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RL state includes regime label, sentiment score, VIX, inflation, interest rate; operates across 56+ assets simultaneously</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[5] Jang &amp; Seong</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Portfolio RL ignores all textual data, sentiment, and regime conditions; US equities only; no configurable risk profiles</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Three RL risk profiles:</w:t>
            </w:r>
            <w:r>
              <w:rPr>
                <w:rFonts w:eastAsia="Times New Roman" w:cs="Times New Roman"/>
                <w:b w:val="false"/>
                <w:bCs w:val="false"/>
                <w:i w:val="false"/>
                <w:iCs w:val="false"/>
                <w:sz w:val="17"/>
                <w:szCs w:val="17"/>
              </w:rPr>
              <w:t xml:space="preserve"> </w:t>
            </w:r>
            <w:r>
              <w:rPr>
                <w:rFonts w:eastAsia="Times New Roman" w:cs="Times New Roman"/>
                <w:b w:val="false"/>
                <w:bCs w:val="false"/>
                <w:i w:val="false"/>
                <w:iCs w:val="false"/>
                <w:sz w:val="17"/>
                <w:szCs w:val="17"/>
              </w:rPr>
              <w:t>Conservative, Moderate, Aggressive, with regime clustering modulating position sizing and stop-loss thresholds</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[6] Niu et al.</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Meta-RL restricted to technical indicators; no cross-asset portfolio; no sentiment or regime conditioning in state space</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Regime-aware meta-controller selects RL risk profile based on live Bull/Bear/Volatile cluster; sentiment and macro enrich every step</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[7] Araci</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Text only; no price prediction, portfolio optimisation, temporal sentiment dynamics, or RL integration of any kind</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FinBERT is primary sentiment tier; its embeddings feed directly into the Transformer forecaster and the RL reward signal</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[8] Hutto &amp; Gilbert</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Not designed for financial text; 'bear', 'short', 'liability' misclassified; no learning capability; no market prediction</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VADER serves as fast caching fallback; reduces FinBERT inference latency by 10–30× when queues exceed threshold</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[9] Du et al.</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Survey paper only;  no implementation, no RL, sentiment never coupled to a forecasting or execution pipeline</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Operationalises the survey's core finding: hybrid sentiment pipeline feeds into Transformer forecaster and RL reward function</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[10] Farimani et al.</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No RL decision-making, no regime detection, single-asset scope, no risk management configuration</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End-to-end RL with three risk profiles; explicit regime clustering; 56+ assets across equities, crypto, forex, commodities</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bCs/>
                <w:i w:val="false"/>
                <w:iCs w:val="false"/>
                <w:sz w:val="17"/>
                <w:szCs w:val="17"/>
              </w:rPr>
              <w:t>[11] Sawhney et al.</w:t>
            </w:r>
          </w:p>
        </w:tc>
        <w:tc>
          <w:tcPr>
            <w:tcW w:w="3929"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Binary classification; no regime awareness; no RL; US equities only; no macro inputs (VIX, rates, inflation); static corporate graph</w:t>
            </w:r>
          </w:p>
        </w:tc>
        <w:tc>
          <w:tcPr>
            <w:tcW w:w="393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rFonts w:eastAsia="Times New Roman" w:cs="Times New Roman"/>
                <w:b w:val="false"/>
                <w:bCs w:val="false"/>
                <w:i w:val="false"/>
                <w:iCs w:val="false"/>
                <w:sz w:val="17"/>
                <w:szCs w:val="17"/>
              </w:rPr>
              <w:t>Regime-adaptive Transformer; RL outputs Buy/Sell/Hold + allocation; VIX, inflation, interest rates as live macroeconomic covariates</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bCs/>
                <w:i w:val="false"/>
                <w:iCs w:val="false"/>
                <w:sz w:val="17"/>
                <w:szCs w:val="17"/>
              </w:rPr>
              <w:t>[12] Nystrup et al.</w:t>
            </w:r>
          </w:p>
        </w:tc>
        <w:tc>
          <w:tcPr>
            <w:tcW w:w="3929"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Price only; linear Gaussian HMM; two assets only; no deep learning; retrospective filtering introduces real implementation lag</w:t>
            </w:r>
          </w:p>
        </w:tc>
        <w:tc>
          <w:tcPr>
            <w:tcW w:w="393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rFonts w:eastAsia="Times New Roman" w:cs="Times New Roman"/>
                <w:b w:val="false"/>
                <w:bCs w:val="false"/>
                <w:i w:val="false"/>
                <w:iCs w:val="false"/>
                <w:sz w:val="17"/>
                <w:szCs w:val="17"/>
              </w:rPr>
              <w:t>Deep-learning regime detection via multi-modal clustering; RL portfolio allocation; 56+ global assets updated in real time</w:t>
            </w:r>
          </w:p>
        </w:tc>
      </w:tr>
    </w:tbl>
    <w:p>
      <w:pPr>
        <w:pStyle w:val="Normal"/>
        <w:spacing w:before="80" w:after="0"/>
        <w:rPr/>
      </w:pPr>
      <w:r>
        <w:rPr/>
      </w:r>
    </w:p>
    <w:p>
      <w:pPr>
        <w:sectPr>
          <w:footerReference w:type="even" r:id="rId11"/>
          <w:footerReference w:type="default" r:id="rId12"/>
          <w:footerReference w:type="first" r:id="rId13"/>
          <w:type w:val="nextPage"/>
          <w:pgSz w:w="12240" w:h="15840"/>
          <w:pgMar w:left="1440" w:right="1440" w:gutter="0" w:header="0" w:top="1440" w:footer="708" w:bottom="1440"/>
          <w:pgNumType w:fmt="decimal"/>
          <w:formProt w:val="false"/>
          <w:textDirection w:val="lrTb"/>
          <w:docGrid w:type="default" w:linePitch="360" w:charSpace="0"/>
        </w:sectPr>
      </w:pPr>
    </w:p>
    <w:p>
      <w:pPr>
        <w:pStyle w:val="Normal"/>
        <w:spacing w:before="120" w:after="60"/>
        <w:jc w:val="center"/>
        <w:rPr/>
      </w:pPr>
      <w:r>
        <w:rPr>
          <w:rFonts w:eastAsia="Times New Roman" w:cs="Times New Roman"/>
          <w:b/>
          <w:bCs/>
          <w:i w:val="false"/>
          <w:iCs w:val="false"/>
          <w:color w:val="000000"/>
          <w:sz w:val="24"/>
          <w:szCs w:val="24"/>
        </w:rPr>
        <w:t>References</w:t>
      </w:r>
    </w:p>
    <w:p>
      <w:pPr>
        <w:pStyle w:val="Normal"/>
        <w:spacing w:before="20" w:after="20"/>
        <w:ind w:hanging="320" w:left="320"/>
        <w:jc w:val="left"/>
        <w:rPr/>
      </w:pPr>
      <w:r>
        <w:rPr>
          <w:rFonts w:eastAsia="Times New Roman" w:cs="Times New Roman"/>
          <w:sz w:val="18"/>
          <w:szCs w:val="18"/>
        </w:rPr>
        <w:t>[1] A. Vaswani, N. Shazeer, N. Parmar, J. Uszkoreit, L. Jones, A. N. Gomez, Ł. Kaiser, and I. Polosukhin, "Attention is all you need," in Adv. Neural Inf. Process. Syst. 30 (NeurIPS 2017), Long Beach, CA, USA, 2017, pp. 5998–6008.</w:t>
      </w:r>
    </w:p>
    <w:p>
      <w:pPr>
        <w:pStyle w:val="Normal"/>
        <w:spacing w:before="20" w:after="20"/>
        <w:ind w:hanging="320" w:left="320"/>
        <w:jc w:val="left"/>
        <w:rPr/>
      </w:pPr>
      <w:r>
        <w:rPr>
          <w:rFonts w:eastAsia="Times New Roman" w:cs="Times New Roman"/>
          <w:sz w:val="18"/>
          <w:szCs w:val="18"/>
        </w:rPr>
        <w:t>[2] B. Lim, S. Ö. Arık, N. Loeff, and T. Pfister, "Temporal Fusion Transformers for interpretable multi-horizon time series forecasting," Int. J. Forecasting, vol. 37, no. 4, pp. 1748–1764, 2021. DOI: 10.1016/j.ijforecast.2021.03.012</w:t>
      </w:r>
    </w:p>
    <w:p>
      <w:pPr>
        <w:pStyle w:val="Normal"/>
        <w:spacing w:before="20" w:after="20"/>
        <w:ind w:hanging="320" w:left="320"/>
        <w:jc w:val="left"/>
        <w:rPr/>
      </w:pPr>
      <w:r>
        <w:rPr>
          <w:rFonts w:eastAsia="Times New Roman" w:cs="Times New Roman"/>
          <w:sz w:val="18"/>
          <w:szCs w:val="18"/>
        </w:rPr>
        <w:t>[3] C. Wang, Y. Chen, S. Zhang, and Q. Zhang, "Stock market index prediction using deep Transformer model," Expert Syst. Appl., vol. 208, art. 118128, Jul. 2022. DOI: 10.1016/j.eswa.2022.118128</w:t>
      </w:r>
    </w:p>
    <w:p>
      <w:pPr>
        <w:pStyle w:val="Normal"/>
        <w:spacing w:before="20" w:after="20"/>
        <w:ind w:hanging="320" w:left="320"/>
        <w:jc w:val="left"/>
        <w:rPr/>
      </w:pPr>
      <w:r>
        <w:rPr>
          <w:rFonts w:eastAsia="Times New Roman" w:cs="Times New Roman"/>
          <w:sz w:val="18"/>
          <w:szCs w:val="18"/>
        </w:rPr>
        <w:t>[4] T. Théate and D. Ernst, "An application of deep reinforcement learning to algorithmic trading," Expert Syst. Appl., vol. 173, art. 114632, Jul. 2021. DOI: 10.1016/j.eswa.2021.114632</w:t>
      </w:r>
    </w:p>
    <w:p>
      <w:pPr>
        <w:pStyle w:val="Normal"/>
        <w:spacing w:before="20" w:after="20"/>
        <w:ind w:hanging="320" w:left="320"/>
        <w:jc w:val="left"/>
        <w:rPr/>
      </w:pPr>
      <w:r>
        <w:rPr>
          <w:rFonts w:eastAsia="Times New Roman" w:cs="Times New Roman"/>
          <w:sz w:val="18"/>
          <w:szCs w:val="18"/>
        </w:rPr>
        <w:t>[5] J. Jang and N. Y. Seong, "Deep reinforcement learning for stock portfolio optimization by connecting with modern portfolio theory," Expert Syst. Appl., vol. 218, art. 119556, 2023. DOI: 10.1016/j.eswa.2023.119556</w:t>
      </w:r>
    </w:p>
    <w:p>
      <w:pPr>
        <w:pStyle w:val="Normal"/>
        <w:spacing w:before="20" w:after="20"/>
        <w:ind w:hanging="320" w:left="320"/>
        <w:jc w:val="left"/>
        <w:rPr/>
      </w:pPr>
      <w:r>
        <w:rPr>
          <w:rFonts w:eastAsia="Times New Roman" w:cs="Times New Roman"/>
          <w:sz w:val="18"/>
          <w:szCs w:val="18"/>
        </w:rPr>
        <w:t>[6] H. Niu, S. Li, and J. Li, "MetaTrader: An reinforcement learning approach integrating diverse policies for portfolio optimization," in Proc. 31st ACM Int. Conf. Inf. Knowl. Manag. (CIKM '22), Atlanta, GA, USA, 2022, pp. 1573–1583. DOI: 10.1145/3511808.3557363</w:t>
      </w:r>
    </w:p>
    <w:p>
      <w:pPr>
        <w:pStyle w:val="Normal"/>
        <w:spacing w:before="20" w:after="20"/>
        <w:ind w:hanging="320" w:left="320"/>
        <w:jc w:val="left"/>
        <w:rPr/>
      </w:pPr>
      <w:r>
        <w:rPr>
          <w:rFonts w:eastAsia="Times New Roman" w:cs="Times New Roman"/>
          <w:sz w:val="18"/>
          <w:szCs w:val="18"/>
        </w:rPr>
        <w:t>[7] D. Araci, "FinBERT: Financial sentiment analysis with pre-trained language models," arXiv preprint, arXiv:1908.10063, 2019. DOI: 10.48550/arXiv.1908.10063</w:t>
      </w:r>
    </w:p>
    <w:p>
      <w:pPr>
        <w:pStyle w:val="Normal"/>
        <w:spacing w:before="20" w:after="20"/>
        <w:ind w:hanging="320" w:left="320"/>
        <w:jc w:val="left"/>
        <w:rPr/>
      </w:pPr>
      <w:r>
        <w:rPr>
          <w:rFonts w:eastAsia="Times New Roman" w:cs="Times New Roman"/>
          <w:sz w:val="18"/>
          <w:szCs w:val="18"/>
        </w:rPr>
        <w:t>[8] C. J. Hutto and E. Gilbert, "VADER: A parsimonious rule-based model for sentiment analysis of social media text," in Proc. Int. AAAI Conf. Web Social Media (ICWSM), vol. 8, no. 1, pp. 216–225, 2014. DOI: 10.1609/icwsm.v8i1.14550</w:t>
      </w:r>
    </w:p>
    <w:p>
      <w:pPr>
        <w:pStyle w:val="Normal"/>
        <w:spacing w:before="20" w:after="20"/>
        <w:ind w:hanging="320" w:left="320"/>
        <w:jc w:val="left"/>
        <w:rPr/>
      </w:pPr>
      <w:r>
        <w:rPr>
          <w:rFonts w:eastAsia="Times New Roman" w:cs="Times New Roman"/>
          <w:sz w:val="18"/>
          <w:szCs w:val="18"/>
        </w:rPr>
        <w:t>[9] K. Du, F. Xing, R. Mao, and E. Cambria, "Financial sentiment analysis: Techniques and applications," ACM Comput. Surv., vol. 56, no. 9, pp. 1–39, 2024. DOI: 10.1145/3647749</w:t>
      </w:r>
    </w:p>
    <w:p>
      <w:pPr>
        <w:pStyle w:val="Normal"/>
        <w:spacing w:before="20" w:after="20"/>
        <w:ind w:hanging="320" w:left="320"/>
        <w:jc w:val="left"/>
        <w:rPr/>
      </w:pPr>
      <w:r>
        <w:rPr>
          <w:rFonts w:eastAsia="Times New Roman" w:cs="Times New Roman"/>
          <w:sz w:val="18"/>
          <w:szCs w:val="18"/>
        </w:rPr>
        <w:t>[10] S. A. Farimani, M. V. Jahan, and A. M. Fard, "An adaptive multimodal learning model for financial market price prediction," IEEE Access, vol. 12, 2024. DOI: 10.1109/ACCESS.2024.3351234</w:t>
      </w:r>
    </w:p>
    <w:p>
      <w:pPr>
        <w:pStyle w:val="Normal"/>
        <w:spacing w:before="20" w:after="20"/>
        <w:ind w:hanging="320" w:left="320"/>
        <w:jc w:val="left"/>
        <w:rPr/>
      </w:pPr>
      <w:r>
        <w:rPr>
          <w:rFonts w:eastAsia="Times New Roman" w:cs="Times New Roman"/>
          <w:sz w:val="18"/>
          <w:szCs w:val="18"/>
        </w:rPr>
        <w:t>[11] R. Sawhney, S. Agarwal, A. Wadhwa, and R. R. Shah, "Deep attentive learning for stock movement prediction from social media text and company correlations," in Proc. 2020 Conf. Empirical Methods in Natural Language Processing (EMNLP), Online, 2020, pp. 8415–8426. DOI: 10.18653/v1/2020.emnlp-main.676</w:t>
      </w:r>
    </w:p>
    <w:p>
      <w:pPr>
        <w:pStyle w:val="Normal"/>
        <w:spacing w:before="20" w:after="20"/>
        <w:ind w:hanging="320" w:left="320"/>
        <w:jc w:val="left"/>
        <w:rPr/>
      </w:pPr>
      <w:r>
        <w:rPr>
          <w:rFonts w:eastAsia="Times New Roman" w:cs="Times New Roman"/>
          <w:sz w:val="18"/>
          <w:szCs w:val="18"/>
        </w:rPr>
        <w:t>[12] P. Nystrup, H. Madsen, and E. Lindström, "Dynamic portfolio optimization across hidden market regimes," Quant. Finance, vol. 18, no. 1, pp. 83–95, 2018. DOI: 10.1080/14697688.2017.1342857</w:t>
      </w:r>
    </w:p>
    <w:sectPr>
      <w:footerReference w:type="even" r:id="rId14"/>
      <w:footerReference w:type="default" r:id="rId15"/>
      <w:footerReference w:type="first" r:id="rId16"/>
      <w:type w:val="nextPage"/>
      <w:pgSz w:w="12240" w:h="15840"/>
      <w:pgMar w:left="1440" w:right="1440" w:gutter="0" w:header="0" w:top="1440" w:footer="708" w:bottom="1440"/>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5</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8</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8</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9</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18"/>
        <w:szCs w:val="18"/>
      </w:rPr>
      <w:t xml:space="preserve">Page </w:t>
    </w: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80" w:hanging="3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8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LibreOffice/25.2.6.2$Linux_X86_64 LibreOffice_project/520$Build-2</Application>
  <AppVersion>15.0000</AppVersion>
  <Pages>9</Pages>
  <Words>3098</Words>
  <Characters>18760</Characters>
  <CharactersWithSpaces>21655</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2026-03-18T23:13:30Z</dcterms:created>
  <dc:creator>Un-named</dc:creator>
  <dc:description/>
  <dc:language>en-US</dc:language>
  <cp:lastModifiedBy/>
  <dcterms:modified xsi:type="dcterms:W3CDTF">2026-03-19T00:03:21Z</dcterms:modified>
  <cp:revision>2</cp:revision>
  <dc:subject/>
  <dc:title/>
</cp:coreProperties>
</file>