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sz w:val="28"/>
        </w:rPr>
        <w:t>Highlights</w:t>
      </w:r>
    </w:p>
    <w:p>
      <w:pPr>
        <w:spacing w:after="120" w:line="276" w:lineRule="auto"/>
        <w:ind w:left="360" w:hanging="360"/>
      </w:pPr>
      <w:r>
        <w:rPr>
          <w:rFonts w:ascii="Times New Roman" w:hAnsi="Times New Roman" w:cs="Times New Roman" w:eastAsia="Times New Roman"/>
          <w:sz w:val="24"/>
        </w:rPr>
        <w:t>• KG-EWS adds committee-rule evidence to a logistic warning score.</w:t>
      </w:r>
    </w:p>
    <w:p>
      <w:pPr>
        <w:spacing w:after="120" w:line="276" w:lineRule="auto"/>
        <w:ind w:left="360" w:hanging="360"/>
      </w:pPr>
      <w:r>
        <w:rPr>
          <w:rFonts w:ascii="Times New Roman" w:hAnsi="Times New Roman" w:cs="Times New Roman" w:eastAsia="Times New Roman"/>
          <w:sz w:val="24"/>
        </w:rPr>
        <w:t>• Validation sets the evidence weight from a five-to-one miss cost.</w:t>
      </w:r>
    </w:p>
    <w:p>
      <w:pPr>
        <w:spacing w:after="120" w:line="276" w:lineRule="auto"/>
        <w:ind w:left="360" w:hanging="360"/>
      </w:pPr>
      <w:r>
        <w:rPr>
          <w:rFonts w:ascii="Times New Roman" w:hAnsi="Times New Roman" w:cs="Times New Roman" w:eastAsia="Times New Roman"/>
          <w:sz w:val="24"/>
        </w:rPr>
        <w:t>• Across 120 cohorts the paired cost gain over logistic regression is 0.024.</w:t>
      </w:r>
    </w:p>
    <w:p>
      <w:pPr>
        <w:spacing w:after="120" w:line="276" w:lineRule="auto"/>
        <w:ind w:left="360" w:hanging="360"/>
      </w:pPr>
      <w:r>
        <w:rPr>
          <w:rFonts w:ascii="Times New Roman" w:hAnsi="Times New Roman" w:cs="Times New Roman" w:eastAsia="Times New Roman"/>
          <w:sz w:val="24"/>
        </w:rPr>
        <w:t>• That gain remains at a three-to-one cost and is lost if predicates are flipped.</w:t>
      </w:r>
    </w:p>
    <w:p>
      <w:pPr>
        <w:spacing w:after="120" w:line="276" w:lineRule="auto"/>
        <w:ind w:left="360" w:hanging="360"/>
      </w:pPr>
      <w:r>
        <w:rPr>
          <w:rFonts w:ascii="Times New Roman" w:hAnsi="Times New Roman" w:cs="Times New Roman" w:eastAsia="Times New Roman"/>
          <w:sz w:val="24"/>
        </w:rPr>
        <w:t>• Rules alone catch failures by alarming on most surviving firms.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Short communication highlights</dc:subject>
  <dc:creator>Divya Munagala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