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A founder or investor has to catch a sharp failure of capability, innovation, or runway, and still not treat every financially stressed firm as failing. This short communication presents KG-EWS, a knowledge-guided early-warning score. Eight committee rules turn digital investment, capability, team experience, runway, customer concentration, pivots, and innovation throughput into a signed evidence term. That evidence is added to the log-odds of a logistic score fit on noisy measurements of the same firm.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The cost gain is cheaper in 59 cohorts, more expensive in 28, and identical in 33. It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card that is issued is the combined score.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are still usually published apart. One produces a probability. The other produces a narrative of capability. A decision maker needs both on the same card: the committee conjunctions have to stay visible, and the alert has to be chosen by a decision cost rather than by a default classification cutoff.</w:t>
      </w:r>
    </w:p>
    <w:p>
      <w:pPr>
        <w:pStyle w:val="BodyText"/>
      </w:pPr>
      <w:r>
        <w:t xml:space="preserve">A probability from measured fields is not the same object as a rule a committee would code.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8"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A useful warning has to cut missed failures by more than the false alarms it adds.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7"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p>
      <w:pPr>
        <w:pStyle w:val="FirstParagraph"/>
      </w:pPr>
      <w:r>
        <w:t xml:space="preserve">Figure 1 is one test venture on which the score changes the warning.</w:t>
      </w:r>
    </w:p>
    <w:p>
      <w:pPr>
        <w:pStyle w:val="BodyText"/>
      </w:pPr>
      <w:r>
        <w:drawing>
          <wp:inline>
            <wp:extent cx="5334000" cy="3373571"/>
            <wp:effectExtent b="0" l="0" r="0" t="0"/>
            <wp:docPr descr="" title="" id="25" name="Picture"/>
            <a:graphic>
              <a:graphicData uri="http://schemas.openxmlformats.org/drawingml/2006/picture">
                <pic:pic>
                  <pic:nvPicPr>
                    <pic:cNvPr descr="fig1_architecture.png" id="26" name="Picture"/>
                    <pic:cNvPicPr>
                      <a:picLocks noChangeArrowheads="1" noChangeAspect="1"/>
                    </pic:cNvPicPr>
                  </pic:nvPicPr>
                  <pic:blipFill>
                    <a:blip r:embed="rId24"/>
                    <a:stretch>
                      <a:fillRect/>
                    </a:stretch>
                  </pic:blipFill>
                  <pic:spPr bwMode="auto">
                    <a:xfrm>
                      <a:off x="0" y="0"/>
                      <a:ext cx="5334000" cy="3373571"/>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One rule-triggered test failure. R1, R2, R3, and R7 fire. Logistic probability 0.118, gradient boosting 0.016, rules alone 0.971, KG-EWS 0.999.</w:t>
      </w:r>
    </w:p>
    <w:bookmarkEnd w:id="27"/>
    <w:bookmarkEnd w:id="28"/>
    <w:bookmarkStart w:id="29"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9"/>
    <w:bookmarkStart w:id="33"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2a reports the paired difference inside each cohort rather than the two means side by side. Figure 2b is the trade that produces the cost: missed rule-triggered failures against false alarms among surviving firms.</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2546271"/>
            <wp:effectExtent b="0" l="0" r="0" t="0"/>
            <wp:docPr descr="" title="" id="31" name="Picture"/>
            <a:graphic>
              <a:graphicData uri="http://schemas.openxmlformats.org/drawingml/2006/picture">
                <pic:pic>
                  <pic:nvPicPr>
                    <pic:cNvPr descr="fig2_results.png" id="32" name="Picture"/>
                    <pic:cNvPicPr>
                      <a:picLocks noChangeArrowheads="1" noChangeAspect="1"/>
                    </pic:cNvPicPr>
                  </pic:nvPicPr>
                  <pic:blipFill>
                    <a:blip r:embed="rId30"/>
                    <a:stretch>
                      <a:fillRect/>
                    </a:stretch>
                  </pic:blipFill>
                  <pic:spPr bwMode="auto">
                    <a:xfrm>
                      <a:off x="0" y="0"/>
                      <a:ext cx="5334000" cy="2546271"/>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(a) Mean paired reduction in decision cost, baseline minus KG-EWS, with a 95% t interval across 120 cohorts. A bar above the zero line favors KG-EWS. (b) Missed rule-triggered failures and false alarms among surviving firms, at the validation threshold.</w:t>
      </w:r>
    </w:p>
    <w:p>
      <w:pPr>
        <w:pStyle w:val="BodyText"/>
      </w:pPr>
      <w:r>
        <w:t xml:space="preserve">KG-EWS is the only score in Table 1 that leads on both AUC and decision cost. The separate 95% intervals for mean cost nearly touch, so the claim rests on the paired comparison in Figure 2a and Table 2. The logistic interval in Figure 2a lies above zero.</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card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Logistic regression already fits the additive part of Eq. (4). The rules add the conjunctions that survive measurement noise. An AUC lift of 0.022 and a cost lift of 0.024 is the right size of claim for that addition.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Figure 1 is one test venture from the same protocol. It is the test case, among firms with λ &gt; 0, with the largest lift of the KG-EWS probability over the logistic probability. R1, R2, R3, and R7 fire together: digital investment without capability, without innovation throughput, and without a digital team. Logistic regression scores the firm at 0.118 and gradient boosting at 0.016. The rule score is 0.971. KG-EWS scores it at 0.999. The card names the four rules. That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For a founder or investor the practical reading is limited and specific. Under a 5:1 preference, and when the committee codes the antecedents correctly, the card lowers decision cost by a small paired amount and says which rules fired. It still alerts on about half of surviving firms, because that is what Eq. (1) buys. It is not a screen that stays quiet. It is not evidence that digital strategy, taken from survey studies [15–17], predicts failure in the field.</w:t>
      </w:r>
    </w:p>
    <w:bookmarkEnd w:id="33"/>
    <w:bookmarkStart w:id="34"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4"/>
    <w:bookmarkStart w:id="35" w:name="conclusion"/>
    <w:p>
      <w:pPr>
        <w:pStyle w:val="Heading2"/>
      </w:pPr>
      <w:r>
        <w:t xml:space="preserve">6. Conclusion</w:t>
      </w:r>
    </w:p>
    <w:p>
      <w:pPr>
        <w:pStyle w:val="FirstParagraph"/>
      </w:pPr>
      <w:r>
        <w:t xml:space="preserve">KG-EWS is a warning card for digital-transformation failure in entrepreneurial firms.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5"/>
    <w:bookmarkStart w:id="36"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both figures. The primary seeds are 9000 through 9119. The stress seeds are 12000 through 12059. The program and the cohort table are in the public repository https://github.com/divzmunagala03-tech/Dba. No external data file is required.</w:t>
      </w:r>
    </w:p>
    <w:bookmarkEnd w:id="36"/>
    <w:bookmarkStart w:id="37"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7"/>
    <w:bookmarkStart w:id="3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8"/>
    <w:bookmarkStart w:id="39"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9"/>
    <w:bookmarkStart w:id="40"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40"/>
    <w:bookmarkStart w:id="41"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2026-10-24T18:42:20Z</dcterms:created>
  <dcterms:modified xsi:type="dcterms:W3CDTF">2026-10-24T18:42:20Z</dcterms:modified>
</cp:coreProperties>
</file>

<file path=docProps/custom.xml><?xml version="1.0" encoding="utf-8"?>
<Properties xmlns="http://schemas.openxmlformats.org/officeDocument/2006/custom-properties" xmlns:vt="http://schemas.openxmlformats.org/officeDocument/2006/docPropsVTypes"/>
</file>