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The warning has to catch a conjunction a committee can name, and the alert has to be chosen by a stated cost. This short communication presents KG-EWS, a knowledge-guided early-warning score. Eight committee rules turn the operational state into a signed evidence term and add it to the log-odds of a logistic score fit on noisy measurements.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KG-EWS is cheaper in 59 cohorts, more expensive in 28, and identical in 33. The gain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issued warning is the combined score and the names of the rules that fired.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still answer different questions. Distress research returns a probability for a firm that may fail [1–6]. Transformation research returns an account of capability, orientation, and strategy [7–18]. The decision a founder or investor has to make needs both ingredients in one score: the conjunctions a committee would actually code, kept visible, and an alert chosen by a decision cost rather than by a default classification cutoff.</w:t>
      </w:r>
    </w:p>
    <w:p>
      <w:pPr>
        <w:pStyle w:val="BodyText"/>
      </w:pPr>
      <w:r>
        <w:t xml:space="preserve">A probability from measured fields is not the same object as a rule a committee would code. The difference is sharp when failure is a conjunction. Digital investment can be high while capability, innovation, and team experience are low, and a noisy linear score can still assign that firm a modest probability.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 The warning returned by the program is a probability together with the names of the rules that fired, which is the part a committee can contest.</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1"/>
    <w:bookmarkStart w:id="25" w:name="kg-ews"/>
    <w:p>
      <w:pPr>
        <w:pStyle w:val="Heading2"/>
      </w:pPr>
      <w:r>
        <w:t xml:space="preserve">2. KG-EWS</w:t>
      </w:r>
    </w:p>
    <w:bookmarkStart w:id="22"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Under Eq. (1), one avoided miss offsets as many as five added false alarms, so a policy can lower J while still warning on a large share of survivors.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3"/>
    <w:bookmarkStart w:id="24"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w:t>
      </w:r>
    </w:p>
    <w:p>
      <w:pPr>
        <w:numPr>
          <w:ilvl w:val="0"/>
          <w:numId w:val="1002"/>
        </w:numPr>
        <w:pStyle w:val="Compact"/>
      </w:pPr>
      <w:r>
        <w:t xml:space="preserve">Freeze that λ and its τ.</w:t>
      </w:r>
    </w:p>
    <w:p>
      <w:pPr>
        <w:numPr>
          <w:ilvl w:val="0"/>
          <w:numId w:val="1002"/>
        </w:numPr>
        <w:pStyle w:val="Compact"/>
      </w:pPr>
      <w:r>
        <w:t xml:space="preserve">Return s and the alerts on the test slice, together with the identities of the rules that fired.</w:t>
      </w:r>
    </w:p>
    <w:bookmarkEnd w:id="24"/>
    <w:bookmarkEnd w:id="25"/>
    <w:bookmarkStart w:id="26"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26"/>
    <w:bookmarkStart w:id="30"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1 reports the paired difference inside each cohort rather than the two means side by side. The trade that produces the cost, missed rule-triggered failures against false alarms among surviving firms, is in Table 1.</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5334000" cy="3640666"/>
            <wp:effectExtent b="0" l="0" r="0" t="0"/>
            <wp:docPr descr="" title="" id="28" name="Picture"/>
            <a:graphic>
              <a:graphicData uri="http://schemas.openxmlformats.org/drawingml/2006/picture">
                <pic:pic>
                  <pic:nvPicPr>
                    <pic:cNvPr descr="fig1_results.png" id="29" name="Picture"/>
                    <pic:cNvPicPr>
                      <a:picLocks noChangeArrowheads="1" noChangeAspect="1"/>
                    </pic:cNvPicPr>
                  </pic:nvPicPr>
                  <pic:blipFill>
                    <a:blip r:embed="rId27"/>
                    <a:stretch>
                      <a:fillRect/>
                    </a:stretch>
                  </pic:blipFill>
                  <pic:spPr bwMode="auto">
                    <a:xfrm>
                      <a:off x="0" y="0"/>
                      <a:ext cx="5334000" cy="3640666"/>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Mean paired reduction in decision cost, baseline minus KG-EWS, with a 95% t interval across 120 cohorts. A bar above the zero line favors KG-EWS.</w:t>
      </w:r>
    </w:p>
    <w:p>
      <w:pPr>
        <w:pStyle w:val="BodyText"/>
      </w:pPr>
      <w:r>
        <w:t xml:space="preserve">KG-EWS is the only score in Table 1 that leads on both AUC and decision cost. The claim rests on the paired comparison in Figure 1 and Table 2, because the separate intervals for mean cost nearly touch. The interval for the comparison with logistic regression lies above zero. That reduction of 0.024 is the gain the design was built to detect. Logistic regression already fits the additive part of Eq. (4). The rules add the conjunctions that measurement noise obscures. The larger reductions in Figure 1, 0.035 against the knowledge base and 0.077 against gradient boosting, are mostly gaps between a suitable instrument and a weaker one.</w:t>
      </w:r>
    </w:p>
    <w:p>
      <w:pPr>
        <w:pStyle w:val="BodyText"/>
      </w:pPr>
      <w:r>
        <w:t xml:space="preserve">The knowledge base is not a competing operating point. Case-based reasoning has already been used for financial-distress prediction in this knowledge-based line [26]. Listed-company distress scores have also been merged with rough sets and Dempster–Shafer evidence, and that combination was reported to beat a single classifier [27]. KG-EWS does not fuse several statistical classifiers. It adds one block of committee-rule evidence to one logistic score.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One test venture shows what that shift does to a firm the additive score under-calls. The program keeps a case only in a cohort with λ &gt; 0, and only among failed, rule-triggered firms whose KG-EWS probability exceeds the logistic probability by at least 0.08. Across those candidates, the stored case is the largest such lift. R1, R2, R3, and R7 fire together. Their evidence weights sum to 3.40: digital investment without capability, without innovation throughput, and without a digital team. The noisy measurements do not display those conjunctions, so logistic regression scores the firm at 0.118 and gradient boosting at 0.016. The rule score, which sees the antecedents, is 0.971. KG-EWS scores the firm at 0.999 and returns the four rule names with the probability. That named list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warning that can be argued in words. It is not, on these cohorts, the larger share of the predictive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p>
      <w:pPr>
        <w:pStyle w:val="BodyText"/>
      </w:pPr>
      <w:r>
        <w:t xml:space="preserve">The gain over logistic regression is the small one, and it is the gain that matters. An AUC lift of 0.022 and a cost lift of 0.024 is the right size of claim for adding those conjunctions.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Bankruptcy models for listed firms have been ranked by the financial cost of failure and by jobs lost, and the preferred model changes with that metric [28]. The weight in Eq. (1) is narrower. It is a fixed five-to-one charge on a missed failure against a false alarm, stated in advance and not estimated from those costs. 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For a founder or investor the practical reading is limited and specific. Under a 5:1 preference, and when the committee codes the antecedents correctly, the warning lowers decision cost by a small paired amount and says which rules fired. It still alerts on 53.6% of surviving firms, because that is what Eq. (1) buys. Survey studies of digital strategy [15–17] describe the setting in which a committee would argue. They do not supply this alert, and this benchmark does not show that those survey measures predict failure in the field.</w:t>
      </w:r>
    </w:p>
    <w:bookmarkEnd w:id="30"/>
    <w:bookmarkStart w:id="31"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Dynamic distress models for listed companies reweight older financial statements when the failure process drifts [29]. A firm here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1"/>
    <w:bookmarkStart w:id="32" w:name="conclusion"/>
    <w:p>
      <w:pPr>
        <w:pStyle w:val="Heading2"/>
      </w:pPr>
      <w:r>
        <w:t xml:space="preserve">6. Conclusion</w:t>
      </w:r>
    </w:p>
    <w:p>
      <w:pPr>
        <w:pStyle w:val="FirstParagraph"/>
      </w:pPr>
      <w:r>
        <w:t xml:space="preserve">KG-EWS is a cost-chosen warning for digital-transformation failure in entrepreneurial firms. The warning a committee can use has two parts: a probability, and the names of the rules that fired.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2"/>
    <w:bookmarkStart w:id="33"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the figure. The primary seeds are 9000 through 9119. The stress seeds are 12000 through 12059. The program and the cohort table are in the public repository https://github.com/divzmunagala03-tech/Dba. No external data file is required.</w:t>
      </w:r>
    </w:p>
    <w:bookmarkEnd w:id="33"/>
    <w:bookmarkStart w:id="34"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4"/>
    <w:bookmarkStart w:id="35"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5"/>
    <w:bookmarkStart w:id="36"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6"/>
    <w:bookmarkStart w:id="37"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37"/>
    <w:bookmarkStart w:id="38" w:name="references"/>
    <w:p>
      <w:pPr>
        <w:pStyle w:val="Heading2"/>
      </w:pPr>
      <w:r>
        <w:t xml:space="preserve">References</w:t>
      </w:r>
    </w:p>
    <w:p>
      <w:pPr>
        <w:pStyle w:val="FirstParagraph"/>
      </w:pPr>
      <w:r>
        <w:t xml:space="preserve">[1] Altman, E. I. (1968). Financial ratios, discriminant analysis and the prediction of corporate bankruptcy. The Journal of Finance, 23(4), 589–609. https://doi.org/10.2307/2978933</w:t>
      </w:r>
    </w:p>
    <w:p>
      <w:pPr>
        <w:pStyle w:val="BodyText"/>
      </w:pPr>
      <w:r>
        <w:t xml:space="preserve">[2] Barboza, F., Kimura, H., &amp; Altman, E. (2017). Machine learning models and bankruptcy prediction. Expert Systems with Applications, 83, 405–417. https://doi.org/10.1016/j.eswa.2017.04.006</w:t>
      </w:r>
    </w:p>
    <w:p>
      <w:pPr>
        <w:pStyle w:val="BodyText"/>
      </w:pPr>
      <w: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pPr>
      <w: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pPr>
      <w:r>
        <w:t xml:space="preserve">[5] Li, S., &amp; Wang, S. (2014). A financial early warning logit model and its efficiency verification approach. Knowledge-Based Systems, 70, 78–87. https://doi.org/10.1016/j.knosys.2014.03.017</w:t>
      </w:r>
    </w:p>
    <w:p>
      <w:pPr>
        <w:pStyle w:val="BodyText"/>
      </w:pPr>
      <w:r>
        <w:t xml:space="preserve">[6] Perboli, G., &amp; Arabnezhad, E. (2021). A machine learning-based DSS for mid and long-term company crisis prediction. Expert Systems with Applications, 174, 114758. https://doi.org/10.1016/j.eswa.2021.114758</w:t>
      </w:r>
    </w:p>
    <w:p>
      <w:pPr>
        <w:pStyle w:val="BodyText"/>
      </w:pPr>
      <w:r>
        <w:t xml:space="preserve">[7] Vial, G. (2019). Understanding digital transformation: A review and a research agenda. The Journal of Strategic Information Systems, 28(2), 118–144. https://doi.org/10.1016/j.jsis.2019.01.003</w:t>
      </w:r>
    </w:p>
    <w:p>
      <w:pPr>
        <w:pStyle w:val="BodyText"/>
      </w:pPr>
      <w:r>
        <w:t xml:space="preserve">[8] Warner, K. S. R., &amp; Wäger, M. (2019). Building dynamic capabilities for digital transformation: An ongoing process of strategic renewal. Long Range Planning, 52(3), 326–349. https://doi.org/10.1016/j.lrp.2018.12.001</w:t>
      </w:r>
    </w:p>
    <w:p>
      <w:pPr>
        <w:pStyle w:val="BodyText"/>
      </w:pPr>
      <w: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pPr>
      <w:r>
        <w:t xml:space="preserve">[11] Nambisan, S. (2017). Digital entrepreneurship: Toward a digital technology perspective of entrepreneurship. Entrepreneurship Theory and Practice, 41(6), 1029–1055. https://doi.org/10.1111/etap.12254</w:t>
      </w:r>
    </w:p>
    <w:p>
      <w:pPr>
        <w:pStyle w:val="BodyText"/>
      </w:pPr>
      <w:r>
        <w:t xml:space="preserve">[12] Nambisan, S., Wright, M., &amp; Feldman, M. (2019). The digital transformation of innovation and entrepreneurship: Progress, challenges and key themes. Research Policy, 48(8), 103773. https://doi.org/10.1016/j.respol.2019.03.018</w:t>
      </w:r>
    </w:p>
    <w:p>
      <w:pPr>
        <w:pStyle w:val="BodyText"/>
      </w:pPr>
      <w:r>
        <w:t xml:space="preserve">[13] Teece, D. J. (2007). Explicating dynamic capabilities: The nature and microfoundations of (sustainable) enterprise performance. Strategic Management Journal, 28(13), 1319–1350. https://doi.org/10.1002/smj.640</w:t>
      </w:r>
    </w:p>
    <w:p>
      <w:pPr>
        <w:pStyle w:val="BodyText"/>
      </w:pPr>
      <w: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pPr>
      <w: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pPr>
      <w:r>
        <w:t xml:space="preserve">[16] Wang, H., &amp; Wu, W. (2024). The effects of digital technology strategy configurations on new venture performance. IEEE Transactions on Engineering Management, 71, 5470–5486. https://doi.org/10.1109/TEM.2024.3363625</w:t>
      </w:r>
    </w:p>
    <w:p>
      <w:pPr>
        <w:pStyle w:val="BodyText"/>
      </w:pPr>
      <w: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pPr>
      <w:r>
        <w:t xml:space="preserve">[18] Gao, P., Wu, W., &amp; Yang, Y. (2022). Discovering themes and trends in digital transformation and innovation research. Journal of Theoretical and Applied Electronic Commerce Research, 17(3), 1162–1184. https://doi.org/10.3390/jtaer17030059</w:t>
      </w:r>
    </w:p>
    <w:p>
      <w:pPr>
        <w:pStyle w:val="BodyText"/>
      </w:pPr>
      <w:r>
        <w:t xml:space="preserve">[19] Chen, H., Chiang, R. H. L., &amp; Storey, V. C. (2012). Business intelligence and analytics: From big data to big impact. MIS Quarterly, 36(4), 1165–1188. https://doi.org/10.2307/41703503</w:t>
      </w:r>
    </w:p>
    <w:p>
      <w:pPr>
        <w:pStyle w:val="BodyText"/>
      </w:pPr>
      <w:r>
        <w:t xml:space="preserve">[20] Shortliffe, E. H., &amp; Buchanan, B. G. (1975). A model of inexact reasoning in medicine. Mathematical Biosciences, 23(3–4), 351–379. https://doi.org/10.1016/0025-5564(75)90047-4</w:t>
      </w:r>
    </w:p>
    <w:p>
      <w:pPr>
        <w:pStyle w:val="BodyText"/>
      </w:pPr>
      <w:r>
        <w:t xml:space="preserve">[21] Hosaka, T. (2019). Bankruptcy prediction using imaged financial ratios and convolutional neural networks. Expert Systems with Applications, 117, 287–299. https://doi.org/10.1016/j.eswa.2018.09.039</w:t>
      </w:r>
    </w:p>
    <w:p>
      <w:pPr>
        <w:pStyle w:val="BodyText"/>
      </w:pPr>
      <w:r>
        <w:t xml:space="preserve">[22] Mai, F., Tian, S., Lee, C., &amp; Ma, L. (2019). Deep learning models for bankruptcy prediction using textual disclosures. European Journal of Operational Research, 274(2), 743–758. https://doi.org/10.1016/j.ejor.2018.10.024</w:t>
      </w:r>
    </w:p>
    <w:p>
      <w:pPr>
        <w:pStyle w:val="BodyText"/>
      </w:pPr>
      <w:r>
        <w:t xml:space="preserve">[23] Liang, D., Tsai, C.-F., &amp; Wu, H.-T. (2015). The effect of feature selection on financial distress prediction. Knowledge-Based Systems, 73, 289–297. https://doi.org/10.1016/j.knosys.2014.10.010</w:t>
      </w:r>
    </w:p>
    <w:p>
      <w:pPr>
        <w:pStyle w:val="BodyText"/>
      </w:pPr>
      <w:r>
        <w:t xml:space="preserve">[24] Friedman, J. H. (2001). Greedy function approximation: A gradient boosting machine. The Annals of Statistics, 29(5), 1189–1232. https://doi.org/10.1214/aos/1013203451</w:t>
      </w:r>
    </w:p>
    <w:p>
      <w:pPr>
        <w:pStyle w:val="BodyText"/>
      </w:pPr>
      <w:r>
        <w:t xml:space="preserve">[25] Wilcoxon, F. (1945). Individual comparisons by ranking methods. Biometrics Bulletin, 1(6), 80–83. https://doi.org/10.2307/3001968</w:t>
      </w:r>
    </w:p>
    <w:p>
      <w:pPr>
        <w:pStyle w:val="BodyText"/>
      </w:pPr>
      <w:r>
        <w:t xml:space="preserve">[26] Li, H., &amp; Sun, J. (2008). Ranking-order case-based reasoning for financial distress prediction. Knowledge-Based Systems, 21(8), 868–878. https://doi.org/10.1016/j.knosys.2008.03.047</w:t>
      </w:r>
    </w:p>
    <w:p>
      <w:pPr>
        <w:pStyle w:val="BodyText"/>
      </w:pPr>
      <w: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pPr>
      <w:r>
        <w:t xml:space="preserve">[28] Radovanovic, J., &amp; Haas, C. (2023). The evaluation of bankruptcy prediction models based on socio-economic costs. Expert Systems with Applications, 227, 120275. https://doi.org/10.1016/j.eswa.2023.120275</w:t>
      </w:r>
    </w:p>
    <w:p>
      <w:pPr>
        <w:pStyle w:val="BodyText"/>
      </w:pPr>
      <w: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2026-10-24T19:09:57Z</dcterms:created>
  <dcterms:modified xsi:type="dcterms:W3CDTF">2026-10-24T19:09:57Z</dcterms:modified>
</cp:coreProperties>
</file>

<file path=docProps/custom.xml><?xml version="1.0" encoding="utf-8"?>
<Properties xmlns="http://schemas.openxmlformats.org/officeDocument/2006/custom-properties" xmlns:vt="http://schemas.openxmlformats.org/officeDocument/2006/docPropsVTypes"/>
</file>