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Svarupa</w:t>
      </w:r>
      <w:r>
        <w:t xml:space="preserve"> </w:t>
      </w:r>
      <w:r>
        <w:t xml:space="preserve">Mobile</w:t>
      </w:r>
      <w:r>
        <w:t xml:space="preserve"> </w:t>
      </w:r>
      <w:r>
        <w:t xml:space="preserve">App</w:t>
      </w:r>
      <w:r>
        <w:t xml:space="preserve"> </w:t>
      </w:r>
      <w:r>
        <w:t xml:space="preserve">—</w:t>
      </w:r>
      <w:r>
        <w:t xml:space="preserve"> </w:t>
      </w:r>
      <w:r>
        <w:t xml:space="preserve">KUER</w:t>
      </w:r>
      <w:r>
        <w:t xml:space="preserve"> </w:t>
      </w:r>
      <w:r>
        <w:t xml:space="preserve">Content</w:t>
      </w:r>
      <w:r>
        <w:t xml:space="preserve"> </w:t>
      </w:r>
      <w:r>
        <w:t xml:space="preserve">Delivery</w:t>
      </w:r>
      <w:r>
        <w:t xml:space="preserve"> </w:t>
      </w:r>
      <w:r>
        <w:t xml:space="preserve">Strategy</w:t>
      </w:r>
    </w:p>
    <w:p>
      <w:pPr>
        <w:pStyle w:val="Subtitle"/>
      </w:pPr>
      <w:r>
        <w:t xml:space="preserve">Media</w:t>
      </w:r>
      <w:r>
        <w:t xml:space="preserve"> </w:t>
      </w:r>
      <w:r>
        <w:t xml:space="preserve">Formats,</w:t>
      </w:r>
      <w:r>
        <w:t xml:space="preserve"> </w:t>
      </w:r>
      <w:r>
        <w:t xml:space="preserve">Presentation,</w:t>
      </w:r>
      <w:r>
        <w:t xml:space="preserve"> </w:t>
      </w:r>
      <w:r>
        <w:t xml:space="preserve">and</w:t>
      </w:r>
      <w:r>
        <w:t xml:space="preserve"> </w:t>
      </w:r>
      <w:r>
        <w:t xml:space="preserve">Mobile-First</w:t>
      </w:r>
      <w:r>
        <w:t xml:space="preserve"> </w:t>
      </w:r>
      <w:r>
        <w:t xml:space="preserve">Design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Framework</w:t>
      </w:r>
    </w:p>
    <w:p>
      <w:pPr>
        <w:pStyle w:val="Author"/>
      </w:pPr>
      <w:r>
        <w:t xml:space="preserve">Svarupa</w:t>
      </w:r>
      <w:r>
        <w:t xml:space="preserve"> </w:t>
      </w:r>
      <w:r>
        <w:t xml:space="preserve">Product</w:t>
      </w:r>
      <w:r>
        <w:t xml:space="preserve"> </w:t>
      </w:r>
      <w:r>
        <w:t xml:space="preserve">&amp;</w:t>
      </w:r>
      <w:r>
        <w:t xml:space="preserve"> </w:t>
      </w:r>
      <w:r>
        <w:t xml:space="preserve">Content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2.0</w:t>
      </w:r>
      <w:r>
        <w:t xml:space="preserve"> </w:t>
      </w:r>
      <w:r>
        <w:t xml:space="preserve">·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  <w:r>
        <w:t xml:space="preserve"> </w:t>
      </w:r>
      <w:r>
        <w:t xml:space="preserve">(updated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31-Dimension</w:t>
      </w:r>
      <w:r>
        <w:t xml:space="preserve"> </w:t>
      </w:r>
      <w:r>
        <w:t xml:space="preserve">architecture)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changed-in-this-update"/>
      <w:r>
        <w:t xml:space="preserve">0. What Changed in This Update</w:t>
      </w:r>
      <w:bookmarkEnd w:id="20"/>
    </w:p>
    <w:p>
      <w:pPr>
        <w:pStyle w:val="FirstParagraph"/>
      </w:pPr>
      <w:r>
        <w:t xml:space="preserve">This version realigns the KUER content strategy to the next-generation architecture:</w:t>
      </w:r>
    </w:p>
    <w:p>
      <w:pPr>
        <w:numPr>
          <w:ilvl w:val="0"/>
          <w:numId w:val="1001"/>
        </w:numPr>
        <w:pStyle w:val="Compact"/>
      </w:pPr>
      <w:r>
        <w:t xml:space="preserve">The framework is now the</w:t>
      </w:r>
      <w:r>
        <w:t xml:space="preserve"> </w:t>
      </w:r>
      <w:r>
        <w:rPr>
          <w:b/>
        </w:rPr>
        <w:t xml:space="preserve">31-Dimension Framework</w:t>
      </w:r>
      <w:r>
        <w:t xml:space="preserve"> </w:t>
      </w:r>
      <w:r>
        <w:t xml:space="preserve">(30 documented dimensions organized into seven families, with a reserved D31), replacing the earlier 18-dimension model.</w:t>
      </w:r>
    </w:p>
    <w:p>
      <w:pPr>
        <w:numPr>
          <w:ilvl w:val="0"/>
          <w:numId w:val="1001"/>
        </w:numPr>
        <w:pStyle w:val="Compact"/>
      </w:pPr>
      <w:r>
        <w:t xml:space="preserve">Content is now driven by a</w:t>
      </w:r>
      <w:r>
        <w:t xml:space="preserve"> </w:t>
      </w:r>
      <w:r>
        <w:rPr>
          <w:b/>
        </w:rPr>
        <w:t xml:space="preserve">seven-layer analytical ensemble</w:t>
      </w:r>
      <w:r>
        <w:t xml:space="preserve"> </w:t>
      </w:r>
      <w:r>
        <w:t xml:space="preserve">(Multi-Axis Affect, Phenomenological, Psycholinguistic, Metaphor, Narrative Arc, LLM Chain-of-Thought, Semantic Resonance) that produces a</w:t>
      </w:r>
      <w:r>
        <w:t xml:space="preserve"> </w:t>
      </w:r>
      <w:r>
        <w:rPr>
          <w:b/>
        </w:rPr>
        <w:t xml:space="preserve">multi-perspective</w:t>
      </w:r>
      <w:r>
        <w:t xml:space="preserve"> </w:t>
      </w:r>
      <w:r>
        <w:t xml:space="preserve">reading, not a single label.</w:t>
      </w:r>
    </w:p>
    <w:p>
      <w:pPr>
        <w:numPr>
          <w:ilvl w:val="0"/>
          <w:numId w:val="1001"/>
        </w:numPr>
        <w:pStyle w:val="Compact"/>
      </w:pPr>
      <w:r>
        <w:t xml:space="preserve">Insight Cards now carry</w:t>
      </w:r>
      <w:r>
        <w:t xml:space="preserve"> </w:t>
      </w:r>
      <w:r>
        <w:rPr>
          <w:b/>
        </w:rPr>
        <w:t xml:space="preserve">recognition language with explicit process-confidence and tensions</w:t>
      </w:r>
      <w:r>
        <w:t xml:space="preserve"> </w:t>
      </w:r>
      <w:r>
        <w:t xml:space="preserve">— never verdicts — consistent with the canonical mapping rules (Technical Specification §22).</w:t>
      </w:r>
    </w:p>
    <w:p>
      <w:pPr>
        <w:numPr>
          <w:ilvl w:val="0"/>
          <w:numId w:val="1001"/>
        </w:numPr>
        <w:pStyle w:val="Compact"/>
      </w:pPr>
      <w:r>
        <w:t xml:space="preserve">The strategy adds</w:t>
      </w:r>
      <w:r>
        <w:t xml:space="preserve"> </w:t>
      </w:r>
      <w:r>
        <w:rPr>
          <w:b/>
        </w:rPr>
        <w:t xml:space="preserve">positioning, business-value, and competitive-differentiation</w:t>
      </w:r>
      <w:r>
        <w:t xml:space="preserve"> </w:t>
      </w:r>
      <w:r>
        <w:t xml:space="preserve">framing for the evolved product.</w:t>
      </w:r>
    </w:p>
    <w:p>
      <w:pPr>
        <w:pStyle w:val="Heading1"/>
      </w:pPr>
      <w:bookmarkStart w:id="21" w:name="product-positioning-vision"/>
      <w:r>
        <w:t xml:space="preserve">1. Product Positioning &amp; Vision</w:t>
      </w:r>
      <w:bookmarkEnd w:id="21"/>
    </w:p>
    <w:p>
      <w:pPr>
        <w:pStyle w:val="FirstParagraph"/>
      </w:pPr>
      <w:r>
        <w:rPr>
          <w:b/>
        </w:rPr>
        <w:t xml:space="preserve">Vision.</w:t>
      </w:r>
      <w:r>
        <w:t xml:space="preserve"> </w:t>
      </w:r>
      <w:r>
        <w:t xml:space="preserve">Svarupa helps a person recognize their own essential nature —</w:t>
      </w:r>
      <w:r>
        <w:t xml:space="preserve"> </w:t>
      </w:r>
      <w:r>
        <w:rPr>
          <w:i/>
        </w:rPr>
        <w:t xml:space="preserve">svarūpa</w:t>
      </w:r>
      <w:r>
        <w:t xml:space="preserve"> </w:t>
      </w:r>
      <w:r>
        <w:t xml:space="preserve">— through many complementary perspectives drawn from Indian wisdom traditions, delivered on mobile in a way that deepens rather than hijacks attention. It does not diagnose, score, or prescribe; it offers lenses the user tests against their own lived experience.</w:t>
      </w:r>
    </w:p>
    <w:p>
      <w:pPr>
        <w:pStyle w:val="BodyText"/>
      </w:pPr>
      <w:r>
        <w:rPr>
          <w:b/>
        </w:rPr>
        <w:t xml:space="preserve">Positioning.</w:t>
      </w:r>
      <w:r>
        <w:t xml:space="preserve"> </w:t>
      </w:r>
      <w:r>
        <w:t xml:space="preserve">Where personality apps (Myers-Briggs, Enneagram, astrology apps) sell a</w:t>
      </w:r>
      <w:r>
        <w:t xml:space="preserve"> </w:t>
      </w:r>
      <w:r>
        <w:rPr>
          <w:i/>
        </w:rPr>
        <w:t xml:space="preserve">fixed label</w:t>
      </w:r>
      <w:r>
        <w:t xml:space="preserve">, Svarupa offers</w:t>
      </w:r>
      <w:r>
        <w:t xml:space="preserve"> </w:t>
      </w:r>
      <w:r>
        <w:rPr>
          <w:i/>
        </w:rPr>
        <w:t xml:space="preserve">living recognition</w:t>
      </w:r>
      <w:r>
        <w:t xml:space="preserve">: multiple, sometimes tension-filled perspectives that respect human complexity. Where mainstream wellness apps optimize for streaks and session counts, Svarupa optimizes for genuine insight and is explicitly</w:t>
      </w:r>
      <w:r>
        <w:t xml:space="preserve"> </w:t>
      </w:r>
      <w:r>
        <w:rPr>
          <w:b/>
        </w:rPr>
        <w:t xml:space="preserve">anti-addictive</w:t>
      </w:r>
      <w:r>
        <w:t xml:space="preserve">. The product’s defensible difference is the combination of (a) a rigorously engineered 31-dimension, seven-layer analytical core, (b) the KUER progression that matches media to cognitive stage, and (c) a hard philosophical commitment to recognition-over-diagnosis that competitors cannot easily copy without rebuilding their incentive model.</w:t>
      </w:r>
    </w:p>
    <w:p>
      <w:pPr>
        <w:pStyle w:val="BodyText"/>
      </w:pPr>
      <w:r>
        <w:rPr>
          <w:b/>
        </w:rPr>
        <w:t xml:space="preserve">The KUER principle (unchanged, re-grounded).</w:t>
      </w:r>
      <w:r>
        <w:t xml:space="preserve"> </w:t>
      </w:r>
      <w:r>
        <w:t xml:space="preserve">Each stage of</w:t>
      </w:r>
      <w:r>
        <w:t xml:space="preserve"> </w:t>
      </w:r>
      <w:r>
        <w:rPr>
          <w:b/>
        </w:rPr>
        <w:t xml:space="preserve">Knowledge → Understanding → Experience → Realization</w:t>
      </w:r>
      <w:r>
        <w:t xml:space="preserve"> </w:t>
      </w:r>
      <w:r>
        <w:t xml:space="preserve">engages a different cognitive faculty and therefore calls for a different medium. Presenting all four through the same medium (text cards) wastes the architecture. On mobile this is both constraint and opportunity: small screens force focus, and the right medium per stage turns that focus into depth.</w:t>
      </w:r>
    </w:p>
    <w:p>
      <w:pPr>
        <w:pStyle w:val="CaptionedFigure"/>
      </w:pPr>
      <w:r>
        <w:drawing>
          <wp:inline>
            <wp:extent cx="5334000" cy="436319"/>
            <wp:effectExtent b="0" l="0" r="0" t="0"/>
            <wp:docPr descr="Figure 1 — KUER content delivery, driven by the seven-layer ensemble." title="" id="1" name="Picture"/>
            <a:graphic>
              <a:graphicData uri="http://schemas.openxmlformats.org/drawingml/2006/picture">
                <pic:pic>
                  <pic:nvPicPr>
                    <pic:cNvPr descr="img/figK01_kuer_journe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KUER content delivery, driven by the seven-layer ensemble.</w:t>
      </w:r>
    </w:p>
    <w:p>
      <w:pPr>
        <w:pStyle w:val="Heading1"/>
      </w:pPr>
      <w:bookmarkStart w:id="23" w:name="how-the-architecture-feeds-content"/>
      <w:r>
        <w:t xml:space="preserve">2. How the Architecture Feeds Content</w:t>
      </w:r>
      <w:bookmarkEnd w:id="23"/>
    </w:p>
    <w:p>
      <w:pPr>
        <w:pStyle w:val="FirstParagraph"/>
      </w:pPr>
      <w:r>
        <w:t xml:space="preserve">A user shares an experience in their own words. The seven analytical layers run in parallel and the Fusion/Integration step produces a</w:t>
      </w:r>
      <w:r>
        <w:t xml:space="preserve"> </w:t>
      </w:r>
      <w:r>
        <w:rPr>
          <w:b/>
        </w:rPr>
        <w:t xml:space="preserve">multi-perspective map</w:t>
      </w:r>
      <w:r>
        <w:t xml:space="preserve">: which dimensions are implicated, with what relevance, with what process-confidence, and where perspectives are in tension. The content system consumes this map: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Relevance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dimensions become content candidates.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Process-confidence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</w:rPr>
        <w:t xml:space="preserve">how the content is phrased</w:t>
      </w:r>
      <w:r>
        <w:t xml:space="preserve"> </w:t>
      </w:r>
      <w:r>
        <w:t xml:space="preserve">— high confidence licenses</w:t>
      </w:r>
      <w:r>
        <w:t xml:space="preserve"> </w:t>
      </w:r>
      <w:r>
        <w:t xml:space="preserve">“</w:t>
      </w:r>
      <w:r>
        <w:t xml:space="preserve">you may notice…</w:t>
      </w:r>
      <w:r>
        <w:t xml:space="preserve">”</w:t>
      </w:r>
      <w:r>
        <w:t xml:space="preserve">; low confidence requires</w:t>
      </w:r>
      <w:r>
        <w:t xml:space="preserve"> </w:t>
      </w:r>
      <w:r>
        <w:t xml:space="preserve">“</w:t>
      </w:r>
      <w:r>
        <w:t xml:space="preserve">it is possible that…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Tensions</w:t>
      </w:r>
      <w:r>
        <w:t xml:space="preserve"> </w:t>
      </w:r>
      <w:r>
        <w:t xml:space="preserve">become content: two perspectives offered side by side (</w:t>
      </w:r>
      <w:r>
        <w:t xml:space="preserve">“</w:t>
      </w:r>
      <w:r>
        <w:t xml:space="preserve">one reading suggests…, another points the other way</w:t>
      </w:r>
      <w:r>
        <w:t xml:space="preserve">”</w:t>
      </w:r>
      <w:r>
        <w:t xml:space="preserve">), never resolved for the user.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KUER stage</w:t>
      </w:r>
      <w:r>
        <w:t xml:space="preserve"> </w:t>
      </w:r>
      <w:r>
        <w:t xml:space="preserve">decides the</w:t>
      </w:r>
      <w:r>
        <w:t xml:space="preserve"> </w:t>
      </w:r>
      <w:r>
        <w:rPr>
          <w:i/>
        </w:rPr>
        <w:t xml:space="preserve">medium</w:t>
      </w:r>
      <w:r>
        <w:t xml:space="preserve"> </w:t>
      </w:r>
      <w:r>
        <w:t xml:space="preserve">(below).</w:t>
      </w:r>
    </w:p>
    <w:p>
      <w:pPr>
        <w:pStyle w:val="FirstParagraph"/>
      </w:pPr>
      <w:r>
        <w:t xml:space="preserve">This is the crucial update: content is no longer a lookup against a single dimension label; it is a rendering of a multi-perspective, confidence-aware reading.</w:t>
      </w:r>
    </w:p>
    <w:p>
      <w:pPr>
        <w:pStyle w:val="Heading1"/>
      </w:pPr>
      <w:bookmarkStart w:id="24" w:name="knowledge-stage-what-is-this-pattern"/>
      <w:r>
        <w:t xml:space="preserve">3. Knowledge Stage —</w:t>
      </w:r>
      <w:r>
        <w:t xml:space="preserve"> </w:t>
      </w:r>
      <w:r>
        <w:t xml:space="preserve">“</w:t>
      </w:r>
      <w:r>
        <w:t xml:space="preserve">What is this pattern?</w:t>
      </w:r>
      <w:r>
        <w:t xml:space="preserve">”</w:t>
      </w:r>
      <w:bookmarkEnd w:id="2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introduce an implicated dimension as an observable pattern, in plain language, as an invitation.</w:t>
      </w:r>
    </w:p>
    <w:p>
      <w:pPr>
        <w:pStyle w:val="BodyText"/>
      </w:pPr>
      <w:r>
        <w:rPr>
          <w:b/>
        </w:rPr>
        <w:t xml:space="preserve">The Insight Card (primary unit).</w:t>
      </w:r>
      <w:r>
        <w:t xml:space="preserve"> </w:t>
      </w:r>
      <w:r>
        <w:t xml:space="preserve">A single-screen mobile card: a headline hook (a question/observation), the core concept in 3–4 plain sentences, an abstract visual, a one-line recognition prompt (</w:t>
      </w:r>
      <w:r>
        <w:t xml:space="preserve">“</w:t>
      </w:r>
      <w:r>
        <w:t xml:space="preserve">Does this ring true?</w:t>
      </w:r>
      <w:r>
        <w:t xml:space="preserve">”</w:t>
      </w:r>
      <w:r>
        <w:t xml:space="preserve">), and a depth trail showing where the card sits.</w:t>
      </w:r>
      <w:r>
        <w:t xml:space="preserve"> </w:t>
      </w:r>
      <w:r>
        <w:rPr>
          <w:b/>
        </w:rPr>
        <w:t xml:space="preserve">What’s new:</w:t>
      </w:r>
      <w:r>
        <w:t xml:space="preserve"> </w:t>
      </w:r>
      <w:r>
        <w:t xml:space="preserve">the card is generated from the fused reading, carries an</w:t>
      </w:r>
      <w:r>
        <w:t xml:space="preserve"> </w:t>
      </w:r>
      <w:r>
        <w:rPr>
          <w:i/>
        </w:rPr>
        <w:t xml:space="preserve">epistemic stance</w:t>
      </w:r>
      <w:r>
        <w:t xml:space="preserve"> </w:t>
      </w:r>
      <w:r>
        <w:t xml:space="preserve">(tentative / moderate / resonant / contradictory) that shapes its wording, and can show a</w:t>
      </w:r>
      <w:r>
        <w:t xml:space="preserve"> </w:t>
      </w:r>
      <w:r>
        <w:rPr>
          <w:b/>
        </w:rPr>
        <w:t xml:space="preserve">second card</w:t>
      </w:r>
      <w:r>
        <w:t xml:space="preserve"> </w:t>
      </w:r>
      <w:r>
        <w:t xml:space="preserve">when a genuine tension exists — the multi-perspective principle made visible.</w:t>
      </w:r>
    </w:p>
    <w:p>
      <w:pPr>
        <w:pStyle w:val="BodyText"/>
      </w:pPr>
      <w:r>
        <w:rPr>
          <w:b/>
        </w:rPr>
        <w:t xml:space="preserve">The Concept Thread (extended Knowledge).</w:t>
      </w:r>
      <w:r>
        <w:t xml:space="preserve"> </w:t>
      </w:r>
      <w:r>
        <w:t xml:space="preserve">A swipeable, self-contained sequence for users who want more depth at the Knowledge level — e.g. </w:t>
      </w:r>
      <w:r>
        <w:t xml:space="preserve">“</w:t>
      </w:r>
      <w:r>
        <w:t xml:space="preserve">The Three Modes of Your Inner Weather</w:t>
      </w:r>
      <w:r>
        <w:t xml:space="preserve">”</w:t>
      </w:r>
      <w:r>
        <w:t xml:space="preserve"> </w:t>
      </w:r>
      <w:r>
        <w:t xml:space="preserve">(guṇas), now able to draw on the Psycholinguistic and Affect layers to ground each card in the user’s own phrasing.</w:t>
      </w:r>
    </w:p>
    <w:p>
      <w:pPr>
        <w:pStyle w:val="BodyText"/>
      </w:pPr>
      <w:r>
        <w:rPr>
          <w:b/>
        </w:rPr>
        <w:t xml:space="preserve">Micro-video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Pattern Glimpse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(15–90 s).</w:t>
      </w:r>
      <w:r>
        <w:t xml:space="preserve"> </w:t>
      </w:r>
      <w:r>
        <w:t xml:space="preserve">Vertical, short, swipeable — borrowing the format but inverting the attention-hacking intent (calm pacing, no autoplay-next). Example dimensions: guṇas (</w:t>
      </w:r>
      <w:r>
        <w:t xml:space="preserve">“</w:t>
      </w:r>
      <w:r>
        <w:t xml:space="preserve">some mornings the world is sharp and fast… and sometimes everything feels underwater</w:t>
      </w:r>
      <w:r>
        <w:t xml:space="preserve">”</w:t>
      </w:r>
      <w:r>
        <w:t xml:space="preserve">), doṣas (</w:t>
      </w:r>
      <w:r>
        <w:t xml:space="preserve">“</w:t>
      </w:r>
      <w:r>
        <w:t xml:space="preserve">three people, same coffee, three different mornings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What’s new:</w:t>
      </w:r>
      <w:r>
        <w:t xml:space="preserve"> </w:t>
      </w:r>
      <w:r>
        <w:t xml:space="preserve">topic selection is driven by the fused relevance map, so the glimpse a user sees matches what their expression actually implicated.</w:t>
      </w:r>
    </w:p>
    <w:p>
      <w:pPr>
        <w:pStyle w:val="BodyText"/>
      </w:pPr>
      <w:r>
        <w:rPr>
          <w:b/>
        </w:rPr>
        <w:t xml:space="preserve">Comparison cards</w:t>
      </w:r>
      <w:r>
        <w:t xml:space="preserve"> </w:t>
      </w:r>
      <w:r>
        <w:t xml:space="preserve">for distinguishing poles (balance / excess / deficiency) of a dimension — now using the canonical pole vocabulary rather than the legacy status labels.</w:t>
      </w:r>
    </w:p>
    <w:p>
      <w:pPr>
        <w:pStyle w:val="Heading1"/>
      </w:pPr>
      <w:bookmarkStart w:id="25" w:name="Xc36f90350fecca095851566c5248b5198bee0d2"/>
      <w:r>
        <w:t xml:space="preserve">4. Understanding Stage —</w:t>
      </w:r>
      <w:r>
        <w:t xml:space="preserve"> </w:t>
      </w:r>
      <w:r>
        <w:t xml:space="preserve">“</w:t>
      </w:r>
      <w:r>
        <w:t xml:space="preserve">How does this show up in life?</w:t>
      </w:r>
      <w:r>
        <w:t xml:space="preserve">”</w:t>
      </w:r>
      <w:bookmarkEnd w:id="2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bridge concept and lived experience; shift from</w:t>
      </w:r>
      <w:r>
        <w:t xml:space="preserve"> </w:t>
      </w:r>
      <w:r>
        <w:t xml:space="preserve">“</w:t>
      </w:r>
      <w:r>
        <w:t xml:space="preserve">what is this?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how does this operate in</w:t>
      </w:r>
      <w:r>
        <w:t xml:space="preserve"> </w:t>
      </w:r>
      <w:r>
        <w:rPr>
          <w:i/>
        </w:rPr>
        <w:t xml:space="preserve">me</w:t>
      </w:r>
      <w:r>
        <w:t xml:space="preserve">?</w:t>
      </w:r>
      <w:r>
        <w:t xml:space="preserve">”</w:t>
      </w:r>
    </w:p>
    <w:p>
      <w:pPr>
        <w:pStyle w:val="BodyText"/>
      </w:pPr>
      <w:r>
        <w:rPr>
          <w:b/>
        </w:rPr>
        <w:t xml:space="preserve">Primary medium: narrative — audio and scenario.</w:t>
      </w:r>
      <w:r>
        <w:t xml:space="preserve"> </w:t>
      </w:r>
      <w:r>
        <w:t xml:space="preserve">Short audio episodes and written scenarios that show a dimension playing out across an ordinary day. This stage is the natural home for the</w:t>
      </w:r>
      <w:r>
        <w:t xml:space="preserve"> </w:t>
      </w:r>
      <w:r>
        <w:rPr>
          <w:b/>
        </w:rPr>
        <w:t xml:space="preserve">Narrative Arc layer’s</w:t>
      </w:r>
      <w:r>
        <w:t xml:space="preserve"> </w:t>
      </w:r>
      <w:r>
        <w:t xml:space="preserve">output: when the ensemble detects a loop (saṁskāra-cycle) or a descent/ascent arc, the Understanding content can mirror that shape back as a story the user recognizes. Scenarios are drawn from the dimension narratives (the authoritative source) and personalized in framing, never in fabricated detail.</w:t>
      </w:r>
    </w:p>
    <w:p>
      <w:pPr>
        <w:pStyle w:val="BodyText"/>
      </w:pPr>
      <w:r>
        <w:rPr>
          <w:b/>
        </w:rPr>
        <w:t xml:space="preserve">Multi-perspective scenarios.</w:t>
      </w:r>
      <w:r>
        <w:t xml:space="preserve"> </w:t>
      </w:r>
      <w:r>
        <w:t xml:space="preserve">Because the architecture preserves tension, Understanding content can present the same situation through two lenses (e.g. the restlessness as</w:t>
      </w:r>
      <w:r>
        <w:t xml:space="preserve"> </w:t>
      </w:r>
      <w:r>
        <w:t xml:space="preserve">“</w:t>
      </w:r>
      <w:r>
        <w:t xml:space="preserve">something to settle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a life asking to change</w:t>
      </w:r>
      <w:r>
        <w:t xml:space="preserve">”</w:t>
      </w:r>
      <w:r>
        <w:t xml:space="preserve">) and invite the user to feel which fits — the Understanding-stage expression of recognition-over-diagnosis.</w:t>
      </w:r>
    </w:p>
    <w:p>
      <w:pPr>
        <w:pStyle w:val="Heading1"/>
      </w:pPr>
      <w:bookmarkStart w:id="26" w:name="experience-stage-feel-it-directly"/>
      <w:r>
        <w:t xml:space="preserve">5. Experience Stage —</w:t>
      </w:r>
      <w:r>
        <w:t xml:space="preserve"> </w:t>
      </w:r>
      <w:r>
        <w:t xml:space="preserve">“</w:t>
      </w:r>
      <w:r>
        <w:t xml:space="preserve">Feel it directly</w:t>
      </w:r>
      <w:r>
        <w:t xml:space="preserve">”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move from intellectual grasp to felt, embodied experience.</w:t>
      </w:r>
    </w:p>
    <w:p>
      <w:pPr>
        <w:pStyle w:val="BodyText"/>
      </w:pPr>
      <w:r>
        <w:rPr>
          <w:b/>
        </w:rPr>
        <w:t xml:space="preserve">Primary medium: micro-practices and guided exercises.</w:t>
      </w:r>
      <w:r>
        <w:t xml:space="preserve"> </w:t>
      </w:r>
      <w:r>
        <w:t xml:space="preserve">Short, optional practices matched to what resonated — a breath practice for an Air/Vāta excess, a grounding practice for scattered phenomenology, a brief inquiry for an epistemic dimension. Practices are sourced from the practice dimensions (Aṣṭāṅga, Haṭha, Contemplative/Devotional) and gated by readiness signals so nothing is offered prematurely (no spiritual bypassing).</w:t>
      </w:r>
      <w:r>
        <w:t xml:space="preserve"> </w:t>
      </w:r>
      <w:r>
        <w:rPr>
          <w:b/>
        </w:rPr>
        <w:t xml:space="preserve">What’s new:</w:t>
      </w:r>
      <w:r>
        <w:t xml:space="preserve"> </w:t>
      </w:r>
      <w:r>
        <w:t xml:space="preserve">practice selection draws on the Phenomenological and Chain-of-Thought readings, and is always framed as an invitation with an easy opt-out.</w:t>
      </w:r>
    </w:p>
    <w:p>
      <w:pPr>
        <w:pStyle w:val="Heading1"/>
      </w:pPr>
      <w:bookmarkStart w:id="27" w:name="realization-stage-recognize-it-as-mine"/>
      <w:r>
        <w:t xml:space="preserve">6. Realization Stage —</w:t>
      </w:r>
      <w:r>
        <w:t xml:space="preserve"> </w:t>
      </w:r>
      <w:r>
        <w:t xml:space="preserve">“</w:t>
      </w:r>
      <w:r>
        <w:t xml:space="preserve">Recognize it as mine</w:t>
      </w:r>
      <w:r>
        <w:t xml:space="preserve">”</w:t>
      </w:r>
      <w:bookmarkEnd w:id="2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support the user’s own recognition over time — the heart of</w:t>
      </w:r>
      <w:r>
        <w:t xml:space="preserve"> </w:t>
      </w:r>
      <w:r>
        <w:rPr>
          <w:i/>
        </w:rPr>
        <w:t xml:space="preserve">svarūpa</w:t>
      </w:r>
      <w:r>
        <w:t xml:space="preserve">.</w:t>
      </w:r>
    </w:p>
    <w:p>
      <w:pPr>
        <w:pStyle w:val="BodyText"/>
      </w:pPr>
      <w:r>
        <w:rPr>
          <w:b/>
        </w:rPr>
        <w:t xml:space="preserve">Primary surface: the Recognition Journal.</w:t>
      </w:r>
      <w:r>
        <w:t xml:space="preserve"> </w:t>
      </w:r>
      <w:r>
        <w:t xml:space="preserve">A private space where the user marks which perspectives have resonated, in their own words, building a personal record of self-recognition —</w:t>
      </w:r>
      <w:r>
        <w:t xml:space="preserve"> </w:t>
      </w:r>
      <w:r>
        <w:rPr>
          <w:b/>
        </w:rPr>
        <w:t xml:space="preserve">with no scores, types, or progress bars</w:t>
      </w:r>
      <w:r>
        <w:t xml:space="preserve">. Over time (and only with consent), the Narrative Arc layer can gently surface possible movement (</w:t>
      </w:r>
      <w:r>
        <w:t xml:space="preserve">“</w:t>
      </w:r>
      <w:r>
        <w:t xml:space="preserve">your images have shifted from fire to water</w:t>
      </w:r>
      <w:r>
        <w:t xml:space="preserve">”</w:t>
      </w:r>
      <w:r>
        <w:t xml:space="preserve">) as a recognition cue, never as a tracked metric. This is the anti-addictive core: the reward is insight, not streaks.</w:t>
      </w:r>
    </w:p>
    <w:p>
      <w:pPr>
        <w:pStyle w:val="Heading1"/>
      </w:pPr>
      <w:bookmarkStart w:id="28" w:name="ai-capabilities-surfaced-to-the-user"/>
      <w:r>
        <w:t xml:space="preserve">7. AI Capabilities Surfaced to the User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Multi-perspective insight</w:t>
      </w:r>
      <w:r>
        <w:t xml:space="preserve"> </w:t>
      </w:r>
      <w:r>
        <w:t xml:space="preserve">from seven independent analytical methods, presented as complementary lenses.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Confidence-aware language</w:t>
      </w:r>
      <w:r>
        <w:t xml:space="preserve"> </w:t>
      </w:r>
      <w:r>
        <w:t xml:space="preserve">so the app never overclaims; uncertainty is voiced honestly.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Tension-preserving content</w:t>
      </w:r>
      <w:r>
        <w:t xml:space="preserve"> </w:t>
      </w:r>
      <w:r>
        <w:t xml:space="preserve">that respects contradiction rather than flattening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Explainability on tap</w:t>
      </w:r>
      <w:r>
        <w:t xml:space="preserve"> </w:t>
      </w:r>
      <w:r>
        <w:t xml:space="preserve">— any perspective can show the user’s own phrases that grounded it (</w:t>
      </w:r>
      <w:r>
        <w:t xml:space="preserve">“</w:t>
      </w:r>
      <w:r>
        <w:t xml:space="preserve">this is suggested by</w:t>
      </w:r>
      <w:r>
        <w:t xml:space="preserve"> </w:t>
      </w:r>
      <w:r>
        <w:t xml:space="preserve">‘</w:t>
      </w:r>
      <w:r>
        <w:t xml:space="preserve">I keep starting things</w:t>
      </w:r>
      <w:r>
        <w:t xml:space="preserve">’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Recognition, not diagnosis</w:t>
      </w:r>
      <w:r>
        <w:t xml:space="preserve"> </w:t>
      </w:r>
      <w:r>
        <w:t xml:space="preserve">— enforced end to end, including a safety layer that reframes or diverts when needed.</w:t>
      </w:r>
    </w:p>
    <w:p>
      <w:pPr>
        <w:pStyle w:val="Heading1"/>
      </w:pPr>
      <w:bookmarkStart w:id="29" w:name="X0b71d8652dd18a1d7e160ba5619c5f7b2ec1ec0"/>
      <w:r>
        <w:t xml:space="preserve">8. Business Value &amp; Competitive Differentiation</w:t>
      </w:r>
      <w:bookmarkEnd w:id="29"/>
    </w:p>
    <w:p>
      <w:pPr>
        <w:pStyle w:val="FirstParagraph"/>
      </w:pPr>
      <w:r>
        <w:rPr>
          <w:b/>
        </w:rPr>
        <w:t xml:space="preserve">Business value.</w:t>
      </w:r>
      <w:r>
        <w:t xml:space="preserve"> </w:t>
      </w:r>
      <w:r>
        <w:t xml:space="preserve">The KUER progression creates a</w:t>
      </w:r>
      <w:r>
        <w:t xml:space="preserve"> </w:t>
      </w:r>
      <w:r>
        <w:rPr>
          <w:i/>
        </w:rPr>
        <w:t xml:space="preserve">depth ladder</w:t>
      </w:r>
      <w:r>
        <w:t xml:space="preserve"> </w:t>
      </w:r>
      <w:r>
        <w:t xml:space="preserve">that sustains engagement through value rather than compulsion, supporting durable retention and word-of-mouth among users who feel genuinely understood. The multi-perspective, confidence-aware engine is a moat: it is hard to replicate and aligns with rising user and regulatory wariness of manipulative, label-selling apps. Premium tiers can offer deeper Understanding/Experience content and longitudinal Recognition Journal features without compromising the free tier’s integrity.</w:t>
      </w:r>
    </w:p>
    <w:p>
      <w:pPr>
        <w:pStyle w:val="BodyText"/>
      </w:pPr>
      <w:r>
        <w:rPr>
          <w:b/>
        </w:rPr>
        <w:t xml:space="preserve">Competitive differentiation.</w:t>
      </w:r>
      <w:r>
        <w:t xml:space="preserve"> </w:t>
      </w:r>
      <w:r>
        <w:t xml:space="preserve">(1)</w:t>
      </w:r>
      <w:r>
        <w:t xml:space="preserve"> </w:t>
      </w:r>
      <w:r>
        <w:rPr>
          <w:i/>
        </w:rPr>
        <w:t xml:space="preserve">Depth of model</w:t>
      </w:r>
      <w:r>
        <w:t xml:space="preserve"> </w:t>
      </w:r>
      <w:r>
        <w:t xml:space="preserve">— 31 dimensions × 7 layers vs competitors’ single fixed frameworks. (2)</w:t>
      </w:r>
      <w:r>
        <w:t xml:space="preserve"> </w:t>
      </w:r>
      <w:r>
        <w:rPr>
          <w:i/>
        </w:rPr>
        <w:t xml:space="preserve">Honesty</w:t>
      </w:r>
      <w:r>
        <w:t xml:space="preserve"> </w:t>
      </w:r>
      <w:r>
        <w:t xml:space="preserve">— process-confidence and preserved tension vs confident labels. (3)</w:t>
      </w:r>
      <w:r>
        <w:t xml:space="preserve"> </w:t>
      </w:r>
      <w:r>
        <w:rPr>
          <w:i/>
        </w:rPr>
        <w:t xml:space="preserve">Ethics as product</w:t>
      </w:r>
      <w:r>
        <w:t xml:space="preserve"> </w:t>
      </w:r>
      <w:r>
        <w:t xml:space="preserve">— anti-addictive, ad-free, non-diagnostic by design. (4)</w:t>
      </w:r>
      <w:r>
        <w:t xml:space="preserve"> </w:t>
      </w:r>
      <w:r>
        <w:rPr>
          <w:i/>
        </w:rPr>
        <w:t xml:space="preserve">Cultural authenticity</w:t>
      </w:r>
      <w:r>
        <w:t xml:space="preserve"> </w:t>
      </w:r>
      <w:r>
        <w:t xml:space="preserve">— grounded in primary sources, presented across a four-layer presentation range from universal to scholarly. (5)</w:t>
      </w:r>
      <w:r>
        <w:t xml:space="preserve"> </w:t>
      </w:r>
      <w:r>
        <w:rPr>
          <w:i/>
        </w:rPr>
        <w:t xml:space="preserve">Explainability</w:t>
      </w:r>
      <w:r>
        <w:t xml:space="preserve"> </w:t>
      </w:r>
      <w:r>
        <w:t xml:space="preserve">— users can always see why a perspective was offered.</w:t>
      </w:r>
    </w:p>
    <w:p>
      <w:pPr>
        <w:pStyle w:val="Heading1"/>
      </w:pPr>
      <w:bookmarkStart w:id="30" w:name="X9e01da81c9da818cb3b16f2b337d0edc0125c1e"/>
      <w:r>
        <w:t xml:space="preserve">9. Mobile-First Design Principles (unchanged, reaffirmed)</w:t>
      </w:r>
      <w:bookmarkEnd w:id="30"/>
    </w:p>
    <w:p>
      <w:pPr>
        <w:pStyle w:val="FirstParagraph"/>
      </w:pPr>
      <w:r>
        <w:t xml:space="preserve">One concept per screen; calm motion; no autoplay-next or infinite scroll; generous whitespace; recognition prompts over calls-to-action; dark-pattern-free notifications (gentle, infrequent, user-controlled); accessibility and offline-friendly content. Every surface should leave the user feeling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their own authority, not less.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Svarupa Mobile App — KUER Content Delivery Strategy</dc:title>
  <dc:creator>Svarupa Product &amp; Content</dc:creator>
  <cp:keywords/>
  <dcterms:created xsi:type="dcterms:W3CDTF">2026-06-26T11:41:38Z</dcterms:created>
  <dcterms:modified xsi:type="dcterms:W3CDTF">2026-06-26T11:41:38Z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June 2026 (updated for the 31-Dimension architecture)</vt:lpwstr>
  </property>
  <property fmtid="{D5CDD505-2E9C-101B-9397-08002B2CF9AE}" pid="3" name="subtitle">
    <vt:lpwstr>Media Formats, Presentation, and Mobile-First Design for the 31-Dimension Framework</vt:lpwstr>
  </property>
</Properties>
</file>