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BUSINESS REPORT</w:t>
      </w:r>
    </w:p>
    <w:p>
      <w:pPr>
        <w:jc w:val="center"/>
      </w:pPr>
      <w:r>
        <w:rPr>
          <w:b/>
          <w:sz w:val="36"/>
        </w:rPr>
        <w:t>Insurance Claim Prediction — Stage 4</w:t>
      </w:r>
    </w:p>
    <w:p>
      <w:pPr>
        <w:jc w:val="center"/>
      </w:pPr>
      <w:r>
        <w:rPr>
          <w:i/>
        </w:rPr>
        <w:t>Dashboard, Held-Out Predictions &amp; Management Recommendations</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EEF3F8"/>
          </w:tcPr>
          <w:p>
            <w:pPr>
              <w:jc w:val="center"/>
            </w:pPr>
            <w:r>
              <w:rPr>
                <w:b/>
                <w:sz w:val="30"/>
              </w:rPr>
              <w:t>58,592</w:t>
              <w:br/>
            </w:r>
            <w:r>
              <w:rPr>
                <w:sz w:val="16"/>
              </w:rPr>
              <w:t>Total policies</w:t>
            </w:r>
          </w:p>
        </w:tc>
        <w:tc>
          <w:tcPr>
            <w:tcW w:type="dxa" w:w="2045"/>
            <w:shd w:fill="EEF3F8"/>
          </w:tcPr>
          <w:p>
            <w:pPr>
              <w:jc w:val="center"/>
            </w:pPr>
            <w:r>
              <w:rPr>
                <w:b/>
                <w:sz w:val="30"/>
              </w:rPr>
              <w:t>3,748</w:t>
              <w:br/>
            </w:r>
            <w:r>
              <w:rPr>
                <w:sz w:val="16"/>
              </w:rPr>
              <w:t>Observed claims</w:t>
            </w:r>
          </w:p>
        </w:tc>
        <w:tc>
          <w:tcPr>
            <w:tcW w:type="dxa" w:w="2045"/>
            <w:shd w:fill="EEF3F8"/>
          </w:tcPr>
          <w:p>
            <w:pPr>
              <w:jc w:val="center"/>
            </w:pPr>
            <w:r>
              <w:rPr>
                <w:b/>
                <w:sz w:val="30"/>
              </w:rPr>
              <w:t>6.40%</w:t>
              <w:br/>
            </w:r>
            <w:r>
              <w:rPr>
                <w:sz w:val="16"/>
              </w:rPr>
              <w:t>Observed claim rate</w:t>
            </w:r>
          </w:p>
        </w:tc>
        <w:tc>
          <w:tcPr>
            <w:tcW w:type="dxa" w:w="2045"/>
            <w:shd w:fill="EEF3F8"/>
          </w:tcPr>
          <w:p>
            <w:pPr>
              <w:jc w:val="center"/>
            </w:pPr>
            <w:r>
              <w:rPr>
                <w:b/>
                <w:sz w:val="30"/>
              </w:rPr>
              <w:t>11,719</w:t>
              <w:br/>
            </w:r>
            <w:r>
              <w:rPr>
                <w:sz w:val="16"/>
              </w:rPr>
              <w:t>Held-out policies</w:t>
            </w:r>
          </w:p>
        </w:tc>
        <w:tc>
          <w:tcPr>
            <w:tcW w:type="dxa" w:w="2045"/>
            <w:shd w:fill="EEF3F8"/>
          </w:tcPr>
          <w:p>
            <w:pPr>
              <w:jc w:val="center"/>
            </w:pPr>
            <w:r>
              <w:rPr>
                <w:b/>
                <w:sz w:val="30"/>
              </w:rPr>
              <w:t>0.647</w:t>
              <w:br/>
            </w:r>
            <w:r>
              <w:rPr>
                <w:sz w:val="16"/>
              </w:rPr>
              <w:t>Test ROC-AUC</w:t>
            </w:r>
          </w:p>
        </w:tc>
      </w:tr>
    </w:tbl>
    <w:p>
      <w:r>
        <w:br w:type="page"/>
      </w:r>
    </w:p>
    <w:p>
      <w:pPr>
        <w:pStyle w:val="Heading1"/>
      </w:pPr>
      <w:r>
        <w:t>1. Executive Summary</w:t>
      </w:r>
    </w:p>
    <w:p>
      <w:r>
        <w:t>The Stage 4 objective is to convert the insurance claim modelling work into a management-ready decision framework. The final workflow scores the held-out test set, attaches a claim probability and risk level to each policy, and combines those model outputs with descriptive portfolio analytics.</w:t>
      </w:r>
    </w:p>
    <w:p>
      <w:r>
        <w:t>The dataset contains 58,592 policies with an observed claim rate of 6.40%. The held-out test set contains 11,719 policies and also has a 6.40% observed claim rate, confirming that the stratified split preserved the target distribution.</w:t>
      </w:r>
    </w:p>
    <w:p>
      <w:r>
        <w:t>The Tuned Decision Tree is the selected model. It achieved test ROC-AUC 0.647, recall 0.652 and F1 0.157, outperforming Logistic Regression on discrimination and claim capture. Because precision is only 0.089, the model should be used for prioritisation and decision support rather than fully automated underwriting decisions.</w:t>
      </w:r>
    </w:p>
    <w:p>
      <w:pPr>
        <w:pStyle w:val="Heading1"/>
      </w:pPr>
      <w:r>
        <w:t>2. Problem Statement, Business Context &amp; Success Metrics</w:t>
      </w:r>
    </w:p>
    <w:p>
      <w:r>
        <w:t>The business problem is to identify policies with elevated probability of an insurance claim so that underwriting, risk review and prevention resources can be focused where they are most valuable.</w:t>
      </w:r>
    </w:p>
    <w:p>
      <w:pPr>
        <w:pStyle w:val="ListBullet"/>
        <w:spacing w:after="40"/>
      </w:pPr>
      <w:r>
        <w:t>Discrimination: ROC-AUC on unseen data.</w:t>
      </w:r>
    </w:p>
    <w:p>
      <w:pPr>
        <w:pStyle w:val="ListBullet"/>
        <w:spacing w:after="40"/>
      </w:pPr>
      <w:r>
        <w:t>Claim capture: recall for the claim class.</w:t>
      </w:r>
    </w:p>
    <w:p>
      <w:pPr>
        <w:pStyle w:val="ListBullet"/>
        <w:spacing w:after="40"/>
      </w:pPr>
      <w:r>
        <w:t>Operational balance: precision and F1 at the selected threshold.</w:t>
      </w:r>
    </w:p>
    <w:p>
      <w:pPr>
        <w:pStyle w:val="ListBullet"/>
        <w:spacing w:after="40"/>
      </w:pPr>
      <w:r>
        <w:t>Stability: cross-validation mean and standard deviation.</w:t>
      </w:r>
    </w:p>
    <w:p>
      <w:pPr>
        <w:pStyle w:val="ListBullet"/>
        <w:spacing w:after="40"/>
      </w:pPr>
      <w:r>
        <w:t>Actionability: probability-based risk levels for review prioritisation.</w:t>
      </w:r>
    </w:p>
    <w:p>
      <w:pPr>
        <w:pStyle w:val="ListBullet"/>
        <w:spacing w:after="40"/>
      </w:pPr>
      <w:r>
        <w:t>Governance: calibration, drift, subgroup performance and false-positive/false-negative monitoring.</w:t>
      </w:r>
    </w:p>
    <w:p>
      <w:pPr>
        <w:pStyle w:val="Heading1"/>
      </w:pPr>
      <w:r>
        <w:t>3. Data Summary &amp; Preprocessing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8"/>
              </w:rPr>
              <w:t>Metric</w:t>
            </w:r>
          </w:p>
        </w:tc>
        <w:tc>
          <w:tcPr>
            <w:tcW w:type="dxa" w:w="5112"/>
            <w:vAlign w:val="center"/>
            <w:shd w:fill="DCE6F1"/>
          </w:tcPr>
          <w:p>
            <w:r/>
            <w:r>
              <w:rPr>
                <w:rFonts w:ascii="Aptos" w:hAnsi="Aptos"/>
                <w:b/>
                <w:sz w:val="18"/>
              </w:rPr>
              <w:t>Value</w:t>
            </w:r>
          </w:p>
        </w:tc>
      </w:tr>
      <w:tr>
        <w:tc>
          <w:tcPr>
            <w:tcW w:type="dxa" w:w="5112"/>
            <w:vAlign w:val="center"/>
          </w:tcPr>
          <w:p>
            <w:r/>
            <w:r>
              <w:rPr>
                <w:rFonts w:ascii="Aptos" w:hAnsi="Aptos"/>
                <w:b w:val="0"/>
                <w:sz w:val="18"/>
              </w:rPr>
              <w:t>Dataset size</w:t>
            </w:r>
          </w:p>
        </w:tc>
        <w:tc>
          <w:tcPr>
            <w:tcW w:type="dxa" w:w="5112"/>
            <w:vAlign w:val="center"/>
          </w:tcPr>
          <w:p>
            <w:r/>
            <w:r>
              <w:rPr>
                <w:rFonts w:ascii="Aptos" w:hAnsi="Aptos"/>
                <w:b w:val="0"/>
                <w:sz w:val="18"/>
              </w:rPr>
              <w:t>58,592 rows × 49 modelling columns</w:t>
            </w:r>
          </w:p>
        </w:tc>
      </w:tr>
      <w:tr>
        <w:tc>
          <w:tcPr>
            <w:tcW w:type="dxa" w:w="5112"/>
            <w:vAlign w:val="center"/>
          </w:tcPr>
          <w:p>
            <w:r/>
            <w:r>
              <w:rPr>
                <w:rFonts w:ascii="Aptos" w:hAnsi="Aptos"/>
                <w:b w:val="0"/>
                <w:sz w:val="18"/>
              </w:rPr>
              <w:t>Observed claim rate</w:t>
            </w:r>
          </w:p>
        </w:tc>
        <w:tc>
          <w:tcPr>
            <w:tcW w:type="dxa" w:w="5112"/>
            <w:vAlign w:val="center"/>
          </w:tcPr>
          <w:p>
            <w:r/>
            <w:r>
              <w:rPr>
                <w:rFonts w:ascii="Aptos" w:hAnsi="Aptos"/>
                <w:b w:val="0"/>
                <w:sz w:val="18"/>
              </w:rPr>
              <w:t>6.40%</w:t>
            </w:r>
          </w:p>
        </w:tc>
      </w:tr>
      <w:tr>
        <w:tc>
          <w:tcPr>
            <w:tcW w:type="dxa" w:w="5112"/>
            <w:vAlign w:val="center"/>
          </w:tcPr>
          <w:p>
            <w:r/>
            <w:r>
              <w:rPr>
                <w:rFonts w:ascii="Aptos" w:hAnsi="Aptos"/>
                <w:b w:val="0"/>
                <w:sz w:val="18"/>
              </w:rPr>
              <w:t>Numerical features</w:t>
            </w:r>
          </w:p>
        </w:tc>
        <w:tc>
          <w:tcPr>
            <w:tcW w:type="dxa" w:w="5112"/>
            <w:vAlign w:val="center"/>
          </w:tcPr>
          <w:p>
            <w:r/>
            <w:r>
              <w:rPr>
                <w:rFonts w:ascii="Aptos" w:hAnsi="Aptos"/>
                <w:b w:val="0"/>
                <w:sz w:val="18"/>
              </w:rPr>
              <w:t>37</w:t>
            </w:r>
          </w:p>
        </w:tc>
      </w:tr>
      <w:tr>
        <w:tc>
          <w:tcPr>
            <w:tcW w:type="dxa" w:w="5112"/>
            <w:vAlign w:val="center"/>
          </w:tcPr>
          <w:p>
            <w:r/>
            <w:r>
              <w:rPr>
                <w:rFonts w:ascii="Aptos" w:hAnsi="Aptos"/>
                <w:b w:val="0"/>
                <w:sz w:val="18"/>
              </w:rPr>
              <w:t>Categorical features</w:t>
            </w:r>
          </w:p>
        </w:tc>
        <w:tc>
          <w:tcPr>
            <w:tcW w:type="dxa" w:w="5112"/>
            <w:vAlign w:val="center"/>
          </w:tcPr>
          <w:p>
            <w:r/>
            <w:r>
              <w:rPr>
                <w:rFonts w:ascii="Aptos" w:hAnsi="Aptos"/>
                <w:b w:val="0"/>
                <w:sz w:val="18"/>
              </w:rPr>
              <w:t>11</w:t>
            </w:r>
          </w:p>
        </w:tc>
      </w:tr>
      <w:tr>
        <w:tc>
          <w:tcPr>
            <w:tcW w:type="dxa" w:w="5112"/>
            <w:vAlign w:val="center"/>
          </w:tcPr>
          <w:p>
            <w:r/>
            <w:r>
              <w:rPr>
                <w:rFonts w:ascii="Aptos" w:hAnsi="Aptos"/>
                <w:b w:val="0"/>
                <w:sz w:val="18"/>
              </w:rPr>
              <w:t>Held-out test set</w:t>
            </w:r>
          </w:p>
        </w:tc>
        <w:tc>
          <w:tcPr>
            <w:tcW w:type="dxa" w:w="5112"/>
            <w:vAlign w:val="center"/>
          </w:tcPr>
          <w:p>
            <w:r/>
            <w:r>
              <w:rPr>
                <w:rFonts w:ascii="Aptos" w:hAnsi="Aptos"/>
                <w:b w:val="0"/>
                <w:sz w:val="18"/>
              </w:rPr>
              <w:t>11,719 policies</w:t>
            </w:r>
          </w:p>
        </w:tc>
      </w:tr>
      <w:tr>
        <w:tc>
          <w:tcPr>
            <w:tcW w:type="dxa" w:w="5112"/>
            <w:vAlign w:val="center"/>
          </w:tcPr>
          <w:p>
            <w:r/>
            <w:r>
              <w:rPr>
                <w:rFonts w:ascii="Aptos" w:hAnsi="Aptos"/>
                <w:b w:val="0"/>
                <w:sz w:val="18"/>
              </w:rPr>
              <w:t>Held-out observed claim rate</w:t>
            </w:r>
          </w:p>
        </w:tc>
        <w:tc>
          <w:tcPr>
            <w:tcW w:type="dxa" w:w="5112"/>
            <w:vAlign w:val="center"/>
          </w:tcPr>
          <w:p>
            <w:r/>
            <w:r>
              <w:rPr>
                <w:rFonts w:ascii="Aptos" w:hAnsi="Aptos"/>
                <w:b w:val="0"/>
                <w:sz w:val="18"/>
              </w:rPr>
              <w:t>6.40%</w:t>
            </w:r>
          </w:p>
        </w:tc>
      </w:tr>
    </w:tbl>
    <w:p/>
    <w:p>
      <w:r>
        <w:t>Identifiers and outcome variables were excluded from modelling. Feature reduction followed the documented correlation/VIF, variance, leakage and redundancy diagnostics. Engineered variables included High_Risk_Driver_Flag, safety_equipment_count and power_to_weight_ratio.</w:t>
      </w:r>
    </w:p>
    <w:p>
      <w:pPr>
        <w:pStyle w:val="Heading1"/>
      </w:pPr>
      <w:r>
        <w:t>4. Key EDA Findings</w:t>
      </w:r>
    </w:p>
    <w:p>
      <w:pPr>
        <w:pStyle w:val="Heading2"/>
      </w:pPr>
      <w:r>
        <w:t>4.1 Claim Distribution</w:t>
      </w:r>
    </w:p>
    <w:p>
      <w:r>
        <w:t>The held-out set contains 10,969 no-claim policies and 750 claim policies. The observed claim rate is 6.40%, confirming material class imbalance.</w:t>
      </w:r>
    </w:p>
    <w:p>
      <w:pPr>
        <w:jc w:val="center"/>
      </w:pPr>
      <w:r>
        <w:drawing>
          <wp:inline xmlns:a="http://schemas.openxmlformats.org/drawingml/2006/main" xmlns:pic="http://schemas.openxmlformats.org/drawingml/2006/picture">
            <wp:extent cx="6080760" cy="3683464"/>
            <wp:docPr id="1" name="Picture 1"/>
            <wp:cNvGraphicFramePr>
              <a:graphicFrameLocks noChangeAspect="1"/>
            </wp:cNvGraphicFramePr>
            <a:graphic>
              <a:graphicData uri="http://schemas.openxmlformats.org/drawingml/2006/picture">
                <pic:pic>
                  <pic:nvPicPr>
                    <pic:cNvPr id="0" name="stage4_claim_distribution.png"/>
                    <pic:cNvPicPr/>
                  </pic:nvPicPr>
                  <pic:blipFill>
                    <a:blip r:embed="rId9"/>
                    <a:stretch>
                      <a:fillRect/>
                    </a:stretch>
                  </pic:blipFill>
                  <pic:spPr>
                    <a:xfrm>
                      <a:off x="0" y="0"/>
                      <a:ext cx="6080760" cy="3683464"/>
                    </a:xfrm>
                    <a:prstGeom prst="rect"/>
                  </pic:spPr>
                </pic:pic>
              </a:graphicData>
            </a:graphic>
          </wp:inline>
        </w:drawing>
      </w:r>
    </w:p>
    <w:p>
      <w:pPr>
        <w:jc w:val="center"/>
      </w:pPr>
      <w:r>
        <w:rPr>
          <w:i/>
          <w:sz w:val="17"/>
        </w:rPr>
        <w:t>Figure 1. Claim distribution on the held-out test set.</w:t>
      </w:r>
    </w:p>
    <w:p>
      <w:pPr>
        <w:pStyle w:val="Heading2"/>
      </w:pPr>
      <w:r>
        <w:t>4.2 Model-Generated Risk Levels</w:t>
      </w:r>
    </w:p>
    <w:p>
      <w:r>
        <w:t>The prediction output assigns each held-out policy a claim probability and a four-level risk classification. The realised claim rate increases monotonically from Low through Very High, providing direct evidence that the model risk tiers are useful for prioritisation on unseen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CE6F1"/>
          </w:tcPr>
          <w:p>
            <w:r/>
            <w:r>
              <w:rPr>
                <w:rFonts w:ascii="Aptos" w:hAnsi="Aptos"/>
                <w:b/>
                <w:sz w:val="18"/>
              </w:rPr>
              <w:t>Risk level</w:t>
            </w:r>
          </w:p>
        </w:tc>
        <w:tc>
          <w:tcPr>
            <w:tcW w:type="dxa" w:w="2045"/>
            <w:vAlign w:val="center"/>
            <w:shd w:fill="DCE6F1"/>
          </w:tcPr>
          <w:p>
            <w:r/>
            <w:r>
              <w:rPr>
                <w:rFonts w:ascii="Aptos" w:hAnsi="Aptos"/>
                <w:b/>
                <w:sz w:val="18"/>
              </w:rPr>
              <w:t>Policies</w:t>
            </w:r>
          </w:p>
        </w:tc>
        <w:tc>
          <w:tcPr>
            <w:tcW w:type="dxa" w:w="2045"/>
            <w:vAlign w:val="center"/>
            <w:shd w:fill="DCE6F1"/>
          </w:tcPr>
          <w:p>
            <w:r/>
            <w:r>
              <w:rPr>
                <w:rFonts w:ascii="Aptos" w:hAnsi="Aptos"/>
                <w:b/>
                <w:sz w:val="18"/>
              </w:rPr>
              <w:t>Share of test set</w:t>
            </w:r>
          </w:p>
        </w:tc>
        <w:tc>
          <w:tcPr>
            <w:tcW w:type="dxa" w:w="2045"/>
            <w:vAlign w:val="center"/>
            <w:shd w:fill="DCE6F1"/>
          </w:tcPr>
          <w:p>
            <w:r/>
            <w:r>
              <w:rPr>
                <w:rFonts w:ascii="Aptos" w:hAnsi="Aptos"/>
                <w:b/>
                <w:sz w:val="18"/>
              </w:rPr>
              <w:t>Average probability</w:t>
            </w:r>
          </w:p>
        </w:tc>
        <w:tc>
          <w:tcPr>
            <w:tcW w:type="dxa" w:w="2045"/>
            <w:vAlign w:val="center"/>
            <w:shd w:fill="DCE6F1"/>
          </w:tcPr>
          <w:p>
            <w:r/>
            <w:r>
              <w:rPr>
                <w:rFonts w:ascii="Aptos" w:hAnsi="Aptos"/>
                <w:b/>
                <w:sz w:val="18"/>
              </w:rPr>
              <w:t>Actual claim rate</w:t>
            </w:r>
          </w:p>
        </w:tc>
      </w:tr>
      <w:tr>
        <w:tc>
          <w:tcPr>
            <w:tcW w:type="dxa" w:w="2045"/>
            <w:vAlign w:val="center"/>
          </w:tcPr>
          <w:p>
            <w:r/>
            <w:r>
              <w:rPr>
                <w:rFonts w:ascii="Aptos" w:hAnsi="Aptos"/>
                <w:b w:val="0"/>
                <w:sz w:val="18"/>
              </w:rPr>
              <w:t>Low</w:t>
            </w:r>
          </w:p>
        </w:tc>
        <w:tc>
          <w:tcPr>
            <w:tcW w:type="dxa" w:w="2045"/>
            <w:vAlign w:val="center"/>
          </w:tcPr>
          <w:p>
            <w:r/>
            <w:r>
              <w:rPr>
                <w:rFonts w:ascii="Aptos" w:hAnsi="Aptos"/>
                <w:b w:val="0"/>
                <w:sz w:val="18"/>
              </w:rPr>
              <w:t>4,687</w:t>
            </w:r>
          </w:p>
        </w:tc>
        <w:tc>
          <w:tcPr>
            <w:tcW w:type="dxa" w:w="2045"/>
            <w:vAlign w:val="center"/>
          </w:tcPr>
          <w:p>
            <w:r/>
            <w:r>
              <w:rPr>
                <w:rFonts w:ascii="Aptos" w:hAnsi="Aptos"/>
                <w:b w:val="0"/>
                <w:sz w:val="18"/>
              </w:rPr>
              <w:t>39.99%</w:t>
            </w:r>
          </w:p>
        </w:tc>
        <w:tc>
          <w:tcPr>
            <w:tcW w:type="dxa" w:w="2045"/>
            <w:vAlign w:val="center"/>
          </w:tcPr>
          <w:p>
            <w:r/>
            <w:r>
              <w:rPr>
                <w:rFonts w:ascii="Aptos" w:hAnsi="Aptos"/>
                <w:b w:val="0"/>
                <w:sz w:val="18"/>
              </w:rPr>
              <w:t>0.316</w:t>
            </w:r>
          </w:p>
        </w:tc>
        <w:tc>
          <w:tcPr>
            <w:tcW w:type="dxa" w:w="2045"/>
            <w:vAlign w:val="center"/>
          </w:tcPr>
          <w:p>
            <w:r/>
            <w:r>
              <w:rPr>
                <w:rFonts w:ascii="Aptos" w:hAnsi="Aptos"/>
                <w:b w:val="0"/>
                <w:sz w:val="18"/>
              </w:rPr>
              <w:t>3.39%</w:t>
            </w:r>
          </w:p>
        </w:tc>
      </w:tr>
      <w:tr>
        <w:tc>
          <w:tcPr>
            <w:tcW w:type="dxa" w:w="2045"/>
            <w:vAlign w:val="center"/>
          </w:tcPr>
          <w:p>
            <w:r/>
            <w:r>
              <w:rPr>
                <w:rFonts w:ascii="Aptos" w:hAnsi="Aptos"/>
                <w:b w:val="0"/>
                <w:sz w:val="18"/>
              </w:rPr>
              <w:t>Medium</w:t>
            </w:r>
          </w:p>
        </w:tc>
        <w:tc>
          <w:tcPr>
            <w:tcW w:type="dxa" w:w="2045"/>
            <w:vAlign w:val="center"/>
          </w:tcPr>
          <w:p>
            <w:r/>
            <w:r>
              <w:rPr>
                <w:rFonts w:ascii="Aptos" w:hAnsi="Aptos"/>
                <w:b w:val="0"/>
                <w:sz w:val="18"/>
              </w:rPr>
              <w:t>4,102</w:t>
            </w:r>
          </w:p>
        </w:tc>
        <w:tc>
          <w:tcPr>
            <w:tcW w:type="dxa" w:w="2045"/>
            <w:vAlign w:val="center"/>
          </w:tcPr>
          <w:p>
            <w:r/>
            <w:r>
              <w:rPr>
                <w:rFonts w:ascii="Aptos" w:hAnsi="Aptos"/>
                <w:b w:val="0"/>
                <w:sz w:val="18"/>
              </w:rPr>
              <w:t>35.00%</w:t>
            </w:r>
          </w:p>
        </w:tc>
        <w:tc>
          <w:tcPr>
            <w:tcW w:type="dxa" w:w="2045"/>
            <w:vAlign w:val="center"/>
          </w:tcPr>
          <w:p>
            <w:r/>
            <w:r>
              <w:rPr>
                <w:rFonts w:ascii="Aptos" w:hAnsi="Aptos"/>
                <w:b w:val="0"/>
                <w:sz w:val="18"/>
              </w:rPr>
              <w:t>0.539</w:t>
            </w:r>
          </w:p>
        </w:tc>
        <w:tc>
          <w:tcPr>
            <w:tcW w:type="dxa" w:w="2045"/>
            <w:vAlign w:val="center"/>
          </w:tcPr>
          <w:p>
            <w:r/>
            <w:r>
              <w:rPr>
                <w:rFonts w:ascii="Aptos" w:hAnsi="Aptos"/>
                <w:b w:val="0"/>
                <w:sz w:val="18"/>
              </w:rPr>
              <w:t>7.22%</w:t>
            </w:r>
          </w:p>
        </w:tc>
      </w:tr>
      <w:tr>
        <w:tc>
          <w:tcPr>
            <w:tcW w:type="dxa" w:w="2045"/>
            <w:vAlign w:val="center"/>
          </w:tcPr>
          <w:p>
            <w:r/>
            <w:r>
              <w:rPr>
                <w:rFonts w:ascii="Aptos" w:hAnsi="Aptos"/>
                <w:b w:val="0"/>
                <w:sz w:val="18"/>
              </w:rPr>
              <w:t>High</w:t>
            </w:r>
          </w:p>
        </w:tc>
        <w:tc>
          <w:tcPr>
            <w:tcW w:type="dxa" w:w="2045"/>
            <w:vAlign w:val="center"/>
          </w:tcPr>
          <w:p>
            <w:r/>
            <w:r>
              <w:rPr>
                <w:rFonts w:ascii="Aptos" w:hAnsi="Aptos"/>
                <w:b w:val="0"/>
                <w:sz w:val="18"/>
              </w:rPr>
              <w:t>1,758</w:t>
            </w:r>
          </w:p>
        </w:tc>
        <w:tc>
          <w:tcPr>
            <w:tcW w:type="dxa" w:w="2045"/>
            <w:vAlign w:val="center"/>
          </w:tcPr>
          <w:p>
            <w:r/>
            <w:r>
              <w:rPr>
                <w:rFonts w:ascii="Aptos" w:hAnsi="Aptos"/>
                <w:b w:val="0"/>
                <w:sz w:val="18"/>
              </w:rPr>
              <w:t>15.00%</w:t>
            </w:r>
          </w:p>
        </w:tc>
        <w:tc>
          <w:tcPr>
            <w:tcW w:type="dxa" w:w="2045"/>
            <w:vAlign w:val="center"/>
          </w:tcPr>
          <w:p>
            <w:r/>
            <w:r>
              <w:rPr>
                <w:rFonts w:ascii="Aptos" w:hAnsi="Aptos"/>
                <w:b w:val="0"/>
                <w:sz w:val="18"/>
              </w:rPr>
              <w:t>0.597</w:t>
            </w:r>
          </w:p>
        </w:tc>
        <w:tc>
          <w:tcPr>
            <w:tcW w:type="dxa" w:w="2045"/>
            <w:vAlign w:val="center"/>
          </w:tcPr>
          <w:p>
            <w:r/>
            <w:r>
              <w:rPr>
                <w:rFonts w:ascii="Aptos" w:hAnsi="Aptos"/>
                <w:b w:val="0"/>
                <w:sz w:val="18"/>
              </w:rPr>
              <w:t>9.10%</w:t>
            </w:r>
          </w:p>
        </w:tc>
      </w:tr>
      <w:tr>
        <w:tc>
          <w:tcPr>
            <w:tcW w:type="dxa" w:w="2045"/>
            <w:vAlign w:val="center"/>
          </w:tcPr>
          <w:p>
            <w:r/>
            <w:r>
              <w:rPr>
                <w:rFonts w:ascii="Aptos" w:hAnsi="Aptos"/>
                <w:b w:val="0"/>
                <w:sz w:val="18"/>
              </w:rPr>
              <w:t>Very High</w:t>
            </w:r>
          </w:p>
        </w:tc>
        <w:tc>
          <w:tcPr>
            <w:tcW w:type="dxa" w:w="2045"/>
            <w:vAlign w:val="center"/>
          </w:tcPr>
          <w:p>
            <w:r/>
            <w:r>
              <w:rPr>
                <w:rFonts w:ascii="Aptos" w:hAnsi="Aptos"/>
                <w:b w:val="0"/>
                <w:sz w:val="18"/>
              </w:rPr>
              <w:t>1,172</w:t>
            </w:r>
          </w:p>
        </w:tc>
        <w:tc>
          <w:tcPr>
            <w:tcW w:type="dxa" w:w="2045"/>
            <w:vAlign w:val="center"/>
          </w:tcPr>
          <w:p>
            <w:r/>
            <w:r>
              <w:rPr>
                <w:rFonts w:ascii="Aptos" w:hAnsi="Aptos"/>
                <w:b w:val="0"/>
                <w:sz w:val="18"/>
              </w:rPr>
              <w:t>10.00%</w:t>
            </w:r>
          </w:p>
        </w:tc>
        <w:tc>
          <w:tcPr>
            <w:tcW w:type="dxa" w:w="2045"/>
            <w:vAlign w:val="center"/>
          </w:tcPr>
          <w:p>
            <w:r/>
            <w:r>
              <w:rPr>
                <w:rFonts w:ascii="Aptos" w:hAnsi="Aptos"/>
                <w:b w:val="0"/>
                <w:sz w:val="18"/>
              </w:rPr>
              <w:t>0.643</w:t>
            </w:r>
          </w:p>
        </w:tc>
        <w:tc>
          <w:tcPr>
            <w:tcW w:type="dxa" w:w="2045"/>
            <w:vAlign w:val="center"/>
          </w:tcPr>
          <w:p>
            <w:r/>
            <w:r>
              <w:rPr>
                <w:rFonts w:ascii="Aptos" w:hAnsi="Aptos"/>
                <w:b w:val="0"/>
                <w:sz w:val="18"/>
              </w:rPr>
              <w:t>11.52%</w:t>
            </w:r>
          </w:p>
        </w:tc>
      </w:tr>
    </w:tbl>
    <w:p/>
    <w:p>
      <w:pPr>
        <w:jc w:val="center"/>
      </w:pPr>
      <w:r>
        <w:drawing>
          <wp:inline xmlns:a="http://schemas.openxmlformats.org/drawingml/2006/main" xmlns:pic="http://schemas.openxmlformats.org/drawingml/2006/picture">
            <wp:extent cx="6080760" cy="3689578"/>
            <wp:docPr id="2" name="Picture 2"/>
            <wp:cNvGraphicFramePr>
              <a:graphicFrameLocks noChangeAspect="1"/>
            </wp:cNvGraphicFramePr>
            <a:graphic>
              <a:graphicData uri="http://schemas.openxmlformats.org/drawingml/2006/picture">
                <pic:pic>
                  <pic:nvPicPr>
                    <pic:cNvPr id="0" name="stage4_probability_by_risk.png"/>
                    <pic:cNvPicPr/>
                  </pic:nvPicPr>
                  <pic:blipFill>
                    <a:blip r:embed="rId10"/>
                    <a:stretch>
                      <a:fillRect/>
                    </a:stretch>
                  </pic:blipFill>
                  <pic:spPr>
                    <a:xfrm>
                      <a:off x="0" y="0"/>
                      <a:ext cx="6080760" cy="3689578"/>
                    </a:xfrm>
                    <a:prstGeom prst="rect"/>
                  </pic:spPr>
                </pic:pic>
              </a:graphicData>
            </a:graphic>
          </wp:inline>
        </w:drawing>
      </w:r>
    </w:p>
    <w:p>
      <w:pPr>
        <w:jc w:val="center"/>
      </w:pPr>
      <w:r>
        <w:rPr>
          <w:i/>
          <w:sz w:val="17"/>
        </w:rPr>
        <w:t>Figure 2. Claim-probability distribution by model risk level.</w:t>
      </w:r>
    </w:p>
    <w:p>
      <w:pPr>
        <w:jc w:val="center"/>
      </w:pPr>
      <w:r>
        <w:drawing>
          <wp:inline xmlns:a="http://schemas.openxmlformats.org/drawingml/2006/main" xmlns:pic="http://schemas.openxmlformats.org/drawingml/2006/picture">
            <wp:extent cx="6080760" cy="3689578"/>
            <wp:docPr id="3" name="Picture 3"/>
            <wp:cNvGraphicFramePr>
              <a:graphicFrameLocks noChangeAspect="1"/>
            </wp:cNvGraphicFramePr>
            <a:graphic>
              <a:graphicData uri="http://schemas.openxmlformats.org/drawingml/2006/picture">
                <pic:pic>
                  <pic:nvPicPr>
                    <pic:cNvPr id="0" name="stage4_risk_segmentation.png"/>
                    <pic:cNvPicPr/>
                  </pic:nvPicPr>
                  <pic:blipFill>
                    <a:blip r:embed="rId11"/>
                    <a:stretch>
                      <a:fillRect/>
                    </a:stretch>
                  </pic:blipFill>
                  <pic:spPr>
                    <a:xfrm>
                      <a:off x="0" y="0"/>
                      <a:ext cx="6080760" cy="3689578"/>
                    </a:xfrm>
                    <a:prstGeom prst="rect"/>
                  </pic:spPr>
                </pic:pic>
              </a:graphicData>
            </a:graphic>
          </wp:inline>
        </w:drawing>
      </w:r>
    </w:p>
    <w:p>
      <w:pPr>
        <w:jc w:val="center"/>
      </w:pPr>
      <w:r>
        <w:rPr>
          <w:i/>
          <w:sz w:val="17"/>
        </w:rPr>
        <w:t>Figure 3. Realised claim rate by model risk level.</w:t>
      </w:r>
    </w:p>
    <w:p>
      <w:pPr>
        <w:pStyle w:val="Heading2"/>
      </w:pPr>
      <w:r>
        <w:t>4.3 Driver Risk Segmentation</w:t>
      </w:r>
    </w:p>
    <w:p>
      <w:r>
        <w:t>The broader descriptive driver-risk segmentation is not monotonic: Lower Risk has the highest observed claim rate at 6.83%, followed by Moderate Risk at 6.45% and High Risk at 5.65%. Therefore, the descriptive label should not be treated as a validated claim-risk ranking by itself.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rFonts w:ascii="Aptos" w:hAnsi="Aptos"/>
                <w:b/>
                <w:sz w:val="18"/>
              </w:rPr>
              <w:t>Driver segment</w:t>
            </w:r>
          </w:p>
        </w:tc>
        <w:tc>
          <w:tcPr>
            <w:tcW w:type="dxa" w:w="3408"/>
            <w:vAlign w:val="center"/>
            <w:shd w:fill="DCE6F1"/>
          </w:tcPr>
          <w:p>
            <w:r/>
            <w:r>
              <w:rPr>
                <w:rFonts w:ascii="Aptos" w:hAnsi="Aptos"/>
                <w:b/>
                <w:sz w:val="18"/>
              </w:rPr>
              <w:t>Policies</w:t>
            </w:r>
          </w:p>
        </w:tc>
        <w:tc>
          <w:tcPr>
            <w:tcW w:type="dxa" w:w="3408"/>
            <w:vAlign w:val="center"/>
            <w:shd w:fill="DCE6F1"/>
          </w:tcPr>
          <w:p>
            <w:r/>
            <w:r>
              <w:rPr>
                <w:rFonts w:ascii="Aptos" w:hAnsi="Aptos"/>
                <w:b/>
                <w:sz w:val="18"/>
              </w:rPr>
              <w:t>Observed claim rate</w:t>
            </w:r>
          </w:p>
        </w:tc>
      </w:tr>
      <w:tr>
        <w:tc>
          <w:tcPr>
            <w:tcW w:type="dxa" w:w="3408"/>
            <w:vAlign w:val="center"/>
          </w:tcPr>
          <w:p>
            <w:r/>
            <w:r>
              <w:rPr>
                <w:rFonts w:ascii="Aptos" w:hAnsi="Aptos"/>
                <w:b w:val="0"/>
                <w:sz w:val="18"/>
              </w:rPr>
              <w:t>High Risk</w:t>
            </w:r>
          </w:p>
        </w:tc>
        <w:tc>
          <w:tcPr>
            <w:tcW w:type="dxa" w:w="3408"/>
            <w:vAlign w:val="center"/>
          </w:tcPr>
          <w:p>
            <w:r/>
            <w:r>
              <w:rPr>
                <w:rFonts w:ascii="Aptos" w:hAnsi="Aptos"/>
                <w:b w:val="0"/>
                <w:sz w:val="18"/>
              </w:rPr>
              <w:t>10,038</w:t>
            </w:r>
          </w:p>
        </w:tc>
        <w:tc>
          <w:tcPr>
            <w:tcW w:type="dxa" w:w="3408"/>
            <w:vAlign w:val="center"/>
          </w:tcPr>
          <w:p>
            <w:r/>
            <w:r>
              <w:rPr>
                <w:rFonts w:ascii="Aptos" w:hAnsi="Aptos"/>
                <w:b w:val="0"/>
                <w:sz w:val="18"/>
              </w:rPr>
              <w:t>5.65%</w:t>
            </w:r>
          </w:p>
        </w:tc>
      </w:tr>
      <w:tr>
        <w:tc>
          <w:tcPr>
            <w:tcW w:type="dxa" w:w="3408"/>
            <w:vAlign w:val="center"/>
          </w:tcPr>
          <w:p>
            <w:r/>
            <w:r>
              <w:rPr>
                <w:rFonts w:ascii="Aptos" w:hAnsi="Aptos"/>
                <w:b w:val="0"/>
                <w:sz w:val="18"/>
              </w:rPr>
              <w:t>Lower Risk</w:t>
            </w:r>
          </w:p>
        </w:tc>
        <w:tc>
          <w:tcPr>
            <w:tcW w:type="dxa" w:w="3408"/>
            <w:vAlign w:val="center"/>
          </w:tcPr>
          <w:p>
            <w:r/>
            <w:r>
              <w:rPr>
                <w:rFonts w:ascii="Aptos" w:hAnsi="Aptos"/>
                <w:b w:val="0"/>
                <w:sz w:val="18"/>
              </w:rPr>
              <w:t>13,433</w:t>
            </w:r>
          </w:p>
        </w:tc>
        <w:tc>
          <w:tcPr>
            <w:tcW w:type="dxa" w:w="3408"/>
            <w:vAlign w:val="center"/>
          </w:tcPr>
          <w:p>
            <w:r/>
            <w:r>
              <w:rPr>
                <w:rFonts w:ascii="Aptos" w:hAnsi="Aptos"/>
                <w:b w:val="0"/>
                <w:sz w:val="18"/>
              </w:rPr>
              <w:t>6.83%</w:t>
            </w:r>
          </w:p>
        </w:tc>
      </w:tr>
      <w:tr>
        <w:tc>
          <w:tcPr>
            <w:tcW w:type="dxa" w:w="3408"/>
            <w:vAlign w:val="center"/>
          </w:tcPr>
          <w:p>
            <w:r/>
            <w:r>
              <w:rPr>
                <w:rFonts w:ascii="Aptos" w:hAnsi="Aptos"/>
                <w:b w:val="0"/>
                <w:sz w:val="18"/>
              </w:rPr>
              <w:t>Moderate Risk</w:t>
            </w:r>
          </w:p>
        </w:tc>
        <w:tc>
          <w:tcPr>
            <w:tcW w:type="dxa" w:w="3408"/>
            <w:vAlign w:val="center"/>
          </w:tcPr>
          <w:p>
            <w:r/>
            <w:r>
              <w:rPr>
                <w:rFonts w:ascii="Aptos" w:hAnsi="Aptos"/>
                <w:b w:val="0"/>
                <w:sz w:val="18"/>
              </w:rPr>
              <w:t>35,121</w:t>
            </w:r>
          </w:p>
        </w:tc>
        <w:tc>
          <w:tcPr>
            <w:tcW w:type="dxa" w:w="3408"/>
            <w:vAlign w:val="center"/>
          </w:tcPr>
          <w:p>
            <w:r/>
            <w:r>
              <w:rPr>
                <w:rFonts w:ascii="Aptos" w:hAnsi="Aptos"/>
                <w:b w:val="0"/>
                <w:sz w:val="18"/>
              </w:rPr>
              <w:t>6.45%</w:t>
            </w:r>
          </w:p>
        </w:tc>
      </w:tr>
    </w:tbl>
    <w:p/>
    <w:p>
      <w:pPr>
        <w:pStyle w:val="Heading2"/>
      </w:pPr>
      <w:r>
        <w:t>4.4 NCAP Safety Rating</w:t>
      </w:r>
    </w:p>
    <w:p>
      <w:r>
        <w:t>Observed claim rates vary modestly across NCAP ratings. Rating 5 is highest at 6.68%, while rating 0 is lowest at 6.24%. The spread is small, so NCAP should be treated as contextual evidence rather than a standalone rule.</w:t>
      </w:r>
    </w:p>
    <w:p>
      <w:pPr>
        <w:jc w:val="center"/>
      </w:pPr>
      <w:r>
        <w:drawing>
          <wp:inline xmlns:a="http://schemas.openxmlformats.org/drawingml/2006/main" xmlns:pic="http://schemas.openxmlformats.org/drawingml/2006/picture">
            <wp:extent cx="6080760" cy="3689578"/>
            <wp:docPr id="4" name="Picture 4"/>
            <wp:cNvGraphicFramePr>
              <a:graphicFrameLocks noChangeAspect="1"/>
            </wp:cNvGraphicFramePr>
            <a:graphic>
              <a:graphicData uri="http://schemas.openxmlformats.org/drawingml/2006/picture">
                <pic:pic>
                  <pic:nvPicPr>
                    <pic:cNvPr id="0" name="stage4_ncap_analysis.png"/>
                    <pic:cNvPicPr/>
                  </pic:nvPicPr>
                  <pic:blipFill>
                    <a:blip r:embed="rId12"/>
                    <a:stretch>
                      <a:fillRect/>
                    </a:stretch>
                  </pic:blipFill>
                  <pic:spPr>
                    <a:xfrm>
                      <a:off x="0" y="0"/>
                      <a:ext cx="6080760" cy="3689578"/>
                    </a:xfrm>
                    <a:prstGeom prst="rect"/>
                  </pic:spPr>
                </pic:pic>
              </a:graphicData>
            </a:graphic>
          </wp:inline>
        </w:drawing>
      </w:r>
    </w:p>
    <w:p>
      <w:pPr>
        <w:jc w:val="center"/>
      </w:pPr>
      <w:r>
        <w:rPr>
          <w:i/>
          <w:sz w:val="17"/>
        </w:rPr>
        <w:t>Figure 4. Claim rate by NCAP safety rating.</w:t>
      </w:r>
    </w:p>
    <w:p>
      <w:pPr>
        <w:pStyle w:val="Heading2"/>
      </w:pPr>
      <w:r>
        <w:t>4.5 Speed-Alert Analysis</w:t>
      </w:r>
    </w:p>
    <w:p>
      <w:r>
        <w:t>The observed claim rate is 4.13% for speed-alert=0 and 6.41% for speed-alert=1. Because the alert=0 group contains only 363 policies, this association should be validated on additional data before becoming an underwriting rule.</w:t>
      </w:r>
    </w:p>
    <w:p>
      <w:pPr>
        <w:pStyle w:val="Heading1"/>
      </w:pPr>
      <w:r>
        <w:t>5. Feature Engineering &amp; Explainability</w:t>
      </w:r>
    </w:p>
    <w:p>
      <w:pPr>
        <w:pStyle w:val="ListBullet"/>
        <w:spacing w:after="40"/>
      </w:pPr>
      <w:r>
        <w:t>High_Risk_Driver_Flag — interpretable combined driver/vehicle-safety signal.</w:t>
      </w:r>
    </w:p>
    <w:p>
      <w:pPr>
        <w:pStyle w:val="ListBullet"/>
        <w:spacing w:after="40"/>
      </w:pPr>
      <w:r>
        <w:t>safety_equipment_count — aggregates binary safety-equipment indicators.</w:t>
      </w:r>
    </w:p>
    <w:p>
      <w:pPr>
        <w:pStyle w:val="ListBullet"/>
        <w:spacing w:after="40"/>
      </w:pPr>
      <w:r>
        <w:t>power_to_weight_ratio — captures vehicle performance relative to vehicle weight.</w:t>
      </w:r>
    </w:p>
    <w:p>
      <w:r>
        <w:t>SHAP analysis identifies policy_tenure and age_of_car as the strongest contributors by mean absolute SHAP value, followed by vehicle characteristics such as gross_weight, cylinder and height. These are predictive associations, not causal effects.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8"/>
              </w:rPr>
              <w:t>Top feature</w:t>
            </w:r>
          </w:p>
        </w:tc>
        <w:tc>
          <w:tcPr>
            <w:tcW w:type="dxa" w:w="5112"/>
            <w:vAlign w:val="center"/>
            <w:shd w:fill="DCE6F1"/>
          </w:tcPr>
          <w:p>
            <w:r/>
            <w:r>
              <w:rPr>
                <w:rFonts w:ascii="Aptos" w:hAnsi="Aptos"/>
                <w:b/>
                <w:sz w:val="18"/>
              </w:rPr>
              <w:t>Mean absolute SHAP</w:t>
            </w:r>
          </w:p>
        </w:tc>
      </w:tr>
      <w:tr>
        <w:tc>
          <w:tcPr>
            <w:tcW w:type="dxa" w:w="5112"/>
            <w:vAlign w:val="center"/>
          </w:tcPr>
          <w:p>
            <w:r/>
            <w:r>
              <w:rPr>
                <w:rFonts w:ascii="Aptos" w:hAnsi="Aptos"/>
                <w:b w:val="0"/>
                <w:sz w:val="18"/>
              </w:rPr>
              <w:t>policy_tenure</w:t>
            </w:r>
          </w:p>
        </w:tc>
        <w:tc>
          <w:tcPr>
            <w:tcW w:type="dxa" w:w="5112"/>
            <w:vAlign w:val="center"/>
          </w:tcPr>
          <w:p>
            <w:r/>
            <w:r>
              <w:rPr>
                <w:rFonts w:ascii="Aptos" w:hAnsi="Aptos"/>
                <w:b w:val="0"/>
                <w:sz w:val="18"/>
              </w:rPr>
              <w:t>0.097058</w:t>
            </w:r>
          </w:p>
        </w:tc>
      </w:tr>
      <w:tr>
        <w:tc>
          <w:tcPr>
            <w:tcW w:type="dxa" w:w="5112"/>
            <w:vAlign w:val="center"/>
          </w:tcPr>
          <w:p>
            <w:r/>
            <w:r>
              <w:rPr>
                <w:rFonts w:ascii="Aptos" w:hAnsi="Aptos"/>
                <w:b w:val="0"/>
                <w:sz w:val="18"/>
              </w:rPr>
              <w:t>age_of_car</w:t>
            </w:r>
          </w:p>
        </w:tc>
        <w:tc>
          <w:tcPr>
            <w:tcW w:type="dxa" w:w="5112"/>
            <w:vAlign w:val="center"/>
          </w:tcPr>
          <w:p>
            <w:r/>
            <w:r>
              <w:rPr>
                <w:rFonts w:ascii="Aptos" w:hAnsi="Aptos"/>
                <w:b w:val="0"/>
                <w:sz w:val="18"/>
              </w:rPr>
              <w:t>0.038058</w:t>
            </w:r>
          </w:p>
        </w:tc>
      </w:tr>
      <w:tr>
        <w:tc>
          <w:tcPr>
            <w:tcW w:type="dxa" w:w="5112"/>
            <w:vAlign w:val="center"/>
          </w:tcPr>
          <w:p>
            <w:r/>
            <w:r>
              <w:rPr>
                <w:rFonts w:ascii="Aptos" w:hAnsi="Aptos"/>
                <w:b w:val="0"/>
                <w:sz w:val="18"/>
              </w:rPr>
              <w:t>gross_weight</w:t>
            </w:r>
          </w:p>
        </w:tc>
        <w:tc>
          <w:tcPr>
            <w:tcW w:type="dxa" w:w="5112"/>
            <w:vAlign w:val="center"/>
          </w:tcPr>
          <w:p>
            <w:r/>
            <w:r>
              <w:rPr>
                <w:rFonts w:ascii="Aptos" w:hAnsi="Aptos"/>
                <w:b w:val="0"/>
                <w:sz w:val="18"/>
              </w:rPr>
              <w:t>0.013351</w:t>
            </w:r>
          </w:p>
        </w:tc>
      </w:tr>
      <w:tr>
        <w:tc>
          <w:tcPr>
            <w:tcW w:type="dxa" w:w="5112"/>
            <w:vAlign w:val="center"/>
          </w:tcPr>
          <w:p>
            <w:r/>
            <w:r>
              <w:rPr>
                <w:rFonts w:ascii="Aptos" w:hAnsi="Aptos"/>
                <w:b w:val="0"/>
                <w:sz w:val="18"/>
              </w:rPr>
              <w:t>cylinder</w:t>
            </w:r>
          </w:p>
        </w:tc>
        <w:tc>
          <w:tcPr>
            <w:tcW w:type="dxa" w:w="5112"/>
            <w:vAlign w:val="center"/>
          </w:tcPr>
          <w:p>
            <w:r/>
            <w:r>
              <w:rPr>
                <w:rFonts w:ascii="Aptos" w:hAnsi="Aptos"/>
                <w:b w:val="0"/>
                <w:sz w:val="18"/>
              </w:rPr>
              <w:t>0.012989</w:t>
            </w:r>
          </w:p>
        </w:tc>
      </w:tr>
      <w:tr>
        <w:tc>
          <w:tcPr>
            <w:tcW w:type="dxa" w:w="5112"/>
            <w:vAlign w:val="center"/>
          </w:tcPr>
          <w:p>
            <w:r/>
            <w:r>
              <w:rPr>
                <w:rFonts w:ascii="Aptos" w:hAnsi="Aptos"/>
                <w:b w:val="0"/>
                <w:sz w:val="18"/>
              </w:rPr>
              <w:t>height</w:t>
            </w:r>
          </w:p>
        </w:tc>
        <w:tc>
          <w:tcPr>
            <w:tcW w:type="dxa" w:w="5112"/>
            <w:vAlign w:val="center"/>
          </w:tcPr>
          <w:p>
            <w:r/>
            <w:r>
              <w:rPr>
                <w:rFonts w:ascii="Aptos" w:hAnsi="Aptos"/>
                <w:b w:val="0"/>
                <w:sz w:val="18"/>
              </w:rPr>
              <w:t>0.012534</w:t>
            </w:r>
          </w:p>
        </w:tc>
      </w:tr>
    </w:tbl>
    <w:p/>
    <w:p>
      <w:pPr>
        <w:pStyle w:val="Heading1"/>
      </w:pPr>
      <w:r>
        <w:t>6. Model Results &amp; Final Model Selection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CE6F1"/>
          </w:tcPr>
          <w:p>
            <w:r/>
            <w:r>
              <w:rPr>
                <w:rFonts w:ascii="Aptos" w:hAnsi="Aptos"/>
                <w:b/>
                <w:sz w:val="18"/>
              </w:rPr>
              <w:t>Model</w:t>
            </w:r>
          </w:p>
        </w:tc>
        <w:tc>
          <w:tcPr>
            <w:tcW w:type="dxa" w:w="1704"/>
            <w:vAlign w:val="center"/>
            <w:shd w:fill="DCE6F1"/>
          </w:tcPr>
          <w:p>
            <w:r/>
            <w:r>
              <w:rPr>
                <w:rFonts w:ascii="Aptos" w:hAnsi="Aptos"/>
                <w:b/>
                <w:sz w:val="18"/>
              </w:rPr>
              <w:t>CV ROC-AUC</w:t>
            </w:r>
          </w:p>
        </w:tc>
        <w:tc>
          <w:tcPr>
            <w:tcW w:type="dxa" w:w="1704"/>
            <w:vAlign w:val="center"/>
            <w:shd w:fill="DCE6F1"/>
          </w:tcPr>
          <w:p>
            <w:r/>
            <w:r>
              <w:rPr>
                <w:rFonts w:ascii="Aptos" w:hAnsi="Aptos"/>
                <w:b/>
                <w:sz w:val="18"/>
              </w:rPr>
              <w:t>Test ROC-AUC</w:t>
            </w:r>
          </w:p>
        </w:tc>
        <w:tc>
          <w:tcPr>
            <w:tcW w:type="dxa" w:w="1704"/>
            <w:vAlign w:val="center"/>
            <w:shd w:fill="DCE6F1"/>
          </w:tcPr>
          <w:p>
            <w:r/>
            <w:r>
              <w:rPr>
                <w:rFonts w:ascii="Aptos" w:hAnsi="Aptos"/>
                <w:b/>
                <w:sz w:val="18"/>
              </w:rPr>
              <w:t>Test Recall</w:t>
            </w:r>
          </w:p>
        </w:tc>
        <w:tc>
          <w:tcPr>
            <w:tcW w:type="dxa" w:w="1704"/>
            <w:vAlign w:val="center"/>
            <w:shd w:fill="DCE6F1"/>
          </w:tcPr>
          <w:p>
            <w:r/>
            <w:r>
              <w:rPr>
                <w:rFonts w:ascii="Aptos" w:hAnsi="Aptos"/>
                <w:b/>
                <w:sz w:val="18"/>
              </w:rPr>
              <w:t>Test Precision</w:t>
            </w:r>
          </w:p>
        </w:tc>
        <w:tc>
          <w:tcPr>
            <w:tcW w:type="dxa" w:w="1704"/>
            <w:vAlign w:val="center"/>
            <w:shd w:fill="DCE6F1"/>
          </w:tcPr>
          <w:p>
            <w:r/>
            <w:r>
              <w:rPr>
                <w:rFonts w:ascii="Aptos" w:hAnsi="Aptos"/>
                <w:b/>
                <w:sz w:val="18"/>
              </w:rPr>
              <w:t>Test F1</w:t>
            </w:r>
          </w:p>
        </w:tc>
      </w:tr>
      <w:tr>
        <w:tc>
          <w:tcPr>
            <w:tcW w:type="dxa" w:w="1704"/>
            <w:vAlign w:val="center"/>
          </w:tcPr>
          <w:p>
            <w:r/>
            <w:r>
              <w:rPr>
                <w:rFonts w:ascii="Aptos" w:hAnsi="Aptos"/>
                <w:b w:val="0"/>
                <w:sz w:val="18"/>
              </w:rPr>
              <w:t>Logistic Regression</w:t>
            </w:r>
          </w:p>
        </w:tc>
        <w:tc>
          <w:tcPr>
            <w:tcW w:type="dxa" w:w="1704"/>
            <w:vAlign w:val="center"/>
          </w:tcPr>
          <w:p>
            <w:r/>
            <w:r>
              <w:rPr>
                <w:rFonts w:ascii="Aptos" w:hAnsi="Aptos"/>
                <w:b w:val="0"/>
                <w:sz w:val="18"/>
              </w:rPr>
              <w:t>0.610 ± 0.007</w:t>
            </w:r>
          </w:p>
        </w:tc>
        <w:tc>
          <w:tcPr>
            <w:tcW w:type="dxa" w:w="1704"/>
            <w:vAlign w:val="center"/>
          </w:tcPr>
          <w:p>
            <w:r/>
            <w:r>
              <w:rPr>
                <w:rFonts w:ascii="Aptos" w:hAnsi="Aptos"/>
                <w:b w:val="0"/>
                <w:sz w:val="18"/>
              </w:rPr>
              <w:t>0.586</w:t>
            </w:r>
          </w:p>
        </w:tc>
        <w:tc>
          <w:tcPr>
            <w:tcW w:type="dxa" w:w="1704"/>
            <w:vAlign w:val="center"/>
          </w:tcPr>
          <w:p>
            <w:r/>
            <w:r>
              <w:rPr>
                <w:rFonts w:ascii="Aptos" w:hAnsi="Aptos"/>
                <w:b w:val="0"/>
                <w:sz w:val="18"/>
              </w:rPr>
              <w:t>0.547</w:t>
            </w:r>
          </w:p>
        </w:tc>
        <w:tc>
          <w:tcPr>
            <w:tcW w:type="dxa" w:w="1704"/>
            <w:vAlign w:val="center"/>
          </w:tcPr>
          <w:p>
            <w:r/>
            <w:r>
              <w:rPr>
                <w:rFonts w:ascii="Aptos" w:hAnsi="Aptos"/>
                <w:b w:val="0"/>
                <w:sz w:val="18"/>
              </w:rPr>
              <w:t>0.080</w:t>
            </w:r>
          </w:p>
        </w:tc>
        <w:tc>
          <w:tcPr>
            <w:tcW w:type="dxa" w:w="1704"/>
            <w:vAlign w:val="center"/>
          </w:tcPr>
          <w:p>
            <w:r/>
            <w:r>
              <w:rPr>
                <w:rFonts w:ascii="Aptos" w:hAnsi="Aptos"/>
                <w:b w:val="0"/>
                <w:sz w:val="18"/>
              </w:rPr>
              <w:t>0.140</w:t>
            </w:r>
          </w:p>
        </w:tc>
      </w:tr>
      <w:tr>
        <w:tc>
          <w:tcPr>
            <w:tcW w:type="dxa" w:w="1704"/>
            <w:vAlign w:val="center"/>
          </w:tcPr>
          <w:p>
            <w:r/>
            <w:r>
              <w:rPr>
                <w:rFonts w:ascii="Aptos" w:hAnsi="Aptos"/>
                <w:b w:val="0"/>
                <w:sz w:val="18"/>
              </w:rPr>
              <w:t>Tuned Decision Tree</w:t>
            </w:r>
          </w:p>
        </w:tc>
        <w:tc>
          <w:tcPr>
            <w:tcW w:type="dxa" w:w="1704"/>
            <w:vAlign w:val="center"/>
          </w:tcPr>
          <w:p>
            <w:r/>
            <w:r>
              <w:rPr>
                <w:rFonts w:ascii="Aptos" w:hAnsi="Aptos"/>
                <w:b w:val="0"/>
                <w:sz w:val="18"/>
              </w:rPr>
              <w:t>0.638 ± 0.015</w:t>
            </w:r>
          </w:p>
        </w:tc>
        <w:tc>
          <w:tcPr>
            <w:tcW w:type="dxa" w:w="1704"/>
            <w:vAlign w:val="center"/>
          </w:tcPr>
          <w:p>
            <w:r/>
            <w:r>
              <w:rPr>
                <w:rFonts w:ascii="Aptos" w:hAnsi="Aptos"/>
                <w:b w:val="0"/>
                <w:sz w:val="18"/>
              </w:rPr>
              <w:t>0.647</w:t>
            </w:r>
          </w:p>
        </w:tc>
        <w:tc>
          <w:tcPr>
            <w:tcW w:type="dxa" w:w="1704"/>
            <w:vAlign w:val="center"/>
          </w:tcPr>
          <w:p>
            <w:r/>
            <w:r>
              <w:rPr>
                <w:rFonts w:ascii="Aptos" w:hAnsi="Aptos"/>
                <w:b w:val="0"/>
                <w:sz w:val="18"/>
              </w:rPr>
              <w:t>0.652</w:t>
            </w:r>
          </w:p>
        </w:tc>
        <w:tc>
          <w:tcPr>
            <w:tcW w:type="dxa" w:w="1704"/>
            <w:vAlign w:val="center"/>
          </w:tcPr>
          <w:p>
            <w:r/>
            <w:r>
              <w:rPr>
                <w:rFonts w:ascii="Aptos" w:hAnsi="Aptos"/>
                <w:b w:val="0"/>
                <w:sz w:val="18"/>
              </w:rPr>
              <w:t>0.089</w:t>
            </w:r>
          </w:p>
        </w:tc>
        <w:tc>
          <w:tcPr>
            <w:tcW w:type="dxa" w:w="1704"/>
            <w:vAlign w:val="center"/>
          </w:tcPr>
          <w:p>
            <w:r/>
            <w:r>
              <w:rPr>
                <w:rFonts w:ascii="Aptos" w:hAnsi="Aptos"/>
                <w:b w:val="0"/>
                <w:sz w:val="18"/>
              </w:rPr>
              <w:t>0.157</w:t>
            </w:r>
          </w:p>
        </w:tc>
      </w:tr>
    </w:tbl>
    <w:p/>
    <w:p>
      <w:r>
        <w:t>The Tuned Decision Tree is selected because it provides stronger unseen-data ranking and claim capture: ROC-AUC 0.647 versus 0.586 and recall 0.652 versus 0.547 for Logistic Regression. Its CV ROC-AUC is 0.638 ± 0.015.</w:t>
      </w:r>
    </w:p>
    <w:p>
      <w:r>
        <w:t>The main operational trade-off is low precision. The model is therefore best used as a triage engine that focuses human attention rather than as an autonomous decision-maker.</w:t>
      </w:r>
    </w:p>
    <w:p>
      <w:pPr>
        <w:pStyle w:val="Heading1"/>
      </w:pPr>
      <w:r>
        <w:t>7. Final Prediction Output</w:t>
      </w:r>
    </w:p>
    <w:p>
      <w:r>
        <w:t>The required prediction_output.csv has been generated from the held-out test predictions. It contains policy ID, actual class, predicted class, claim probability and model risk level for all 11,719 held-out policies.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6F1"/>
          </w:tcPr>
          <w:p>
            <w:r/>
            <w:r>
              <w:rPr>
                <w:rFonts w:ascii="Aptos" w:hAnsi="Aptos"/>
                <w:b/>
                <w:sz w:val="18"/>
              </w:rPr>
              <w:t>Risk level</w:t>
            </w:r>
          </w:p>
        </w:tc>
        <w:tc>
          <w:tcPr>
            <w:tcW w:type="dxa" w:w="2556"/>
            <w:vAlign w:val="center"/>
            <w:shd w:fill="DCE6F1"/>
          </w:tcPr>
          <w:p>
            <w:r/>
            <w:r>
              <w:rPr>
                <w:rFonts w:ascii="Aptos" w:hAnsi="Aptos"/>
                <w:b/>
                <w:sz w:val="18"/>
              </w:rPr>
              <w:t>Policies</w:t>
            </w:r>
          </w:p>
        </w:tc>
        <w:tc>
          <w:tcPr>
            <w:tcW w:type="dxa" w:w="2556"/>
            <w:vAlign w:val="center"/>
            <w:shd w:fill="DCE6F1"/>
          </w:tcPr>
          <w:p>
            <w:r/>
            <w:r>
              <w:rPr>
                <w:rFonts w:ascii="Aptos" w:hAnsi="Aptos"/>
                <w:b/>
                <w:sz w:val="18"/>
              </w:rPr>
              <w:t>Share</w:t>
            </w:r>
          </w:p>
        </w:tc>
        <w:tc>
          <w:tcPr>
            <w:tcW w:type="dxa" w:w="2556"/>
            <w:vAlign w:val="center"/>
            <w:shd w:fill="DCE6F1"/>
          </w:tcPr>
          <w:p>
            <w:r/>
            <w:r>
              <w:rPr>
                <w:rFonts w:ascii="Aptos" w:hAnsi="Aptos"/>
                <w:b/>
                <w:sz w:val="18"/>
              </w:rPr>
              <w:t>Actual claim rate</w:t>
            </w:r>
          </w:p>
        </w:tc>
      </w:tr>
      <w:tr>
        <w:tc>
          <w:tcPr>
            <w:tcW w:type="dxa" w:w="2556"/>
            <w:vAlign w:val="center"/>
          </w:tcPr>
          <w:p>
            <w:r/>
            <w:r>
              <w:rPr>
                <w:rFonts w:ascii="Aptos" w:hAnsi="Aptos"/>
                <w:b w:val="0"/>
                <w:sz w:val="18"/>
              </w:rPr>
              <w:t>Low</w:t>
            </w:r>
          </w:p>
        </w:tc>
        <w:tc>
          <w:tcPr>
            <w:tcW w:type="dxa" w:w="2556"/>
            <w:vAlign w:val="center"/>
          </w:tcPr>
          <w:p>
            <w:r/>
            <w:r>
              <w:rPr>
                <w:rFonts w:ascii="Aptos" w:hAnsi="Aptos"/>
                <w:b w:val="0"/>
                <w:sz w:val="18"/>
              </w:rPr>
              <w:t>4,687</w:t>
            </w:r>
          </w:p>
        </w:tc>
        <w:tc>
          <w:tcPr>
            <w:tcW w:type="dxa" w:w="2556"/>
            <w:vAlign w:val="center"/>
          </w:tcPr>
          <w:p>
            <w:r/>
            <w:r>
              <w:rPr>
                <w:rFonts w:ascii="Aptos" w:hAnsi="Aptos"/>
                <w:b w:val="0"/>
                <w:sz w:val="18"/>
              </w:rPr>
              <w:t>39.99%</w:t>
            </w:r>
          </w:p>
        </w:tc>
        <w:tc>
          <w:tcPr>
            <w:tcW w:type="dxa" w:w="2556"/>
            <w:vAlign w:val="center"/>
          </w:tcPr>
          <w:p>
            <w:r/>
            <w:r>
              <w:rPr>
                <w:rFonts w:ascii="Aptos" w:hAnsi="Aptos"/>
                <w:b w:val="0"/>
                <w:sz w:val="18"/>
              </w:rPr>
              <w:t>3.39%</w:t>
            </w:r>
          </w:p>
        </w:tc>
      </w:tr>
      <w:tr>
        <w:tc>
          <w:tcPr>
            <w:tcW w:type="dxa" w:w="2556"/>
            <w:vAlign w:val="center"/>
          </w:tcPr>
          <w:p>
            <w:r/>
            <w:r>
              <w:rPr>
                <w:rFonts w:ascii="Aptos" w:hAnsi="Aptos"/>
                <w:b w:val="0"/>
                <w:sz w:val="18"/>
              </w:rPr>
              <w:t>Medium</w:t>
            </w:r>
          </w:p>
        </w:tc>
        <w:tc>
          <w:tcPr>
            <w:tcW w:type="dxa" w:w="2556"/>
            <w:vAlign w:val="center"/>
          </w:tcPr>
          <w:p>
            <w:r/>
            <w:r>
              <w:rPr>
                <w:rFonts w:ascii="Aptos" w:hAnsi="Aptos"/>
                <w:b w:val="0"/>
                <w:sz w:val="18"/>
              </w:rPr>
              <w:t>4,102</w:t>
            </w:r>
          </w:p>
        </w:tc>
        <w:tc>
          <w:tcPr>
            <w:tcW w:type="dxa" w:w="2556"/>
            <w:vAlign w:val="center"/>
          </w:tcPr>
          <w:p>
            <w:r/>
            <w:r>
              <w:rPr>
                <w:rFonts w:ascii="Aptos" w:hAnsi="Aptos"/>
                <w:b w:val="0"/>
                <w:sz w:val="18"/>
              </w:rPr>
              <w:t>35.00%</w:t>
            </w:r>
          </w:p>
        </w:tc>
        <w:tc>
          <w:tcPr>
            <w:tcW w:type="dxa" w:w="2556"/>
            <w:vAlign w:val="center"/>
          </w:tcPr>
          <w:p>
            <w:r/>
            <w:r>
              <w:rPr>
                <w:rFonts w:ascii="Aptos" w:hAnsi="Aptos"/>
                <w:b w:val="0"/>
                <w:sz w:val="18"/>
              </w:rPr>
              <w:t>7.22%</w:t>
            </w:r>
          </w:p>
        </w:tc>
      </w:tr>
      <w:tr>
        <w:tc>
          <w:tcPr>
            <w:tcW w:type="dxa" w:w="2556"/>
            <w:vAlign w:val="center"/>
          </w:tcPr>
          <w:p>
            <w:r/>
            <w:r>
              <w:rPr>
                <w:rFonts w:ascii="Aptos" w:hAnsi="Aptos"/>
                <w:b w:val="0"/>
                <w:sz w:val="18"/>
              </w:rPr>
              <w:t>High</w:t>
            </w:r>
          </w:p>
        </w:tc>
        <w:tc>
          <w:tcPr>
            <w:tcW w:type="dxa" w:w="2556"/>
            <w:vAlign w:val="center"/>
          </w:tcPr>
          <w:p>
            <w:r/>
            <w:r>
              <w:rPr>
                <w:rFonts w:ascii="Aptos" w:hAnsi="Aptos"/>
                <w:b w:val="0"/>
                <w:sz w:val="18"/>
              </w:rPr>
              <w:t>1,758</w:t>
            </w:r>
          </w:p>
        </w:tc>
        <w:tc>
          <w:tcPr>
            <w:tcW w:type="dxa" w:w="2556"/>
            <w:vAlign w:val="center"/>
          </w:tcPr>
          <w:p>
            <w:r/>
            <w:r>
              <w:rPr>
                <w:rFonts w:ascii="Aptos" w:hAnsi="Aptos"/>
                <w:b w:val="0"/>
                <w:sz w:val="18"/>
              </w:rPr>
              <w:t>15.00%</w:t>
            </w:r>
          </w:p>
        </w:tc>
        <w:tc>
          <w:tcPr>
            <w:tcW w:type="dxa" w:w="2556"/>
            <w:vAlign w:val="center"/>
          </w:tcPr>
          <w:p>
            <w:r/>
            <w:r>
              <w:rPr>
                <w:rFonts w:ascii="Aptos" w:hAnsi="Aptos"/>
                <w:b w:val="0"/>
                <w:sz w:val="18"/>
              </w:rPr>
              <w:t>9.10%</w:t>
            </w:r>
          </w:p>
        </w:tc>
      </w:tr>
      <w:tr>
        <w:tc>
          <w:tcPr>
            <w:tcW w:type="dxa" w:w="2556"/>
            <w:vAlign w:val="center"/>
          </w:tcPr>
          <w:p>
            <w:r/>
            <w:r>
              <w:rPr>
                <w:rFonts w:ascii="Aptos" w:hAnsi="Aptos"/>
                <w:b w:val="0"/>
                <w:sz w:val="18"/>
              </w:rPr>
              <w:t>Very High</w:t>
            </w:r>
          </w:p>
        </w:tc>
        <w:tc>
          <w:tcPr>
            <w:tcW w:type="dxa" w:w="2556"/>
            <w:vAlign w:val="center"/>
          </w:tcPr>
          <w:p>
            <w:r/>
            <w:r>
              <w:rPr>
                <w:rFonts w:ascii="Aptos" w:hAnsi="Aptos"/>
                <w:b w:val="0"/>
                <w:sz w:val="18"/>
              </w:rPr>
              <w:t>1,172</w:t>
            </w:r>
          </w:p>
        </w:tc>
        <w:tc>
          <w:tcPr>
            <w:tcW w:type="dxa" w:w="2556"/>
            <w:vAlign w:val="center"/>
          </w:tcPr>
          <w:p>
            <w:r/>
            <w:r>
              <w:rPr>
                <w:rFonts w:ascii="Aptos" w:hAnsi="Aptos"/>
                <w:b w:val="0"/>
                <w:sz w:val="18"/>
              </w:rPr>
              <w:t>10.00%</w:t>
            </w:r>
          </w:p>
        </w:tc>
        <w:tc>
          <w:tcPr>
            <w:tcW w:type="dxa" w:w="2556"/>
            <w:vAlign w:val="center"/>
          </w:tcPr>
          <w:p>
            <w:r/>
            <w:r>
              <w:rPr>
                <w:rFonts w:ascii="Aptos" w:hAnsi="Aptos"/>
                <w:b w:val="0"/>
                <w:sz w:val="18"/>
              </w:rPr>
              <w:t>11.52%</w:t>
            </w:r>
          </w:p>
        </w:tc>
      </w:tr>
    </w:tbl>
    <w:p/>
    <w:p>
      <w:r>
        <w:t>Very High and High risk should form the first review queues because they have the highest realised claim rates. Medium risk can receive secondary review, while Low risk can receive lower manual-review priority, subject to calibration and business-policy validation.</w:t>
      </w:r>
    </w:p>
    <w:p>
      <w:pPr>
        <w:pStyle w:val="Heading1"/>
      </w:pPr>
      <w:r>
        <w:t>8. Dashboard &amp; Management Use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8"/>
              </w:rPr>
              <w:t>Dashboard element</w:t>
            </w:r>
          </w:p>
        </w:tc>
        <w:tc>
          <w:tcPr>
            <w:tcW w:type="dxa" w:w="5112"/>
            <w:vAlign w:val="center"/>
            <w:shd w:fill="DCE6F1"/>
          </w:tcPr>
          <w:p>
            <w:r/>
            <w:r>
              <w:rPr>
                <w:rFonts w:ascii="Aptos" w:hAnsi="Aptos"/>
                <w:b/>
                <w:sz w:val="18"/>
              </w:rPr>
              <w:t>Decision use</w:t>
            </w:r>
          </w:p>
        </w:tc>
      </w:tr>
      <w:tr>
        <w:tc>
          <w:tcPr>
            <w:tcW w:type="dxa" w:w="5112"/>
            <w:vAlign w:val="center"/>
          </w:tcPr>
          <w:p>
            <w:r/>
            <w:r>
              <w:rPr>
                <w:rFonts w:ascii="Aptos" w:hAnsi="Aptos"/>
                <w:b w:val="0"/>
                <w:sz w:val="18"/>
              </w:rPr>
              <w:t>Total Policies / Total Claims / Claim Rate</w:t>
            </w:r>
          </w:p>
        </w:tc>
        <w:tc>
          <w:tcPr>
            <w:tcW w:type="dxa" w:w="5112"/>
            <w:vAlign w:val="center"/>
          </w:tcPr>
          <w:p>
            <w:r/>
            <w:r>
              <w:rPr>
                <w:rFonts w:ascii="Aptos" w:hAnsi="Aptos"/>
                <w:b w:val="0"/>
                <w:sz w:val="18"/>
              </w:rPr>
              <w:t>Monitor portfolio scale and claim burden.</w:t>
            </w:r>
          </w:p>
        </w:tc>
      </w:tr>
      <w:tr>
        <w:tc>
          <w:tcPr>
            <w:tcW w:type="dxa" w:w="5112"/>
            <w:vAlign w:val="center"/>
          </w:tcPr>
          <w:p>
            <w:r/>
            <w:r>
              <w:rPr>
                <w:rFonts w:ascii="Aptos" w:hAnsi="Aptos"/>
                <w:b w:val="0"/>
                <w:sz w:val="18"/>
              </w:rPr>
              <w:t>Predicted Risk Level</w:t>
            </w:r>
          </w:p>
        </w:tc>
        <w:tc>
          <w:tcPr>
            <w:tcW w:type="dxa" w:w="5112"/>
            <w:vAlign w:val="center"/>
          </w:tcPr>
          <w:p>
            <w:r/>
            <w:r>
              <w:rPr>
                <w:rFonts w:ascii="Aptos" w:hAnsi="Aptos"/>
                <w:b w:val="0"/>
                <w:sz w:val="18"/>
              </w:rPr>
              <w:t>Prioritise manual review and underwriting attention.</w:t>
            </w:r>
          </w:p>
        </w:tc>
      </w:tr>
      <w:tr>
        <w:tc>
          <w:tcPr>
            <w:tcW w:type="dxa" w:w="5112"/>
            <w:vAlign w:val="center"/>
          </w:tcPr>
          <w:p>
            <w:r/>
            <w:r>
              <w:rPr>
                <w:rFonts w:ascii="Aptos" w:hAnsi="Aptos"/>
                <w:b w:val="0"/>
                <w:sz w:val="18"/>
              </w:rPr>
              <w:t>Claim Probability</w:t>
            </w:r>
          </w:p>
        </w:tc>
        <w:tc>
          <w:tcPr>
            <w:tcW w:type="dxa" w:w="5112"/>
            <w:vAlign w:val="center"/>
          </w:tcPr>
          <w:p>
            <w:r/>
            <w:r>
              <w:rPr>
                <w:rFonts w:ascii="Aptos" w:hAnsi="Aptos"/>
                <w:b w:val="0"/>
                <w:sz w:val="18"/>
              </w:rPr>
              <w:t>Provide a graded risk signal rather than a binary flag.</w:t>
            </w:r>
          </w:p>
        </w:tc>
      </w:tr>
      <w:tr>
        <w:tc>
          <w:tcPr>
            <w:tcW w:type="dxa" w:w="5112"/>
            <w:vAlign w:val="center"/>
          </w:tcPr>
          <w:p>
            <w:r/>
            <w:r>
              <w:rPr>
                <w:rFonts w:ascii="Aptos" w:hAnsi="Aptos"/>
                <w:b w:val="0"/>
                <w:sz w:val="18"/>
              </w:rPr>
              <w:t>Claim Distribution</w:t>
            </w:r>
          </w:p>
        </w:tc>
        <w:tc>
          <w:tcPr>
            <w:tcW w:type="dxa" w:w="5112"/>
            <w:vAlign w:val="center"/>
          </w:tcPr>
          <w:p>
            <w:r/>
            <w:r>
              <w:rPr>
                <w:rFonts w:ascii="Aptos" w:hAnsi="Aptos"/>
                <w:b w:val="0"/>
                <w:sz w:val="18"/>
              </w:rPr>
              <w:t>Show class imbalance and portfolio context.</w:t>
            </w:r>
          </w:p>
        </w:tc>
      </w:tr>
      <w:tr>
        <w:tc>
          <w:tcPr>
            <w:tcW w:type="dxa" w:w="5112"/>
            <w:vAlign w:val="center"/>
          </w:tcPr>
          <w:p>
            <w:r/>
            <w:r>
              <w:rPr>
                <w:rFonts w:ascii="Aptos" w:hAnsi="Aptos"/>
                <w:b w:val="0"/>
                <w:sz w:val="18"/>
              </w:rPr>
              <w:t>Driver Risk Segmentation</w:t>
            </w:r>
          </w:p>
        </w:tc>
        <w:tc>
          <w:tcPr>
            <w:tcW w:type="dxa" w:w="5112"/>
            <w:vAlign w:val="center"/>
          </w:tcPr>
          <w:p>
            <w:r/>
            <w:r>
              <w:rPr>
                <w:rFonts w:ascii="Aptos" w:hAnsi="Aptos"/>
                <w:b w:val="0"/>
                <w:sz w:val="18"/>
              </w:rPr>
              <w:t>Compare descriptive segments with realised outcomes.</w:t>
            </w:r>
          </w:p>
        </w:tc>
      </w:tr>
      <w:tr>
        <w:tc>
          <w:tcPr>
            <w:tcW w:type="dxa" w:w="5112"/>
            <w:vAlign w:val="center"/>
          </w:tcPr>
          <w:p>
            <w:r/>
            <w:r>
              <w:rPr>
                <w:rFonts w:ascii="Aptos" w:hAnsi="Aptos"/>
                <w:b w:val="0"/>
                <w:sz w:val="18"/>
              </w:rPr>
              <w:t>NCAP Analysis</w:t>
            </w:r>
          </w:p>
        </w:tc>
        <w:tc>
          <w:tcPr>
            <w:tcW w:type="dxa" w:w="5112"/>
            <w:vAlign w:val="center"/>
          </w:tcPr>
          <w:p>
            <w:r/>
            <w:r>
              <w:rPr>
                <w:rFonts w:ascii="Aptos" w:hAnsi="Aptos"/>
                <w:b w:val="0"/>
                <w:sz w:val="18"/>
              </w:rPr>
              <w:t>Monitor safety-rating claim patterns.</w:t>
            </w:r>
          </w:p>
        </w:tc>
      </w:tr>
      <w:tr>
        <w:tc>
          <w:tcPr>
            <w:tcW w:type="dxa" w:w="5112"/>
            <w:vAlign w:val="center"/>
          </w:tcPr>
          <w:p>
            <w:r/>
            <w:r>
              <w:rPr>
                <w:rFonts w:ascii="Aptos" w:hAnsi="Aptos"/>
                <w:b w:val="0"/>
                <w:sz w:val="18"/>
              </w:rPr>
              <w:t>Speed Alert Analysis</w:t>
            </w:r>
          </w:p>
        </w:tc>
        <w:tc>
          <w:tcPr>
            <w:tcW w:type="dxa" w:w="5112"/>
            <w:vAlign w:val="center"/>
          </w:tcPr>
          <w:p>
            <w:r/>
            <w:r>
              <w:rPr>
                <w:rFonts w:ascii="Aptos" w:hAnsi="Aptos"/>
                <w:b w:val="0"/>
                <w:sz w:val="18"/>
              </w:rPr>
              <w:t>Investigate safety/behaviour associations cautiously.</w:t>
            </w:r>
          </w:p>
        </w:tc>
      </w:tr>
    </w:tbl>
    <w:p/>
    <w:p>
      <w:pPr>
        <w:pStyle w:val="Heading1"/>
      </w:pPr>
      <w:r>
        <w:t>9. Business Implications &amp; Recommendations</w:t>
      </w:r>
    </w:p>
    <w:p>
      <w:pPr>
        <w:pStyle w:val="Heading2"/>
      </w:pPr>
      <w:r>
        <w:t>9.1 Underwriting</w:t>
      </w:r>
    </w:p>
    <w:p>
      <w:pPr>
        <w:pStyle w:val="ListBullet"/>
        <w:spacing w:after="40"/>
      </w:pPr>
      <w:r>
        <w:t>Use model probability and risk level to prioritise review rather than fully automated accept/reject decisions.</w:t>
      </w:r>
    </w:p>
    <w:p>
      <w:pPr>
        <w:pStyle w:val="ListBullet"/>
        <w:spacing w:after="40"/>
      </w:pPr>
      <w:r>
        <w:t>Apply additional underwriting checks to High and Very High risk policies where other evidence supports the model signal.</w:t>
      </w:r>
    </w:p>
    <w:p>
      <w:pPr>
        <w:pStyle w:val="ListBullet"/>
        <w:spacing w:after="40"/>
      </w:pPr>
      <w:r>
        <w:t>Select thresholds using an explicit cost matrix balancing missed claims against manual-review workload.</w:t>
      </w:r>
    </w:p>
    <w:p>
      <w:pPr>
        <w:pStyle w:val="Heading2"/>
      </w:pPr>
      <w:r>
        <w:t>9.2 Pricing &amp; Portfolio Management</w:t>
      </w:r>
    </w:p>
    <w:p>
      <w:pPr>
        <w:pStyle w:val="ListBullet"/>
        <w:spacing w:after="40"/>
      </w:pPr>
      <w:r>
        <w:t>Use predicted risk as one input to actuarial segmentation, subject to calibration, regulatory and fairness review.</w:t>
      </w:r>
    </w:p>
    <w:p>
      <w:pPr>
        <w:pStyle w:val="ListBullet"/>
        <w:spacing w:after="40"/>
      </w:pPr>
      <w:r>
        <w:t>Compare realised claim/loss experience by predicted-risk tier before implementing risk-based pricing changes.</w:t>
      </w:r>
    </w:p>
    <w:p>
      <w:pPr>
        <w:pStyle w:val="ListBullet"/>
        <w:spacing w:after="40"/>
      </w:pPr>
      <w:r>
        <w:t>Do not rely on descriptive driver-risk labels alone when their observed claim relationship is not monotonic.</w:t>
      </w:r>
    </w:p>
    <w:p>
      <w:pPr>
        <w:pStyle w:val="Heading2"/>
      </w:pPr>
      <w:r>
        <w:t>9.3 Prevention &amp; Risk Management</w:t>
      </w:r>
    </w:p>
    <w:p>
      <w:pPr>
        <w:pStyle w:val="ListBullet"/>
        <w:spacing w:after="40"/>
      </w:pPr>
      <w:r>
        <w:t>Use safety-related signals to identify targeted prevention opportunities.</w:t>
      </w:r>
    </w:p>
    <w:p>
      <w:pPr>
        <w:pStyle w:val="ListBullet"/>
        <w:spacing w:after="40"/>
      </w:pPr>
      <w:r>
        <w:t>Validate interventions using subsequent outcomes rather than assuming causality.</w:t>
      </w:r>
    </w:p>
    <w:p>
      <w:pPr>
        <w:pStyle w:val="ListBullet"/>
        <w:spacing w:after="40"/>
      </w:pPr>
      <w:r>
        <w:t>Investigate the speed-alert relationship further with a larger and more balanced sample.</w:t>
      </w:r>
    </w:p>
    <w:p>
      <w:pPr>
        <w:pStyle w:val="Heading2"/>
      </w:pPr>
      <w:r>
        <w:t>9.4 Model Governance</w:t>
      </w:r>
    </w:p>
    <w:p>
      <w:pPr>
        <w:pStyle w:val="ListBullet"/>
        <w:spacing w:after="40"/>
      </w:pPr>
      <w:r>
        <w:t>Monitor ROC-AUC, recall, precision, F1 and probability calibration after deployment.</w:t>
      </w:r>
    </w:p>
    <w:p>
      <w:pPr>
        <w:pStyle w:val="ListBullet"/>
        <w:spacing w:after="40"/>
      </w:pPr>
      <w:r>
        <w:t>Monitor population and feature drift over time.</w:t>
      </w:r>
    </w:p>
    <w:p>
      <w:pPr>
        <w:pStyle w:val="ListBullet"/>
        <w:spacing w:after="40"/>
      </w:pPr>
      <w:r>
        <w:t>Track false positives and false negatives as thresholds change.</w:t>
      </w:r>
    </w:p>
    <w:p>
      <w:pPr>
        <w:pStyle w:val="ListBullet"/>
        <w:spacing w:after="40"/>
      </w:pPr>
      <w:r>
        <w:t>Assess subgroup performance and fairness before consequential automated use.</w:t>
      </w:r>
    </w:p>
    <w:p>
      <w:pPr>
        <w:pStyle w:val="ListBullet"/>
        <w:spacing w:after="40"/>
      </w:pPr>
      <w:r>
        <w:t>Revalidate on future/temporal data.</w:t>
      </w:r>
    </w:p>
    <w:p>
      <w:pPr>
        <w:pStyle w:val="Heading1"/>
      </w:pPr>
      <w:r>
        <w:t>10. Limitations &amp; Next Steps</w:t>
      </w:r>
    </w:p>
    <w:p>
      <w:pPr>
        <w:pStyle w:val="ListBullet"/>
        <w:spacing w:after="40"/>
      </w:pPr>
      <w:r>
        <w:t>Observational data does not establish causality.</w:t>
      </w:r>
    </w:p>
    <w:p>
      <w:pPr>
        <w:pStyle w:val="ListBullet"/>
        <w:spacing w:after="40"/>
      </w:pPr>
      <w:r>
        <w:t>Class imbalance makes accuracy insufficient as a standalone metric.</w:t>
      </w:r>
    </w:p>
    <w:p>
      <w:pPr>
        <w:pStyle w:val="ListBullet"/>
        <w:spacing w:after="40"/>
      </w:pPr>
      <w:r>
        <w:t>The Decision Tree has useful recall but relatively low precision, which can create a large review workload.</w:t>
      </w:r>
    </w:p>
    <w:p>
      <w:pPr>
        <w:pStyle w:val="ListBullet"/>
        <w:spacing w:after="40"/>
      </w:pPr>
      <w:r>
        <w:t>Probability calibration should be explicitly assessed before interpreting probabilities as expected claim frequencies.</w:t>
      </w:r>
    </w:p>
    <w:p>
      <w:pPr>
        <w:pStyle w:val="ListBullet"/>
        <w:spacing w:after="40"/>
      </w:pPr>
      <w:r>
        <w:t>External or temporal validation is needed before production deployment.</w:t>
      </w:r>
    </w:p>
    <w:p>
      <w:pPr>
        <w:pStyle w:val="ListBullet"/>
        <w:spacing w:after="40"/>
      </w:pPr>
      <w:r>
        <w:t>Thresholds should be selected using business costs and available underwriting capacity.</w:t>
      </w:r>
    </w:p>
    <w:p>
      <w:pPr>
        <w:pStyle w:val="ListBullet"/>
        <w:spacing w:after="40"/>
      </w:pPr>
      <w:r>
        <w:t>Subgroup/fairness analysis should be completed before production use.</w:t>
      </w:r>
    </w:p>
    <w:p>
      <w:pPr>
        <w:pStyle w:val="Heading1"/>
      </w:pPr>
      <w:r>
        <w:t>11. Conclusion</w:t>
      </w:r>
    </w:p>
    <w:p>
      <w:r>
        <w:t>The Stage 4 results support a practical risk-prioritisation use case. On unseen data, realised claim incidence rises from Low to Very High model risk, providing a clear management signal. The recommended operating model is human-in-the-loop underwriting, with model probability and risk level used to focus attention and descriptive analytics used as supporting context.</w:t>
      </w:r>
    </w:p>
    <w:p>
      <w:pPr>
        <w:pStyle w:val="Heading1"/>
      </w:pPr>
      <w:r>
        <w:t>Appendix — Held-Out Test 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rFonts w:ascii="Aptos" w:hAnsi="Aptos"/>
                <w:b/>
                <w:sz w:val="18"/>
              </w:rPr>
            </w:r>
          </w:p>
        </w:tc>
        <w:tc>
          <w:tcPr>
            <w:tcW w:type="dxa" w:w="3408"/>
            <w:vAlign w:val="center"/>
            <w:shd w:fill="DCE6F1"/>
          </w:tcPr>
          <w:p>
            <w:r/>
            <w:r>
              <w:rPr>
                <w:rFonts w:ascii="Aptos" w:hAnsi="Aptos"/>
                <w:b/>
                <w:sz w:val="18"/>
              </w:rPr>
              <w:t>Predicted 0</w:t>
            </w:r>
          </w:p>
        </w:tc>
        <w:tc>
          <w:tcPr>
            <w:tcW w:type="dxa" w:w="3408"/>
            <w:vAlign w:val="center"/>
            <w:shd w:fill="DCE6F1"/>
          </w:tcPr>
          <w:p>
            <w:r/>
            <w:r>
              <w:rPr>
                <w:rFonts w:ascii="Aptos" w:hAnsi="Aptos"/>
                <w:b/>
                <w:sz w:val="18"/>
              </w:rPr>
              <w:t>Predicted 1</w:t>
            </w:r>
          </w:p>
        </w:tc>
      </w:tr>
      <w:tr>
        <w:tc>
          <w:tcPr>
            <w:tcW w:type="dxa" w:w="3408"/>
            <w:vAlign w:val="center"/>
          </w:tcPr>
          <w:p>
            <w:r/>
            <w:r>
              <w:rPr>
                <w:rFonts w:ascii="Aptos" w:hAnsi="Aptos"/>
                <w:b w:val="0"/>
                <w:sz w:val="18"/>
              </w:rPr>
              <w:t>Actual 0</w:t>
            </w:r>
          </w:p>
        </w:tc>
        <w:tc>
          <w:tcPr>
            <w:tcW w:type="dxa" w:w="3408"/>
            <w:vAlign w:val="center"/>
          </w:tcPr>
          <w:p>
            <w:r/>
            <w:r>
              <w:rPr>
                <w:rFonts w:ascii="Aptos" w:hAnsi="Aptos"/>
                <w:b w:val="0"/>
                <w:sz w:val="18"/>
              </w:rPr>
              <w:t>5286</w:t>
            </w:r>
          </w:p>
        </w:tc>
        <w:tc>
          <w:tcPr>
            <w:tcW w:type="dxa" w:w="3408"/>
            <w:vAlign w:val="center"/>
          </w:tcPr>
          <w:p>
            <w:r/>
            <w:r>
              <w:rPr>
                <w:rFonts w:ascii="Aptos" w:hAnsi="Aptos"/>
                <w:b w:val="0"/>
                <w:sz w:val="18"/>
              </w:rPr>
              <w:t>5683</w:t>
            </w:r>
          </w:p>
        </w:tc>
      </w:tr>
      <w:tr>
        <w:tc>
          <w:tcPr>
            <w:tcW w:type="dxa" w:w="3408"/>
            <w:vAlign w:val="center"/>
          </w:tcPr>
          <w:p>
            <w:r/>
            <w:r>
              <w:rPr>
                <w:rFonts w:ascii="Aptos" w:hAnsi="Aptos"/>
                <w:b w:val="0"/>
                <w:sz w:val="18"/>
              </w:rPr>
              <w:t>Actual 1</w:t>
            </w:r>
          </w:p>
        </w:tc>
        <w:tc>
          <w:tcPr>
            <w:tcW w:type="dxa" w:w="3408"/>
            <w:vAlign w:val="center"/>
          </w:tcPr>
          <w:p>
            <w:r/>
            <w:r>
              <w:rPr>
                <w:rFonts w:ascii="Aptos" w:hAnsi="Aptos"/>
                <w:b w:val="0"/>
                <w:sz w:val="18"/>
              </w:rPr>
              <w:t>202</w:t>
            </w:r>
          </w:p>
        </w:tc>
        <w:tc>
          <w:tcPr>
            <w:tcW w:type="dxa" w:w="3408"/>
            <w:vAlign w:val="center"/>
          </w:tcPr>
          <w:p>
            <w:r/>
            <w:r>
              <w:rPr>
                <w:rFonts w:ascii="Aptos" w:hAnsi="Aptos"/>
                <w:b w:val="0"/>
                <w:sz w:val="18"/>
              </w:rPr>
              <w:t>548</w:t>
            </w:r>
          </w:p>
        </w:tc>
      </w:tr>
    </w:tbl>
    <w:p/>
    <w:p>
      <w:r>
        <w:t>The held-out set contains 11,719 observations: 10,969 non-claims and 750 claims. The model captures 548 of the 750 actual claims at the evaluated threshold.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