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047C" w:rsidRDefault="00EA047C" w:rsidP="00EA047C">
      <w:pPr>
        <w:spacing w:before="360" w:after="80" w:line="240" w:lineRule="auto"/>
        <w:outlineLvl w:val="1"/>
        <w:rPr>
          <w:rFonts w:ascii="Arial" w:eastAsia="Times New Roman" w:hAnsi="Arial" w:cs="Arial"/>
          <w:b/>
          <w:bCs/>
          <w:color w:val="000000"/>
          <w:sz w:val="24"/>
          <w:szCs w:val="24"/>
          <w:lang w:eastAsia="en-IN"/>
        </w:rPr>
      </w:pPr>
    </w:p>
    <w:p w:rsidR="00EA047C" w:rsidRPr="00EA047C" w:rsidRDefault="00EA047C" w:rsidP="00EA047C">
      <w:pPr>
        <w:spacing w:before="360" w:after="80" w:line="240" w:lineRule="auto"/>
        <w:outlineLvl w:val="1"/>
        <w:rPr>
          <w:rFonts w:ascii="Times New Roman" w:eastAsia="Times New Roman" w:hAnsi="Times New Roman" w:cs="Times New Roman"/>
          <w:b/>
          <w:bCs/>
          <w:sz w:val="36"/>
          <w:szCs w:val="36"/>
          <w:lang w:eastAsia="en-IN"/>
        </w:rPr>
      </w:pPr>
      <w:r w:rsidRPr="00EA047C">
        <w:rPr>
          <w:rFonts w:ascii="Arial" w:eastAsia="Times New Roman" w:hAnsi="Arial" w:cs="Arial"/>
          <w:b/>
          <w:bCs/>
          <w:color w:val="000000"/>
          <w:sz w:val="24"/>
          <w:szCs w:val="24"/>
          <w:lang w:eastAsia="en-IN"/>
        </w:rPr>
        <w:t>Executive Summary</w:t>
      </w: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Enterprise AI Strategy for TRUSTGRID</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b/>
          <w:bCs/>
          <w:color w:val="000000"/>
          <w:sz w:val="24"/>
          <w:szCs w:val="24"/>
          <w:lang w:eastAsia="en-IN"/>
        </w:rPr>
        <w:t>Version 1.0 | Confidential | Board Discussion Draft</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480" w:after="120" w:line="240" w:lineRule="auto"/>
        <w:outlineLvl w:val="0"/>
        <w:rPr>
          <w:rFonts w:ascii="Times New Roman" w:eastAsia="Times New Roman" w:hAnsi="Times New Roman" w:cs="Times New Roman"/>
          <w:b/>
          <w:bCs/>
          <w:kern w:val="36"/>
          <w:sz w:val="48"/>
          <w:szCs w:val="48"/>
          <w:lang w:eastAsia="en-IN"/>
        </w:rPr>
      </w:pPr>
      <w:r w:rsidRPr="00EA047C">
        <w:rPr>
          <w:rFonts w:ascii="Arial" w:eastAsia="Times New Roman" w:hAnsi="Arial" w:cs="Arial"/>
          <w:b/>
          <w:bCs/>
          <w:color w:val="000000"/>
          <w:kern w:val="36"/>
          <w:sz w:val="24"/>
          <w:szCs w:val="24"/>
          <w:lang w:eastAsia="en-IN"/>
        </w:rPr>
        <w:t>Executive Summary</w:t>
      </w:r>
    </w:p>
    <w:p w:rsidR="00EA047C" w:rsidRPr="00EA047C" w:rsidRDefault="00EA047C" w:rsidP="00EA047C">
      <w:pPr>
        <w:spacing w:before="360" w:after="80" w:line="240" w:lineRule="auto"/>
        <w:outlineLvl w:val="1"/>
        <w:rPr>
          <w:rFonts w:ascii="Times New Roman" w:eastAsia="Times New Roman" w:hAnsi="Times New Roman" w:cs="Times New Roman"/>
          <w:b/>
          <w:bCs/>
          <w:sz w:val="36"/>
          <w:szCs w:val="36"/>
          <w:lang w:eastAsia="en-IN"/>
        </w:rPr>
      </w:pPr>
      <w:r w:rsidRPr="00EA047C">
        <w:rPr>
          <w:rFonts w:ascii="Arial" w:eastAsia="Times New Roman" w:hAnsi="Arial" w:cs="Arial"/>
          <w:b/>
          <w:bCs/>
          <w:color w:val="000000"/>
          <w:sz w:val="24"/>
          <w:szCs w:val="24"/>
          <w:lang w:eastAsia="en-IN"/>
        </w:rPr>
        <w:t>Introduction</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 xml:space="preserve">Artificial Intelligence (AI) is no longer an emerging technology </w:t>
      </w:r>
      <w:proofErr w:type="gramStart"/>
      <w:r w:rsidRPr="00EA047C">
        <w:rPr>
          <w:rFonts w:ascii="Arial" w:eastAsia="Times New Roman" w:hAnsi="Arial" w:cs="Arial"/>
          <w:color w:val="000000"/>
          <w:sz w:val="24"/>
          <w:szCs w:val="24"/>
          <w:lang w:eastAsia="en-IN"/>
        </w:rPr>
        <w:t>It</w:t>
      </w:r>
      <w:proofErr w:type="gramEnd"/>
      <w:r w:rsidRPr="00EA047C">
        <w:rPr>
          <w:rFonts w:ascii="Arial" w:eastAsia="Times New Roman" w:hAnsi="Arial" w:cs="Arial"/>
          <w:color w:val="000000"/>
          <w:sz w:val="24"/>
          <w:szCs w:val="24"/>
          <w:lang w:eastAsia="en-IN"/>
        </w:rPr>
        <w:t xml:space="preserve"> is becoming the operating system of modern enterprises. Organizations worldwide are investing heavily in AI to improve productivity, automate decision-making, strengthen governance, and gain competitive advantage. However, as AI capabilities expand, so do concerns surrounding transparency, accountability, regulatory compliance, cybersecurity, and organizational trust.</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Most organizations today manage governance through disconnected systems: Governance, Risk, and Compliance (GRC) platforms, IT Service Management (ITSM) tools, spreadsheets, audit repositories, and email-based approvals. These fragmented approaches create visibility gaps, duplicate effort, inconsistent accountability, and limited executive insight.</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The next generation of enterprise governance requires more than automation. It requires intelligence.</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TRUSTGRID is envisioned as an AI-powered Governance Intelligence Platform that transforms governance from a reactive compliance function into a predictive, evidence-driven, and trust-centric enterprise capability. Rather than simply documenting controls or recording audit findings, TRUSTGRID will connect strategic objectives, operational decisions, cyber risks, regulatory obligations, control effectiveness, and executive accountability into a unified digital ecosystem.</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This AI Strategy establishes the vision, governance framework, technology roadmap, and implementation approach for embedding AI responsibly across the TRUSTGRID platform. It is designed to ensure that AI enhances—not replaces—human judgment while enabling organizations to make faster, more informed, and more accountable decisions.</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after="0" w:line="240" w:lineRule="auto"/>
        <w:rPr>
          <w:rFonts w:ascii="Times New Roman" w:eastAsia="Times New Roman" w:hAnsi="Times New Roman" w:cs="Times New Roman"/>
          <w:sz w:val="24"/>
          <w:szCs w:val="24"/>
          <w:lang w:eastAsia="en-IN"/>
        </w:rPr>
      </w:pPr>
      <w:r w:rsidRPr="00EA047C">
        <w:rPr>
          <w:rFonts w:ascii="Arial" w:eastAsia="Times New Roman" w:hAnsi="Arial" w:cs="Arial"/>
          <w:b/>
          <w:bCs/>
          <w:color w:val="000000"/>
          <w:sz w:val="24"/>
          <w:szCs w:val="24"/>
          <w:lang w:eastAsia="en-IN"/>
        </w:rPr>
        <w:t>Strategic Context</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 xml:space="preserve">Digital transformation has fundamentally changed the risk landscape. Organizations now operate across cloud environments, hybrid workforces, third-party ecosystems, </w:t>
      </w:r>
      <w:proofErr w:type="spellStart"/>
      <w:r w:rsidRPr="00EA047C">
        <w:rPr>
          <w:rFonts w:ascii="Arial" w:eastAsia="Times New Roman" w:hAnsi="Arial" w:cs="Arial"/>
          <w:color w:val="000000"/>
          <w:sz w:val="24"/>
          <w:szCs w:val="24"/>
          <w:lang w:eastAsia="en-IN"/>
        </w:rPr>
        <w:lastRenderedPageBreak/>
        <w:t>IoT</w:t>
      </w:r>
      <w:proofErr w:type="spellEnd"/>
      <w:r w:rsidRPr="00EA047C">
        <w:rPr>
          <w:rFonts w:ascii="Arial" w:eastAsia="Times New Roman" w:hAnsi="Arial" w:cs="Arial"/>
          <w:color w:val="000000"/>
          <w:sz w:val="24"/>
          <w:szCs w:val="24"/>
          <w:lang w:eastAsia="en-IN"/>
        </w:rPr>
        <w:t xml:space="preserve"> devices, AI-enabled services, and increasingly complex regulatory environments. Governance can no longer rely on periodic assessments or manual reporting.</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At the same time, boards, regulators, investors, customers, and insurers are demanding greater transparency regarding how organizations manage cyber risk, privacy, operational resilience, and ethical AI.</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This convergence of technological innovation and governance expectations creates an opportunity for TRUSTGRID to redefine enterprise governance.</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Rather than asking:</w:t>
      </w:r>
    </w:p>
    <w:p w:rsidR="00EA047C" w:rsidRPr="00EA047C" w:rsidRDefault="00EA047C" w:rsidP="00EA047C">
      <w:pPr>
        <w:spacing w:before="240" w:after="240" w:line="240" w:lineRule="auto"/>
        <w:ind w:left="600" w:right="600"/>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"Are we compliant?"</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Organizations must increasingly answer:</w:t>
      </w:r>
    </w:p>
    <w:p w:rsidR="00EA047C" w:rsidRPr="00EA047C" w:rsidRDefault="00EA047C" w:rsidP="00EA047C">
      <w:pPr>
        <w:spacing w:before="240" w:after="240" w:line="240" w:lineRule="auto"/>
        <w:ind w:left="600" w:right="600"/>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"Can we demonstrate continuous trust?"</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TRUSTGRID is designed to answer that question.</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480" w:after="120" w:line="240" w:lineRule="auto"/>
        <w:outlineLvl w:val="0"/>
        <w:rPr>
          <w:rFonts w:ascii="Times New Roman" w:eastAsia="Times New Roman" w:hAnsi="Times New Roman" w:cs="Times New Roman"/>
          <w:b/>
          <w:bCs/>
          <w:kern w:val="36"/>
          <w:sz w:val="48"/>
          <w:szCs w:val="48"/>
          <w:lang w:eastAsia="en-IN"/>
        </w:rPr>
      </w:pPr>
      <w:r w:rsidRPr="00EA047C">
        <w:rPr>
          <w:rFonts w:ascii="Arial" w:eastAsia="Times New Roman" w:hAnsi="Arial" w:cs="Arial"/>
          <w:b/>
          <w:bCs/>
          <w:color w:val="000000"/>
          <w:kern w:val="36"/>
          <w:sz w:val="24"/>
          <w:szCs w:val="24"/>
          <w:lang w:eastAsia="en-IN"/>
        </w:rPr>
        <w:t>Vision</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b/>
          <w:bCs/>
          <w:color w:val="000000"/>
          <w:sz w:val="24"/>
          <w:szCs w:val="24"/>
          <w:lang w:eastAsia="en-IN"/>
        </w:rPr>
        <w:t>To become the world's most trusted AI-powered Governance Intelligence Platform that enables organizations to measure, manage, and continuously improve organizational trust through accountability, evidence, and intelligent decision-making.</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Unlike traditional GRC solutions that focus primarily on documenting controls and compliance activities, TRUSTGRID seeks to establish trust as a measurable enterprise asset.</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Trust becomes quantifiable.</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Governance becomes predictive.</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Accountability becomes visible.</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Decision-making becomes explainable.</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480" w:after="120" w:line="240" w:lineRule="auto"/>
        <w:outlineLvl w:val="0"/>
        <w:rPr>
          <w:rFonts w:ascii="Times New Roman" w:eastAsia="Times New Roman" w:hAnsi="Times New Roman" w:cs="Times New Roman"/>
          <w:b/>
          <w:bCs/>
          <w:kern w:val="36"/>
          <w:sz w:val="48"/>
          <w:szCs w:val="48"/>
          <w:lang w:eastAsia="en-IN"/>
        </w:rPr>
      </w:pPr>
      <w:r w:rsidRPr="00EA047C">
        <w:rPr>
          <w:rFonts w:ascii="Arial" w:eastAsia="Times New Roman" w:hAnsi="Arial" w:cs="Arial"/>
          <w:b/>
          <w:bCs/>
          <w:color w:val="000000"/>
          <w:kern w:val="36"/>
          <w:sz w:val="24"/>
          <w:szCs w:val="24"/>
          <w:lang w:eastAsia="en-IN"/>
        </w:rPr>
        <w:t>Mission</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TRUSTGRID exists to help organizations build sustainable digital trust by integrating governance, cybersecurity, operational resilience, compliance, and AI-driven decision intelligence into a single intelligent platform.</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The platform enables organizations to:</w:t>
      </w:r>
    </w:p>
    <w:p w:rsidR="00EA047C" w:rsidRPr="00EA047C" w:rsidRDefault="00EA047C" w:rsidP="00EA047C">
      <w:pPr>
        <w:numPr>
          <w:ilvl w:val="0"/>
          <w:numId w:val="1"/>
        </w:numPr>
        <w:spacing w:before="240"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lastRenderedPageBreak/>
        <w:t>Improve governance maturity</w:t>
      </w:r>
    </w:p>
    <w:p w:rsidR="00EA047C" w:rsidRPr="00EA047C" w:rsidRDefault="00EA047C" w:rsidP="00EA047C">
      <w:pPr>
        <w:numPr>
          <w:ilvl w:val="0"/>
          <w:numId w:val="1"/>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Strengthen executive accountability</w:t>
      </w:r>
    </w:p>
    <w:p w:rsidR="00EA047C" w:rsidRPr="00EA047C" w:rsidRDefault="00EA047C" w:rsidP="00EA047C">
      <w:pPr>
        <w:numPr>
          <w:ilvl w:val="0"/>
          <w:numId w:val="1"/>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Reduce enterprise risk</w:t>
      </w:r>
    </w:p>
    <w:p w:rsidR="00EA047C" w:rsidRPr="00EA047C" w:rsidRDefault="00EA047C" w:rsidP="00EA047C">
      <w:pPr>
        <w:numPr>
          <w:ilvl w:val="0"/>
          <w:numId w:val="1"/>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Accelerate regulatory compliance</w:t>
      </w:r>
    </w:p>
    <w:p w:rsidR="00EA047C" w:rsidRPr="00EA047C" w:rsidRDefault="00EA047C" w:rsidP="00EA047C">
      <w:pPr>
        <w:numPr>
          <w:ilvl w:val="0"/>
          <w:numId w:val="1"/>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Preserve institutional knowledge</w:t>
      </w:r>
    </w:p>
    <w:p w:rsidR="00EA047C" w:rsidRPr="00EA047C" w:rsidRDefault="00EA047C" w:rsidP="00EA047C">
      <w:pPr>
        <w:numPr>
          <w:ilvl w:val="0"/>
          <w:numId w:val="1"/>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Enable explainable AI-driven decisions</w:t>
      </w:r>
    </w:p>
    <w:p w:rsidR="00EA047C" w:rsidRPr="00EA047C" w:rsidRDefault="00EA047C" w:rsidP="00EA047C">
      <w:pPr>
        <w:numPr>
          <w:ilvl w:val="0"/>
          <w:numId w:val="1"/>
        </w:numPr>
        <w:spacing w:after="24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Increase stakeholder confidence</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 xml:space="preserve">Ultimately, TRUSTGRID aims to transform governance from a cost </w:t>
      </w:r>
      <w:proofErr w:type="spellStart"/>
      <w:r w:rsidRPr="00EA047C">
        <w:rPr>
          <w:rFonts w:ascii="Arial" w:eastAsia="Times New Roman" w:hAnsi="Arial" w:cs="Arial"/>
          <w:color w:val="000000"/>
          <w:sz w:val="24"/>
          <w:szCs w:val="24"/>
          <w:lang w:eastAsia="en-IN"/>
        </w:rPr>
        <w:t>center</w:t>
      </w:r>
      <w:proofErr w:type="spellEnd"/>
      <w:r w:rsidRPr="00EA047C">
        <w:rPr>
          <w:rFonts w:ascii="Arial" w:eastAsia="Times New Roman" w:hAnsi="Arial" w:cs="Arial"/>
          <w:color w:val="000000"/>
          <w:sz w:val="24"/>
          <w:szCs w:val="24"/>
          <w:lang w:eastAsia="en-IN"/>
        </w:rPr>
        <w:t xml:space="preserve"> into a strategic business capability.</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480" w:after="120" w:line="240" w:lineRule="auto"/>
        <w:outlineLvl w:val="0"/>
        <w:rPr>
          <w:rFonts w:ascii="Times New Roman" w:eastAsia="Times New Roman" w:hAnsi="Times New Roman" w:cs="Times New Roman"/>
          <w:b/>
          <w:bCs/>
          <w:kern w:val="36"/>
          <w:sz w:val="48"/>
          <w:szCs w:val="48"/>
          <w:lang w:eastAsia="en-IN"/>
        </w:rPr>
      </w:pPr>
      <w:r w:rsidRPr="00EA047C">
        <w:rPr>
          <w:rFonts w:ascii="Arial" w:eastAsia="Times New Roman" w:hAnsi="Arial" w:cs="Arial"/>
          <w:b/>
          <w:bCs/>
          <w:color w:val="000000"/>
          <w:kern w:val="36"/>
          <w:sz w:val="24"/>
          <w:szCs w:val="24"/>
          <w:lang w:eastAsia="en-IN"/>
        </w:rPr>
        <w:t>Strategic Opportunity</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The governance technology market is undergoing a significant transformation. Existing platforms primarily focus on documenting risk and compliance activities but provide limited support for predictive insights or organizational accountability.</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TRUSTGRID differentiates itself by introducing ten strategic layers of governance maturity:</w:t>
      </w:r>
    </w:p>
    <w:p w:rsidR="00EA047C" w:rsidRPr="00EA047C" w:rsidRDefault="00EA047C" w:rsidP="00EA047C">
      <w:pPr>
        <w:numPr>
          <w:ilvl w:val="0"/>
          <w:numId w:val="2"/>
        </w:numPr>
        <w:spacing w:before="240"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Cyber Governance</w:t>
      </w:r>
    </w:p>
    <w:p w:rsidR="00EA047C" w:rsidRPr="00EA047C" w:rsidRDefault="00EA047C" w:rsidP="00EA047C">
      <w:pPr>
        <w:numPr>
          <w:ilvl w:val="0"/>
          <w:numId w:val="2"/>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Organizational Accountability</w:t>
      </w:r>
    </w:p>
    <w:p w:rsidR="00EA047C" w:rsidRPr="00EA047C" w:rsidRDefault="00EA047C" w:rsidP="00EA047C">
      <w:pPr>
        <w:numPr>
          <w:ilvl w:val="0"/>
          <w:numId w:val="2"/>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Decision Intelligence</w:t>
      </w:r>
    </w:p>
    <w:p w:rsidR="00EA047C" w:rsidRPr="00EA047C" w:rsidRDefault="00EA047C" w:rsidP="00EA047C">
      <w:pPr>
        <w:numPr>
          <w:ilvl w:val="0"/>
          <w:numId w:val="2"/>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Governance Memory</w:t>
      </w:r>
    </w:p>
    <w:p w:rsidR="00EA047C" w:rsidRPr="00EA047C" w:rsidRDefault="00EA047C" w:rsidP="00EA047C">
      <w:pPr>
        <w:numPr>
          <w:ilvl w:val="0"/>
          <w:numId w:val="2"/>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Governance Trust Ledger</w:t>
      </w:r>
    </w:p>
    <w:p w:rsidR="00EA047C" w:rsidRPr="00EA047C" w:rsidRDefault="00EA047C" w:rsidP="00EA047C">
      <w:pPr>
        <w:numPr>
          <w:ilvl w:val="0"/>
          <w:numId w:val="2"/>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Organizational Digital Twin</w:t>
      </w:r>
    </w:p>
    <w:p w:rsidR="00EA047C" w:rsidRPr="00EA047C" w:rsidRDefault="00EA047C" w:rsidP="00EA047C">
      <w:pPr>
        <w:numPr>
          <w:ilvl w:val="0"/>
          <w:numId w:val="2"/>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Trust Economics</w:t>
      </w:r>
    </w:p>
    <w:p w:rsidR="00EA047C" w:rsidRPr="00EA047C" w:rsidRDefault="00EA047C" w:rsidP="00EA047C">
      <w:pPr>
        <w:numPr>
          <w:ilvl w:val="0"/>
          <w:numId w:val="2"/>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Governance Ratings</w:t>
      </w:r>
    </w:p>
    <w:p w:rsidR="00EA047C" w:rsidRPr="00EA047C" w:rsidRDefault="00EA047C" w:rsidP="00EA047C">
      <w:pPr>
        <w:numPr>
          <w:ilvl w:val="0"/>
          <w:numId w:val="2"/>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Governance Marketplace</w:t>
      </w:r>
    </w:p>
    <w:p w:rsidR="00EA047C" w:rsidRPr="00EA047C" w:rsidRDefault="00EA047C" w:rsidP="00EA047C">
      <w:pPr>
        <w:numPr>
          <w:ilvl w:val="0"/>
          <w:numId w:val="2"/>
        </w:numPr>
        <w:spacing w:after="24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Governance Internet</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These layers represent an evolution from operational governance to intelligent trust infrastructure.</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The result is a platform that not only records governance activities but continuously learns from them.</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480" w:after="120" w:line="240" w:lineRule="auto"/>
        <w:outlineLvl w:val="0"/>
        <w:rPr>
          <w:rFonts w:ascii="Times New Roman" w:eastAsia="Times New Roman" w:hAnsi="Times New Roman" w:cs="Times New Roman"/>
          <w:b/>
          <w:bCs/>
          <w:kern w:val="36"/>
          <w:sz w:val="48"/>
          <w:szCs w:val="48"/>
          <w:lang w:eastAsia="en-IN"/>
        </w:rPr>
      </w:pPr>
      <w:r w:rsidRPr="00EA047C">
        <w:rPr>
          <w:rFonts w:ascii="Arial" w:eastAsia="Times New Roman" w:hAnsi="Arial" w:cs="Arial"/>
          <w:b/>
          <w:bCs/>
          <w:color w:val="000000"/>
          <w:kern w:val="36"/>
          <w:sz w:val="24"/>
          <w:szCs w:val="24"/>
          <w:lang w:eastAsia="en-IN"/>
        </w:rPr>
        <w:t>AI as the Core Enabler</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Artificial Intelligence is not an optional capability within TRUSTGRID It is the intelligence layer that powers every governance function.</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AI enables TRUSTGRID to:</w:t>
      </w:r>
    </w:p>
    <w:p w:rsidR="00EA047C" w:rsidRPr="00EA047C" w:rsidRDefault="00EA047C" w:rsidP="00EA047C">
      <w:pPr>
        <w:numPr>
          <w:ilvl w:val="0"/>
          <w:numId w:val="3"/>
        </w:numPr>
        <w:spacing w:before="240"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Detect emerging governance risks before they materialize</w:t>
      </w:r>
    </w:p>
    <w:p w:rsidR="00EA047C" w:rsidRPr="00EA047C" w:rsidRDefault="00EA047C" w:rsidP="00EA047C">
      <w:pPr>
        <w:numPr>
          <w:ilvl w:val="0"/>
          <w:numId w:val="3"/>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Recommend optimal controls</w:t>
      </w:r>
    </w:p>
    <w:p w:rsidR="00EA047C" w:rsidRPr="00EA047C" w:rsidRDefault="00EA047C" w:rsidP="00EA047C">
      <w:pPr>
        <w:numPr>
          <w:ilvl w:val="0"/>
          <w:numId w:val="3"/>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lastRenderedPageBreak/>
        <w:t>Predict regulatory exposure</w:t>
      </w:r>
    </w:p>
    <w:p w:rsidR="00EA047C" w:rsidRPr="00EA047C" w:rsidRDefault="00EA047C" w:rsidP="00EA047C">
      <w:pPr>
        <w:numPr>
          <w:ilvl w:val="0"/>
          <w:numId w:val="3"/>
        </w:numPr>
        <w:spacing w:after="0" w:line="240" w:lineRule="auto"/>
        <w:textAlignment w:val="baseline"/>
        <w:rPr>
          <w:rFonts w:ascii="Arial" w:eastAsia="Times New Roman" w:hAnsi="Arial" w:cs="Arial"/>
          <w:color w:val="000000"/>
          <w:sz w:val="24"/>
          <w:szCs w:val="24"/>
          <w:lang w:eastAsia="en-IN"/>
        </w:rPr>
      </w:pPr>
      <w:proofErr w:type="spellStart"/>
      <w:r w:rsidRPr="00EA047C">
        <w:rPr>
          <w:rFonts w:ascii="Arial" w:eastAsia="Times New Roman" w:hAnsi="Arial" w:cs="Arial"/>
          <w:color w:val="000000"/>
          <w:sz w:val="24"/>
          <w:szCs w:val="24"/>
          <w:lang w:eastAsia="en-IN"/>
        </w:rPr>
        <w:t>Analyze</w:t>
      </w:r>
      <w:proofErr w:type="spellEnd"/>
      <w:r w:rsidRPr="00EA047C">
        <w:rPr>
          <w:rFonts w:ascii="Arial" w:eastAsia="Times New Roman" w:hAnsi="Arial" w:cs="Arial"/>
          <w:color w:val="000000"/>
          <w:sz w:val="24"/>
          <w:szCs w:val="24"/>
          <w:lang w:eastAsia="en-IN"/>
        </w:rPr>
        <w:t xml:space="preserve"> control effectiveness</w:t>
      </w:r>
    </w:p>
    <w:p w:rsidR="00EA047C" w:rsidRPr="00EA047C" w:rsidRDefault="00EA047C" w:rsidP="00EA047C">
      <w:pPr>
        <w:numPr>
          <w:ilvl w:val="0"/>
          <w:numId w:val="3"/>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Correlate risks across business units</w:t>
      </w:r>
    </w:p>
    <w:p w:rsidR="00EA047C" w:rsidRPr="00EA047C" w:rsidRDefault="00EA047C" w:rsidP="00EA047C">
      <w:pPr>
        <w:numPr>
          <w:ilvl w:val="0"/>
          <w:numId w:val="3"/>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Generate executive-ready governance insights</w:t>
      </w:r>
    </w:p>
    <w:p w:rsidR="00EA047C" w:rsidRPr="00EA047C" w:rsidRDefault="00EA047C" w:rsidP="00EA047C">
      <w:pPr>
        <w:numPr>
          <w:ilvl w:val="0"/>
          <w:numId w:val="3"/>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Automate evidence collection</w:t>
      </w:r>
    </w:p>
    <w:p w:rsidR="00EA047C" w:rsidRPr="00EA047C" w:rsidRDefault="00EA047C" w:rsidP="00EA047C">
      <w:pPr>
        <w:numPr>
          <w:ilvl w:val="0"/>
          <w:numId w:val="3"/>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Preserve institutional knowledge</w:t>
      </w:r>
    </w:p>
    <w:p w:rsidR="00EA047C" w:rsidRPr="00EA047C" w:rsidRDefault="00EA047C" w:rsidP="00EA047C">
      <w:pPr>
        <w:numPr>
          <w:ilvl w:val="0"/>
          <w:numId w:val="3"/>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Explain governance decisions</w:t>
      </w:r>
    </w:p>
    <w:p w:rsidR="00EA047C" w:rsidRPr="00EA047C" w:rsidRDefault="00EA047C" w:rsidP="00EA047C">
      <w:pPr>
        <w:numPr>
          <w:ilvl w:val="0"/>
          <w:numId w:val="3"/>
        </w:numPr>
        <w:spacing w:after="24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Continuously improve governance maturity</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Rather than replacing governance professionals, AI augments their expertise by reducing manual effort and enhancing decision quality.</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480" w:after="120" w:line="240" w:lineRule="auto"/>
        <w:outlineLvl w:val="0"/>
        <w:rPr>
          <w:rFonts w:ascii="Times New Roman" w:eastAsia="Times New Roman" w:hAnsi="Times New Roman" w:cs="Times New Roman"/>
          <w:b/>
          <w:bCs/>
          <w:kern w:val="36"/>
          <w:sz w:val="48"/>
          <w:szCs w:val="48"/>
          <w:lang w:eastAsia="en-IN"/>
        </w:rPr>
      </w:pPr>
      <w:r w:rsidRPr="00EA047C">
        <w:rPr>
          <w:rFonts w:ascii="Arial" w:eastAsia="Times New Roman" w:hAnsi="Arial" w:cs="Arial"/>
          <w:b/>
          <w:bCs/>
          <w:color w:val="000000"/>
          <w:kern w:val="36"/>
          <w:sz w:val="24"/>
          <w:szCs w:val="24"/>
          <w:lang w:eastAsia="en-IN"/>
        </w:rPr>
        <w:t>Strategic Objectives</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The AI Strategy supports six primary business objectives:</w:t>
      </w: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1. Build Intelligent Governance</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Transition from static governance documentation toward real-time governance intelligence powered by AI.</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2. Improve Organizational Accountability</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Enable clear ownership of decisions, risks, controls, and compliance obligations through AI-supported accountability mapping.</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3. Enhance Decision Quality</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Provide executives with predictive insights regarding business decisions and their downstream governance impacts.</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4. Preserve Organizational Knowledge</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Capture governance decisions, exceptions, approvals, lessons learned, and institutional knowledge using AI-enabled knowledge management.</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5. Increase Regulatory Confidence</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Generate explainable governance evidence that supports regulatory inspections and audit readiness.</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6. Establish Trust as a Business Metric</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Introduce measurable Trust Capital™ that reflects governance effectiveness, transparency, resilience, and accountability.</w:t>
      </w:r>
    </w:p>
    <w:p w:rsidR="00EA047C" w:rsidRPr="00EA047C" w:rsidRDefault="00EA047C" w:rsidP="00EA047C">
      <w:pPr>
        <w:spacing w:after="0" w:line="240" w:lineRule="auto"/>
        <w:rPr>
          <w:rFonts w:ascii="Times New Roman" w:eastAsia="Times New Roman" w:hAnsi="Times New Roman" w:cs="Times New Roman"/>
          <w:sz w:val="24"/>
          <w:szCs w:val="24"/>
          <w:lang w:eastAsia="en-IN"/>
        </w:rPr>
      </w:pPr>
    </w:p>
    <w:p w:rsidR="00EA047C" w:rsidRPr="00EA047C" w:rsidRDefault="00EA047C" w:rsidP="00EA047C">
      <w:pPr>
        <w:spacing w:before="480" w:after="120" w:line="240" w:lineRule="auto"/>
        <w:outlineLvl w:val="0"/>
        <w:rPr>
          <w:rFonts w:ascii="Times New Roman" w:eastAsia="Times New Roman" w:hAnsi="Times New Roman" w:cs="Times New Roman"/>
          <w:b/>
          <w:bCs/>
          <w:kern w:val="36"/>
          <w:sz w:val="48"/>
          <w:szCs w:val="48"/>
          <w:lang w:eastAsia="en-IN"/>
        </w:rPr>
      </w:pPr>
      <w:r w:rsidRPr="00EA047C">
        <w:rPr>
          <w:rFonts w:ascii="Arial" w:eastAsia="Times New Roman" w:hAnsi="Arial" w:cs="Arial"/>
          <w:b/>
          <w:bCs/>
          <w:color w:val="000000"/>
          <w:kern w:val="36"/>
          <w:sz w:val="24"/>
          <w:szCs w:val="24"/>
          <w:lang w:eastAsia="en-IN"/>
        </w:rPr>
        <w:t>Expected Business Outcomes</w:t>
      </w:r>
    </w:p>
    <w:p w:rsidR="00EA047C" w:rsidRPr="00EA047C" w:rsidRDefault="00EA047C" w:rsidP="00EA047C">
      <w:pPr>
        <w:spacing w:before="240" w:after="240" w:line="240" w:lineRule="auto"/>
        <w:rPr>
          <w:rFonts w:ascii="Times New Roman" w:eastAsia="Times New Roman" w:hAnsi="Times New Roman" w:cs="Times New Roman"/>
          <w:sz w:val="24"/>
          <w:szCs w:val="24"/>
          <w:lang w:eastAsia="en-IN"/>
        </w:rPr>
      </w:pPr>
      <w:r w:rsidRPr="00EA047C">
        <w:rPr>
          <w:rFonts w:ascii="Arial" w:eastAsia="Times New Roman" w:hAnsi="Arial" w:cs="Arial"/>
          <w:color w:val="000000"/>
          <w:sz w:val="24"/>
          <w:szCs w:val="24"/>
          <w:lang w:eastAsia="en-IN"/>
        </w:rPr>
        <w:t>Implementation of this strategy is expected to deliver measurable improvements across multiple dimensions.</w:t>
      </w: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Governance</w:t>
      </w:r>
    </w:p>
    <w:p w:rsidR="00EA047C" w:rsidRPr="00EA047C" w:rsidRDefault="00EA047C" w:rsidP="00EA047C">
      <w:pPr>
        <w:numPr>
          <w:ilvl w:val="0"/>
          <w:numId w:val="4"/>
        </w:numPr>
        <w:spacing w:before="240"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Faster policy approvals</w:t>
      </w:r>
    </w:p>
    <w:p w:rsidR="00EA047C" w:rsidRPr="00EA047C" w:rsidRDefault="00EA047C" w:rsidP="00EA047C">
      <w:pPr>
        <w:numPr>
          <w:ilvl w:val="0"/>
          <w:numId w:val="4"/>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Improved accountability</w:t>
      </w:r>
    </w:p>
    <w:p w:rsidR="00EA047C" w:rsidRPr="00EA047C" w:rsidRDefault="00EA047C" w:rsidP="00EA047C">
      <w:pPr>
        <w:numPr>
          <w:ilvl w:val="0"/>
          <w:numId w:val="4"/>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Standardized governance processes</w:t>
      </w:r>
    </w:p>
    <w:p w:rsidR="00EA047C" w:rsidRPr="00EA047C" w:rsidRDefault="00EA047C" w:rsidP="00EA047C">
      <w:pPr>
        <w:numPr>
          <w:ilvl w:val="0"/>
          <w:numId w:val="4"/>
        </w:numPr>
        <w:spacing w:after="24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Higher governance maturity</w:t>
      </w: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Risk Management</w:t>
      </w:r>
    </w:p>
    <w:p w:rsidR="00EA047C" w:rsidRPr="00EA047C" w:rsidRDefault="00EA047C" w:rsidP="00EA047C">
      <w:pPr>
        <w:numPr>
          <w:ilvl w:val="0"/>
          <w:numId w:val="5"/>
        </w:numPr>
        <w:spacing w:before="240"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Earlier identification of emerging risks</w:t>
      </w:r>
    </w:p>
    <w:p w:rsidR="00EA047C" w:rsidRPr="00EA047C" w:rsidRDefault="00EA047C" w:rsidP="00EA047C">
      <w:pPr>
        <w:numPr>
          <w:ilvl w:val="0"/>
          <w:numId w:val="5"/>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Reduced risk exposure</w:t>
      </w:r>
    </w:p>
    <w:p w:rsidR="00EA047C" w:rsidRPr="00EA047C" w:rsidRDefault="00EA047C" w:rsidP="00EA047C">
      <w:pPr>
        <w:numPr>
          <w:ilvl w:val="0"/>
          <w:numId w:val="5"/>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Better prioritization of remediation</w:t>
      </w:r>
    </w:p>
    <w:p w:rsidR="00EA047C" w:rsidRPr="00EA047C" w:rsidRDefault="00EA047C" w:rsidP="00EA047C">
      <w:pPr>
        <w:numPr>
          <w:ilvl w:val="0"/>
          <w:numId w:val="5"/>
        </w:numPr>
        <w:spacing w:after="24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Improved enterprise resilience</w:t>
      </w: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Compliance</w:t>
      </w:r>
    </w:p>
    <w:p w:rsidR="00EA047C" w:rsidRPr="00EA047C" w:rsidRDefault="00EA047C" w:rsidP="00EA047C">
      <w:pPr>
        <w:numPr>
          <w:ilvl w:val="0"/>
          <w:numId w:val="6"/>
        </w:numPr>
        <w:spacing w:before="240"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Automated evidence collection</w:t>
      </w:r>
    </w:p>
    <w:p w:rsidR="00EA047C" w:rsidRPr="00EA047C" w:rsidRDefault="00EA047C" w:rsidP="00EA047C">
      <w:pPr>
        <w:numPr>
          <w:ilvl w:val="0"/>
          <w:numId w:val="6"/>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Reduced audit preparation effort</w:t>
      </w:r>
    </w:p>
    <w:p w:rsidR="00EA047C" w:rsidRPr="00EA047C" w:rsidRDefault="00EA047C" w:rsidP="00EA047C">
      <w:pPr>
        <w:numPr>
          <w:ilvl w:val="0"/>
          <w:numId w:val="6"/>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Continuous compliance monitoring</w:t>
      </w:r>
    </w:p>
    <w:p w:rsidR="00EA047C" w:rsidRPr="00EA047C" w:rsidRDefault="00EA047C" w:rsidP="00EA047C">
      <w:pPr>
        <w:numPr>
          <w:ilvl w:val="0"/>
          <w:numId w:val="6"/>
        </w:numPr>
        <w:spacing w:after="24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Improved regulatory reporting</w:t>
      </w: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Executive Decision Making</w:t>
      </w:r>
    </w:p>
    <w:p w:rsidR="00EA047C" w:rsidRPr="00EA047C" w:rsidRDefault="00EA047C" w:rsidP="00EA047C">
      <w:pPr>
        <w:numPr>
          <w:ilvl w:val="0"/>
          <w:numId w:val="7"/>
        </w:numPr>
        <w:spacing w:before="240"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AI-generated governance dashboards</w:t>
      </w:r>
    </w:p>
    <w:p w:rsidR="00EA047C" w:rsidRPr="00EA047C" w:rsidRDefault="00EA047C" w:rsidP="00EA047C">
      <w:pPr>
        <w:numPr>
          <w:ilvl w:val="0"/>
          <w:numId w:val="7"/>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Predictive risk analysis</w:t>
      </w:r>
    </w:p>
    <w:p w:rsidR="00EA047C" w:rsidRPr="00EA047C" w:rsidRDefault="00EA047C" w:rsidP="00EA047C">
      <w:pPr>
        <w:numPr>
          <w:ilvl w:val="0"/>
          <w:numId w:val="7"/>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Decision impact simulations</w:t>
      </w:r>
    </w:p>
    <w:p w:rsidR="00EA047C" w:rsidRPr="00EA047C" w:rsidRDefault="00EA047C" w:rsidP="00EA047C">
      <w:pPr>
        <w:numPr>
          <w:ilvl w:val="0"/>
          <w:numId w:val="7"/>
        </w:numPr>
        <w:spacing w:after="24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Executive accountability visualization</w:t>
      </w:r>
    </w:p>
    <w:p w:rsidR="00EA047C" w:rsidRPr="00EA047C" w:rsidRDefault="00EA047C" w:rsidP="00EA047C">
      <w:pPr>
        <w:spacing w:before="280" w:after="80" w:line="240" w:lineRule="auto"/>
        <w:outlineLvl w:val="2"/>
        <w:rPr>
          <w:rFonts w:ascii="Times New Roman" w:eastAsia="Times New Roman" w:hAnsi="Times New Roman" w:cs="Times New Roman"/>
          <w:b/>
          <w:bCs/>
          <w:sz w:val="27"/>
          <w:szCs w:val="27"/>
          <w:lang w:eastAsia="en-IN"/>
        </w:rPr>
      </w:pPr>
      <w:r w:rsidRPr="00EA047C">
        <w:rPr>
          <w:rFonts w:ascii="Arial" w:eastAsia="Times New Roman" w:hAnsi="Arial" w:cs="Arial"/>
          <w:b/>
          <w:bCs/>
          <w:color w:val="000000"/>
          <w:sz w:val="24"/>
          <w:szCs w:val="24"/>
          <w:lang w:eastAsia="en-IN"/>
        </w:rPr>
        <w:t>Operational Efficiency</w:t>
      </w:r>
    </w:p>
    <w:p w:rsidR="00EA047C" w:rsidRPr="00EA047C" w:rsidRDefault="00EA047C" w:rsidP="00EA047C">
      <w:pPr>
        <w:numPr>
          <w:ilvl w:val="0"/>
          <w:numId w:val="8"/>
        </w:numPr>
        <w:spacing w:before="240"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Reduced manual governance activities</w:t>
      </w:r>
    </w:p>
    <w:p w:rsidR="00EA047C" w:rsidRPr="00EA047C" w:rsidRDefault="00EA047C" w:rsidP="00EA047C">
      <w:pPr>
        <w:numPr>
          <w:ilvl w:val="0"/>
          <w:numId w:val="8"/>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Automated workflow orchestration</w:t>
      </w:r>
    </w:p>
    <w:p w:rsidR="00EA047C" w:rsidRPr="00EA047C" w:rsidRDefault="00EA047C" w:rsidP="00EA047C">
      <w:pPr>
        <w:numPr>
          <w:ilvl w:val="0"/>
          <w:numId w:val="8"/>
        </w:numPr>
        <w:spacing w:after="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Improved productivity</w:t>
      </w:r>
    </w:p>
    <w:p w:rsidR="00EA047C" w:rsidRPr="00EA047C" w:rsidRDefault="00EA047C" w:rsidP="00EA047C">
      <w:pPr>
        <w:numPr>
          <w:ilvl w:val="0"/>
          <w:numId w:val="8"/>
        </w:numPr>
        <w:spacing w:after="240" w:line="240" w:lineRule="auto"/>
        <w:textAlignment w:val="baseline"/>
        <w:rPr>
          <w:rFonts w:ascii="Arial" w:eastAsia="Times New Roman" w:hAnsi="Arial" w:cs="Arial"/>
          <w:color w:val="000000"/>
          <w:sz w:val="24"/>
          <w:szCs w:val="24"/>
          <w:lang w:eastAsia="en-IN"/>
        </w:rPr>
      </w:pPr>
      <w:r w:rsidRPr="00EA047C">
        <w:rPr>
          <w:rFonts w:ascii="Arial" w:eastAsia="Times New Roman" w:hAnsi="Arial" w:cs="Arial"/>
          <w:color w:val="000000"/>
          <w:sz w:val="24"/>
          <w:szCs w:val="24"/>
          <w:lang w:eastAsia="en-IN"/>
        </w:rPr>
        <w:t>Faster decision cycles</w:t>
      </w:r>
    </w:p>
    <w:p w:rsidR="00374FA2" w:rsidRDefault="00EA047C"/>
    <w:p w:rsidR="00EA047C" w:rsidRDefault="00EA047C"/>
    <w:p w:rsidR="00EA047C" w:rsidRDefault="00EA047C">
      <w:r>
        <w:t>Working Model and Design on online platform</w:t>
      </w:r>
    </w:p>
    <w:p w:rsidR="00EA047C" w:rsidRDefault="00EA047C">
      <w:r w:rsidRPr="00EA047C">
        <w:rPr>
          <w:noProof/>
          <w:lang w:eastAsia="en-IN"/>
        </w:rPr>
        <w:drawing>
          <wp:inline distT="0" distB="0" distL="0" distR="0">
            <wp:extent cx="5731510" cy="2506157"/>
            <wp:effectExtent l="0" t="0" r="2540" b="8890"/>
            <wp:docPr id="1" name="Picture 1" descr="C:\Users\dell\Desktop\trust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trustgri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06157"/>
                    </a:xfrm>
                    <a:prstGeom prst="rect">
                      <a:avLst/>
                    </a:prstGeom>
                    <a:noFill/>
                    <a:ln>
                      <a:noFill/>
                    </a:ln>
                  </pic:spPr>
                </pic:pic>
              </a:graphicData>
            </a:graphic>
          </wp:inline>
        </w:drawing>
      </w:r>
      <w:bookmarkStart w:id="0" w:name="_GoBack"/>
      <w:bookmarkEnd w:id="0"/>
    </w:p>
    <w:sectPr w:rsidR="00EA0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D2315"/>
    <w:multiLevelType w:val="multilevel"/>
    <w:tmpl w:val="4E9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3BF2"/>
    <w:multiLevelType w:val="multilevel"/>
    <w:tmpl w:val="F700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05AD1"/>
    <w:multiLevelType w:val="multilevel"/>
    <w:tmpl w:val="9FE6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22CBC"/>
    <w:multiLevelType w:val="multilevel"/>
    <w:tmpl w:val="E9E4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C818F9"/>
    <w:multiLevelType w:val="multilevel"/>
    <w:tmpl w:val="809A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C2A99"/>
    <w:multiLevelType w:val="multilevel"/>
    <w:tmpl w:val="AF74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B0B05"/>
    <w:multiLevelType w:val="multilevel"/>
    <w:tmpl w:val="E4DC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F2DB3"/>
    <w:multiLevelType w:val="multilevel"/>
    <w:tmpl w:val="B7F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4"/>
  </w:num>
  <w:num w:numId="5">
    <w:abstractNumId w:val="7"/>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47C"/>
    <w:rsid w:val="0071184D"/>
    <w:rsid w:val="00DC4E50"/>
    <w:rsid w:val="00EA0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458D54-21B7-4B9C-8B2E-20693EF05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04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A047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A04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47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A047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A047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A047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52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2026-08-03T12:15:00Z</dcterms:created>
  <dcterms:modified xsi:type="dcterms:W3CDTF">2026-08-03T12:17:00Z</dcterms:modified>
</cp:coreProperties>
</file>