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Characterization Report -- mAb-Test IgG1</w:t>
      </w:r>
    </w:p>
    <w:p>
      <w:r>
        <w:t>This document presents the physicochemical and biological characterization of mAb-Test IgG1 (anti-IL6R monoclonal antibody) per ICH Q6B guidelines. The reference standard lot RS-2026-001 was used throughout.</w:t>
      </w:r>
    </w:p>
    <w:p>
      <w:r>
        <w:t>Reference Standard Lot: RS-2026-001 (USP reference)</w:t>
      </w:r>
    </w:p>
    <w:p>
      <w:pPr>
        <w:pStyle w:val="Heading1"/>
      </w:pPr>
      <w:r>
        <w:t>1. Primary Structure</w:t>
      </w:r>
    </w:p>
    <w:p>
      <w:r>
        <w:t>The primary structure of mAb-Test IgG1 was confirmed by peptide mapping using LC-MS/MS. The amino acid sequence showed 100% coverage. N-terminal sequencing was performed by Edman degradation.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Molecular Weight (intact)</w:t>
            </w:r>
          </w:p>
        </w:tc>
        <w:tc>
          <w:tcPr>
            <w:tcW w:type="dxa" w:w="2160"/>
          </w:tcPr>
          <w:p>
            <w:r>
              <w:t>LC-MS</w:t>
            </w:r>
          </w:p>
        </w:tc>
        <w:tc>
          <w:tcPr>
            <w:tcW w:type="dxa" w:w="2160"/>
          </w:tcPr>
          <w:p>
            <w:r>
              <w:t>148235</w:t>
            </w:r>
          </w:p>
        </w:tc>
        <w:tc>
          <w:tcPr>
            <w:tcW w:type="dxa" w:w="2160"/>
          </w:tcPr>
          <w:p>
            <w:r>
              <w:t>Da</w:t>
            </w:r>
          </w:p>
        </w:tc>
      </w:tr>
      <w:tr>
        <w:tc>
          <w:tcPr>
            <w:tcW w:type="dxa" w:w="2160"/>
          </w:tcPr>
          <w:p>
            <w:r>
              <w:t>Sequence Coverage</w:t>
            </w:r>
          </w:p>
        </w:tc>
        <w:tc>
          <w:tcPr>
            <w:tcW w:type="dxa" w:w="2160"/>
          </w:tcPr>
          <w:p>
            <w:r>
              <w:t>Peptide Mapping LC-MS/MS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N-terminal Sequence</w:t>
            </w:r>
          </w:p>
        </w:tc>
        <w:tc>
          <w:tcPr>
            <w:tcW w:type="dxa" w:w="2160"/>
          </w:tcPr>
          <w:p>
            <w:r>
              <w:t>Edman Degradation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2. Higher-Order Structure</w:t>
      </w:r>
    </w:p>
    <w:p>
      <w:r>
        <w:t>Higher-order structure (HOS) analysis was performed using circular dichroism (CD) spectroscopy (far-UV and near-UV), differential scanning calorimetry (DSC), and FTIR spectroscopy. Secondary structure content was consistent with an IgG1 antibody.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Assay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Secondary Structure (beta-sheet)</w:t>
            </w:r>
          </w:p>
        </w:tc>
        <w:tc>
          <w:tcPr>
            <w:tcW w:type="dxa" w:w="2160"/>
          </w:tcPr>
          <w:p>
            <w:r>
              <w:t>Far-UV CD</w:t>
            </w:r>
          </w:p>
        </w:tc>
        <w:tc>
          <w:tcPr>
            <w:tcW w:type="dxa" w:w="2160"/>
          </w:tcPr>
          <w:p>
            <w:r>
              <w:t>68.5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Thermal Stability (Tm1)</w:t>
            </w:r>
          </w:p>
        </w:tc>
        <w:tc>
          <w:tcPr>
            <w:tcW w:type="dxa" w:w="2160"/>
          </w:tcPr>
          <w:p>
            <w:r>
              <w:t>DSC</w:t>
            </w:r>
          </w:p>
        </w:tc>
        <w:tc>
          <w:tcPr>
            <w:tcW w:type="dxa" w:w="2160"/>
          </w:tcPr>
          <w:p>
            <w:r>
              <w:t>71.2</w:t>
            </w:r>
          </w:p>
        </w:tc>
        <w:tc>
          <w:tcPr>
            <w:tcW w:type="dxa" w:w="2160"/>
          </w:tcPr>
          <w:p>
            <w:r>
              <w:t>degC</w:t>
            </w:r>
          </w:p>
        </w:tc>
      </w:tr>
      <w:tr>
        <w:tc>
          <w:tcPr>
            <w:tcW w:type="dxa" w:w="2160"/>
          </w:tcPr>
          <w:p>
            <w:r>
              <w:t>Structural Similarity</w:t>
            </w:r>
          </w:p>
        </w:tc>
        <w:tc>
          <w:tcPr>
            <w:tcW w:type="dxa" w:w="2160"/>
          </w:tcPr>
          <w:p>
            <w:r>
              <w:t>FTIR</w:t>
            </w:r>
          </w:p>
        </w:tc>
        <w:tc>
          <w:tcPr>
            <w:tcW w:type="dxa" w:w="2160"/>
          </w:tcPr>
          <w:p>
            <w:r>
              <w:t>0.98</w:t>
            </w:r>
          </w:p>
        </w:tc>
        <w:tc>
          <w:tcPr>
            <w:tcW w:type="dxa" w:w="2160"/>
          </w:tcPr>
          <w:p>
            <w:r>
              <w:t>correlation</w:t>
            </w:r>
          </w:p>
        </w:tc>
      </w:tr>
    </w:tbl>
    <w:p>
      <w:pPr>
        <w:pStyle w:val="Heading1"/>
      </w:pPr>
      <w:r>
        <w:t>3. Aggregation and Size Variants</w:t>
      </w:r>
    </w:p>
    <w:p>
      <w:r>
        <w:t>Size variant analysis was performed by SEC-HPLC, AUC (analytical ultracentrifugation), and DLS (dynamic light scattering). HMW species (aggregates) were quantified.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Monomer</w:t>
            </w:r>
          </w:p>
        </w:tc>
        <w:tc>
          <w:tcPr>
            <w:tcW w:type="dxa" w:w="2160"/>
          </w:tcPr>
          <w:p>
            <w:r>
              <w:t>SEC-HPLC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HMW (Aggregates)</w:t>
            </w:r>
          </w:p>
        </w:tc>
        <w:tc>
          <w:tcPr>
            <w:tcW w:type="dxa" w:w="2160"/>
          </w:tcPr>
          <w:p>
            <w:r>
              <w:t>SEC-HPLC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LMW (Fragments)</w:t>
            </w:r>
          </w:p>
        </w:tc>
        <w:tc>
          <w:tcPr>
            <w:tcW w:type="dxa" w:w="2160"/>
          </w:tcPr>
          <w:p>
            <w:r>
              <w:t>SEC-HPLC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Hydrodynamic Radius</w:t>
            </w:r>
          </w:p>
        </w:tc>
        <w:tc>
          <w:tcPr>
            <w:tcW w:type="dxa" w:w="2160"/>
          </w:tcPr>
          <w:p>
            <w:r>
              <w:t>DLS</w:t>
            </w:r>
          </w:p>
        </w:tc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nm</w:t>
            </w:r>
          </w:p>
        </w:tc>
      </w:tr>
    </w:tbl>
    <w:p>
      <w:pPr>
        <w:pStyle w:val="Heading1"/>
      </w:pPr>
      <w:r>
        <w:t>4. Charge Heterogeneity</w:t>
      </w:r>
    </w:p>
    <w:p>
      <w:r>
        <w:t>Charge variant analysis was performed by cation exchange chromatography (CEX) and icIEF (imaged capillary isoelectric focusing).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Acidic Variants</w:t>
            </w:r>
          </w:p>
        </w:tc>
        <w:tc>
          <w:tcPr>
            <w:tcW w:type="dxa" w:w="2160"/>
          </w:tcPr>
          <w:p>
            <w:r>
              <w:t>CEX</w:t>
            </w:r>
          </w:p>
        </w:tc>
        <w:tc>
          <w:tcPr>
            <w:tcW w:type="dxa" w:w="2160"/>
          </w:tcPr>
          <w:p>
            <w:r>
              <w:t>22.1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Main Charge Peak</w:t>
            </w:r>
          </w:p>
        </w:tc>
        <w:tc>
          <w:tcPr>
            <w:tcW w:type="dxa" w:w="2160"/>
          </w:tcPr>
          <w:p>
            <w:r>
              <w:t>CEX</w:t>
            </w:r>
          </w:p>
        </w:tc>
        <w:tc>
          <w:tcPr>
            <w:tcW w:type="dxa" w:w="2160"/>
          </w:tcPr>
          <w:p>
            <w:r>
              <w:t>58.3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Basic Variants</w:t>
            </w:r>
          </w:p>
        </w:tc>
        <w:tc>
          <w:tcPr>
            <w:tcW w:type="dxa" w:w="2160"/>
          </w:tcPr>
          <w:p>
            <w:r>
              <w:t>CEX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</w:tbl>
    <w:p>
      <w:pPr>
        <w:pStyle w:val="Heading1"/>
      </w:pPr>
      <w:r>
        <w:t>5. Glycosylation and Post-Translational Modifications</w:t>
      </w:r>
    </w:p>
    <w:p>
      <w:r>
        <w:t>N-glycan profiling was performed by HILIC-MS following PNGase F enzymatic release. Post-translational modifications including deamidation, oxidation, and C-terminal lysine clipping were assessed.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G0F</w:t>
            </w:r>
          </w:p>
        </w:tc>
        <w:tc>
          <w:tcPr>
            <w:tcW w:type="dxa" w:w="2160"/>
          </w:tcPr>
          <w:p>
            <w:r>
              <w:t>N-glycan HILIC-MS</w:t>
            </w:r>
          </w:p>
        </w:tc>
        <w:tc>
          <w:tcPr>
            <w:tcW w:type="dxa" w:w="2160"/>
          </w:tcPr>
          <w:p>
            <w:r>
              <w:t>42.3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G1F</w:t>
            </w:r>
          </w:p>
        </w:tc>
        <w:tc>
          <w:tcPr>
            <w:tcW w:type="dxa" w:w="2160"/>
          </w:tcPr>
          <w:p>
            <w:r>
              <w:t>N-glycan HILIC-MS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G2F</w:t>
            </w:r>
          </w:p>
        </w:tc>
        <w:tc>
          <w:tcPr>
            <w:tcW w:type="dxa" w:w="2160"/>
          </w:tcPr>
          <w:p>
            <w:r>
              <w:t>N-glycan HILIC-MS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Afucosylation</w:t>
            </w:r>
          </w:p>
        </w:tc>
        <w:tc>
          <w:tcPr>
            <w:tcW w:type="dxa" w:w="2160"/>
          </w:tcPr>
          <w:p>
            <w:r>
              <w:t>N-glycan HILIC-MS</w:t>
            </w:r>
          </w:p>
        </w:tc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High Mannose (Man5)</w:t>
            </w:r>
          </w:p>
        </w:tc>
        <w:tc>
          <w:tcPr>
            <w:tcW w:type="dxa" w:w="2160"/>
          </w:tcPr>
          <w:p>
            <w:r>
              <w:t>N-glycan HILIC-MS</w:t>
            </w:r>
          </w:p>
        </w:tc>
        <w:tc>
          <w:tcPr>
            <w:tcW w:type="dxa" w:w="2160"/>
          </w:tcPr>
          <w:p>
            <w:r>
              <w:t>2.8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</w:tbl>
    <w:p>
      <w:pPr>
        <w:pStyle w:val="Heading1"/>
      </w:pPr>
      <w:r>
        <w:t>6. Biological Activity and Potency</w:t>
      </w:r>
    </w:p>
    <w:p>
      <w:r>
        <w:t>Biological activity was assessed using a cell-based reporter gene assay measuring IL-6 receptor inhibition. ADCC activity was also evaluated. Relative potency was determined against the reference standard.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Assay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Relative Potency</w:t>
            </w:r>
          </w:p>
        </w:tc>
        <w:tc>
          <w:tcPr>
            <w:tcW w:type="dxa" w:w="2160"/>
          </w:tcPr>
          <w:p>
            <w:r>
              <w:t>Cell-based Reporter Gene</w:t>
            </w:r>
          </w:p>
        </w:tc>
        <w:tc>
          <w:tcPr>
            <w:tcW w:type="dxa" w:w="2160"/>
          </w:tcPr>
          <w:p>
            <w:r>
              <w:t>102.5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ADCC Activity</w:t>
            </w:r>
          </w:p>
        </w:tc>
        <w:tc>
          <w:tcPr>
            <w:tcW w:type="dxa" w:w="2160"/>
          </w:tcPr>
          <w:p>
            <w:r>
              <w:t>ADCC Reporter Assay</w:t>
            </w:r>
          </w:p>
        </w:tc>
        <w:tc>
          <w:tcPr>
            <w:tcW w:type="dxa" w:w="2160"/>
          </w:tcPr>
          <w:p>
            <w:r>
              <w:t>98.7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Binding EC50</w:t>
            </w:r>
          </w:p>
        </w:tc>
        <w:tc>
          <w:tcPr>
            <w:tcW w:type="dxa" w:w="2160"/>
          </w:tcPr>
          <w:p>
            <w:r>
              <w:t>Cell-based Assay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nM</w:t>
            </w:r>
          </w:p>
        </w:tc>
      </w:tr>
    </w:tbl>
    <w:p>
      <w:pPr>
        <w:pStyle w:val="Heading1"/>
      </w:pPr>
      <w:r>
        <w:t>7. Immunochemical Properties</w:t>
      </w:r>
    </w:p>
    <w:p>
      <w:r>
        <w:t>Target binding was assessed by ELISA and surface plasmon resonance (SPR) using a Biacore instrument. FcRn binding was confirmed.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Target Binding (Kd)</w:t>
            </w:r>
          </w:p>
        </w:tc>
        <w:tc>
          <w:tcPr>
            <w:tcW w:type="dxa" w:w="2160"/>
          </w:tcPr>
          <w:p>
            <w:r>
              <w:t>SPR / Biacore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nM</w:t>
            </w:r>
          </w:p>
        </w:tc>
      </w:tr>
      <w:tr>
        <w:tc>
          <w:tcPr>
            <w:tcW w:type="dxa" w:w="2160"/>
          </w:tcPr>
          <w:p>
            <w:r>
              <w:t>Target Binding</w:t>
            </w:r>
          </w:p>
        </w:tc>
        <w:tc>
          <w:tcPr>
            <w:tcW w:type="dxa" w:w="2160"/>
          </w:tcPr>
          <w:p>
            <w:r>
              <w:t>ELISA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FcRn Binding (Kd)</w:t>
            </w:r>
          </w:p>
        </w:tc>
        <w:tc>
          <w:tcPr>
            <w:tcW w:type="dxa" w:w="2160"/>
          </w:tcPr>
          <w:p>
            <w:r>
              <w:t>SPR</w:t>
            </w:r>
          </w:p>
        </w:tc>
        <w:tc>
          <w:tcPr>
            <w:tcW w:type="dxa" w:w="2160"/>
          </w:tcPr>
          <w:p>
            <w:r>
              <w:t>1.8</w:t>
            </w:r>
          </w:p>
        </w:tc>
        <w:tc>
          <w:tcPr>
            <w:tcW w:type="dxa" w:w="2160"/>
          </w:tcPr>
          <w:p>
            <w:r>
              <w:t>uM</w:t>
            </w:r>
          </w:p>
        </w:tc>
      </w:tr>
    </w:tbl>
    <w:p>
      <w:pPr>
        <w:pStyle w:val="Heading1"/>
      </w:pPr>
      <w:r>
        <w:t>8. Purity and Impurities</w:t>
      </w:r>
    </w:p>
    <w:p>
      <w:r>
        <w:t>Purity was assessed by rCE-SDS (reduced and non-reduced) and RP-HPLC. Process-related impurities including host cell protein (HCP) and residual DNA were quantified.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Attribute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Purity (reduced)</w:t>
            </w:r>
          </w:p>
        </w:tc>
        <w:tc>
          <w:tcPr>
            <w:tcW w:type="dxa" w:w="2160"/>
          </w:tcPr>
          <w:p>
            <w:r>
              <w:t>rCE-SDS</w:t>
            </w:r>
          </w:p>
        </w:tc>
        <w:tc>
          <w:tcPr>
            <w:tcW w:type="dxa" w:w="2160"/>
          </w:tcPr>
          <w:p>
            <w:r>
              <w:t>98.5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Purity (non-reduced)</w:t>
            </w:r>
          </w:p>
        </w:tc>
        <w:tc>
          <w:tcPr>
            <w:tcW w:type="dxa" w:w="2160"/>
          </w:tcPr>
          <w:p>
            <w:r>
              <w:t>CE-SDS</w:t>
            </w:r>
          </w:p>
        </w:tc>
        <w:tc>
          <w:tcPr>
            <w:tcW w:type="dxa" w:w="2160"/>
          </w:tcPr>
          <w:p>
            <w:r>
              <w:t>97.8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Purity</w:t>
            </w:r>
          </w:p>
        </w:tc>
        <w:tc>
          <w:tcPr>
            <w:tcW w:type="dxa" w:w="2160"/>
          </w:tcPr>
          <w:p>
            <w:r>
              <w:t>RP-HPLC</w:t>
            </w:r>
          </w:p>
        </w:tc>
        <w:tc>
          <w:tcPr>
            <w:tcW w:type="dxa" w:w="2160"/>
          </w:tcPr>
          <w:p>
            <w:r>
              <w:t>99.1</w:t>
            </w:r>
          </w:p>
        </w:tc>
        <w:tc>
          <w:tcPr>
            <w:tcW w:type="dxa" w:w="2160"/>
          </w:tcPr>
          <w:p>
            <w:r>
              <w:t>%</w:t>
            </w:r>
          </w:p>
        </w:tc>
      </w:tr>
      <w:tr>
        <w:tc>
          <w:tcPr>
            <w:tcW w:type="dxa" w:w="2160"/>
          </w:tcPr>
          <w:p>
            <w:r>
              <w:t>HCP</w:t>
            </w:r>
          </w:p>
        </w:tc>
        <w:tc>
          <w:tcPr>
            <w:tcW w:type="dxa" w:w="2160"/>
          </w:tcPr>
          <w:p>
            <w:r>
              <w:t>ELISA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  <w:tc>
          <w:tcPr>
            <w:tcW w:type="dxa" w:w="2160"/>
          </w:tcPr>
          <w:p>
            <w:r>
              <w:t>ppm</w:t>
            </w:r>
          </w:p>
        </w:tc>
      </w:tr>
      <w:tr>
        <w:tc>
          <w:tcPr>
            <w:tcW w:type="dxa" w:w="2160"/>
          </w:tcPr>
          <w:p>
            <w:r>
              <w:t>Residual DNA</w:t>
            </w:r>
          </w:p>
        </w:tc>
        <w:tc>
          <w:tcPr>
            <w:tcW w:type="dxa" w:w="2160"/>
          </w:tcPr>
          <w:p>
            <w:r>
              <w:t>qPCR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pg/mg</w:t>
            </w:r>
          </w:p>
        </w:tc>
      </w:tr>
    </w:tbl>
    <w:p>
      <w:pPr>
        <w:pStyle w:val="Heading1"/>
      </w:pPr>
      <w:r>
        <w:t>9. Summary</w:t>
      </w:r>
    </w:p>
    <w:p>
      <w:r>
        <w:t>The characterization study demonstrates that mAb-Test IgG1 has the expected physicochemical and biological properties consistent with an IgG1 monoclonal antibody. All critical quality attributes meet acceptance criteria. Potency: 102.5% relative to reference standard lot RS-2026-001.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