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Comparability Assessment Report</w:t>
      </w:r>
    </w:p>
    <w:p>
      <w:pPr>
        <w:pStyle w:val="Heading1"/>
      </w:pPr>
      <w:r>
        <w:t>Product: mAb-DocTest-01</w:t>
      </w:r>
    </w:p>
    <w:p>
      <w:r>
        <w:t>This comparability study evaluates the impact of a manufacturing process change (scale-up from 2000L to 5000L bioreactor) on the monoclonal antibody mAb-DocTest-01. The post-approval commercial product was assessed across physicochemical, purity, potency, and stability attributes.</w:t>
      </w:r>
    </w:p>
    <w:p>
      <w:pPr>
        <w:pStyle w:val="Heading1"/>
      </w:pPr>
      <w:r>
        <w:t>Comparability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Attribute</w:t>
            </w:r>
          </w:p>
        </w:tc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Pre-Change</w:t>
            </w:r>
          </w:p>
        </w:tc>
        <w:tc>
          <w:tcPr>
            <w:tcW w:type="dxa" w:w="1440"/>
          </w:tcPr>
          <w:p>
            <w:r>
              <w:t>Post-Change</w:t>
            </w:r>
          </w:p>
        </w:tc>
        <w:tc>
          <w:tcPr>
            <w:tcW w:type="dxa" w:w="1440"/>
          </w:tcPr>
          <w:p>
            <w:r>
              <w:t>Specification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</w:tr>
      <w:tr>
        <w:tc>
          <w:tcPr>
            <w:tcW w:type="dxa" w:w="1440"/>
          </w:tcPr>
          <w:p>
            <w:r>
              <w:t>SEC Monomer</w:t>
            </w:r>
          </w:p>
        </w:tc>
        <w:tc>
          <w:tcPr>
            <w:tcW w:type="dxa" w:w="1440"/>
          </w:tcPr>
          <w:p>
            <w:r>
              <w:t>Purity</w:t>
            </w:r>
          </w:p>
        </w:tc>
        <w:tc>
          <w:tcPr>
            <w:tcW w:type="dxa" w:w="1440"/>
          </w:tcPr>
          <w:p>
            <w:r>
              <w:t>98.5</w:t>
            </w:r>
          </w:p>
        </w:tc>
        <w:tc>
          <w:tcPr>
            <w:tcW w:type="dxa" w:w="1440"/>
          </w:tcPr>
          <w:p>
            <w:r>
              <w:t>98.2</w:t>
            </w:r>
          </w:p>
        </w:tc>
        <w:tc>
          <w:tcPr>
            <w:tcW w:type="dxa" w:w="1440"/>
          </w:tcPr>
          <w:p>
            <w:r>
              <w:t>&gt;=95.0</w:t>
            </w:r>
          </w:p>
        </w:tc>
        <w:tc>
          <w:tcPr>
            <w:tcW w:type="dxa" w:w="1440"/>
          </w:tcPr>
          <w:p>
            <w:r>
              <w:t>%</w:t>
            </w:r>
          </w:p>
        </w:tc>
      </w:tr>
      <w:tr>
        <w:tc>
          <w:tcPr>
            <w:tcW w:type="dxa" w:w="1440"/>
          </w:tcPr>
          <w:p>
            <w:r>
              <w:t>SEC Aggregate</w:t>
            </w:r>
          </w:p>
        </w:tc>
        <w:tc>
          <w:tcPr>
            <w:tcW w:type="dxa" w:w="1440"/>
          </w:tcPr>
          <w:p>
            <w:r>
              <w:t>Purity</w:t>
            </w:r>
          </w:p>
        </w:tc>
        <w:tc>
          <w:tcPr>
            <w:tcW w:type="dxa" w:w="1440"/>
          </w:tcPr>
          <w:p>
            <w:r>
              <w:t>0.8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&lt;=2.0</w:t>
            </w:r>
          </w:p>
        </w:tc>
        <w:tc>
          <w:tcPr>
            <w:tcW w:type="dxa" w:w="1440"/>
          </w:tcPr>
          <w:p>
            <w:r>
              <w:t>%</w:t>
            </w:r>
          </w:p>
        </w:tc>
      </w:tr>
      <w:tr>
        <w:tc>
          <w:tcPr>
            <w:tcW w:type="dxa" w:w="1440"/>
          </w:tcPr>
          <w:p>
            <w:r>
              <w:t>CEX Main Peak</w:t>
            </w:r>
          </w:p>
        </w:tc>
        <w:tc>
          <w:tcPr>
            <w:tcW w:type="dxa" w:w="1440"/>
          </w:tcPr>
          <w:p>
            <w:r>
              <w:t>Physicochemical</w:t>
            </w:r>
          </w:p>
        </w:tc>
        <w:tc>
          <w:tcPr>
            <w:tcW w:type="dxa" w:w="1440"/>
          </w:tcPr>
          <w:p>
            <w:r>
              <w:t>65.2</w:t>
            </w:r>
          </w:p>
        </w:tc>
        <w:tc>
          <w:tcPr>
            <w:tcW w:type="dxa" w:w="1440"/>
          </w:tcPr>
          <w:p>
            <w:r>
              <w:t>64.8</w:t>
            </w:r>
          </w:p>
        </w:tc>
        <w:tc>
          <w:tcPr>
            <w:tcW w:type="dxa" w:w="1440"/>
          </w:tcPr>
          <w:p>
            <w:r>
              <w:t>55.0-75.0</w:t>
            </w:r>
          </w:p>
        </w:tc>
        <w:tc>
          <w:tcPr>
            <w:tcW w:type="dxa" w:w="1440"/>
          </w:tcPr>
          <w:p>
            <w:r>
              <w:t>%</w:t>
            </w:r>
          </w:p>
        </w:tc>
      </w:tr>
      <w:tr>
        <w:tc>
          <w:tcPr>
            <w:tcW w:type="dxa" w:w="1440"/>
          </w:tcPr>
          <w:p>
            <w:r>
              <w:t>Potency (Bioassay)</w:t>
            </w:r>
          </w:p>
        </w:tc>
        <w:tc>
          <w:tcPr>
            <w:tcW w:type="dxa" w:w="1440"/>
          </w:tcPr>
          <w:p>
            <w:r>
              <w:t>Potency</w:t>
            </w:r>
          </w:p>
        </w:tc>
        <w:tc>
          <w:tcPr>
            <w:tcW w:type="dxa" w:w="1440"/>
          </w:tcPr>
          <w:p>
            <w:r>
              <w:t>102.0</w:t>
            </w:r>
          </w:p>
        </w:tc>
        <w:tc>
          <w:tcPr>
            <w:tcW w:type="dxa" w:w="1440"/>
          </w:tcPr>
          <w:p>
            <w:r>
              <w:t>99.5</w:t>
            </w:r>
          </w:p>
        </w:tc>
        <w:tc>
          <w:tcPr>
            <w:tcW w:type="dxa" w:w="1440"/>
          </w:tcPr>
          <w:p>
            <w:r>
              <w:t>80.0-120.0</w:t>
            </w:r>
          </w:p>
        </w:tc>
        <w:tc>
          <w:tcPr>
            <w:tcW w:type="dxa" w:w="1440"/>
          </w:tcPr>
          <w:p>
            <w:r>
              <w:t>%RP</w:t>
            </w:r>
          </w:p>
        </w:tc>
      </w:tr>
      <w:tr>
        <w:tc>
          <w:tcPr>
            <w:tcW w:type="dxa" w:w="1440"/>
          </w:tcPr>
          <w:p>
            <w:r>
              <w:t>Osmolality</w:t>
            </w:r>
          </w:p>
        </w:tc>
        <w:tc>
          <w:tcPr>
            <w:tcW w:type="dxa" w:w="1440"/>
          </w:tcPr>
          <w:p>
            <w:r>
              <w:t>Physicochemical</w:t>
            </w:r>
          </w:p>
        </w:tc>
        <w:tc>
          <w:tcPr>
            <w:tcW w:type="dxa" w:w="1440"/>
          </w:tcPr>
          <w:p>
            <w:r>
              <w:t>290.0</w:t>
            </w:r>
          </w:p>
        </w:tc>
        <w:tc>
          <w:tcPr>
            <w:tcW w:type="dxa" w:w="1440"/>
          </w:tcPr>
          <w:p>
            <w:r>
              <w:t>292.0</w:t>
            </w:r>
          </w:p>
        </w:tc>
        <w:tc>
          <w:tcPr>
            <w:tcW w:type="dxa" w:w="1440"/>
          </w:tcPr>
          <w:p>
            <w:r>
              <w:t>270.0-330.0</w:t>
            </w:r>
          </w:p>
        </w:tc>
        <w:tc>
          <w:tcPr>
            <w:tcW w:type="dxa" w:w="1440"/>
          </w:tcPr>
          <w:p>
            <w:r>
              <w:t>mOsm/kg</w:t>
            </w:r>
          </w:p>
        </w:tc>
      </w:tr>
      <w:tr>
        <w:tc>
          <w:tcPr>
            <w:tcW w:type="dxa" w:w="1440"/>
          </w:tcPr>
          <w:p>
            <w:r>
              <w:t>Endotoxin</w:t>
            </w:r>
          </w:p>
        </w:tc>
        <w:tc>
          <w:tcPr>
            <w:tcW w:type="dxa" w:w="1440"/>
          </w:tcPr>
          <w:p>
            <w:r>
              <w:t>Purity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  <w:tc>
          <w:tcPr>
            <w:tcW w:type="dxa" w:w="1440"/>
          </w:tcPr>
          <w:p>
            <w:r>
              <w:t>&lt;=0.5</w:t>
            </w:r>
          </w:p>
        </w:tc>
        <w:tc>
          <w:tcPr>
            <w:tcW w:type="dxa" w:w="1440"/>
          </w:tcPr>
          <w:p>
            <w:r>
              <w:t>EU/mL</w:t>
            </w:r>
          </w:p>
        </w:tc>
      </w:tr>
    </w:tbl>
    <w:p>
      <w:pPr>
        <w:pStyle w:val="Heading1"/>
      </w:pPr>
      <w:r>
        <w:t>Conclusion</w:t>
      </w:r>
    </w:p>
    <w:p>
      <w:r>
        <w:t>All tested attributes met acceptance criteria. The manufacturing scale-up from 2000L to 5000L did not adversely impact product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