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CTD Module 3 - Quality</w:t>
      </w:r>
    </w:p>
    <w:p>
      <w:pPr>
        <w:pStyle w:val="Heading1"/>
      </w:pPr>
      <w:r>
        <w:t>3.2.S.1 General Information (Drug Substance)</w:t>
      </w:r>
    </w:p>
    <w:p>
      <w:r>
        <w:t>The drug substance is a monoclonal antibody (mAb) produced by recombinant DNA technology in Chinese Hamster Ovary (CHO) cells. The INN is Examplemab.</w:t>
      </w:r>
    </w:p>
    <w:p>
      <w:r>
        <w:t>Molecular formula: Approximately 145 kDa IgG1 monoclonal antibody. The molecule targets the CD20 antigen on B lymphocytes.</w:t>
      </w:r>
    </w:p>
    <w:p>
      <w:pPr>
        <w:pStyle w:val="Heading1"/>
      </w:pPr>
      <w:r>
        <w:t>3.2.S.2 Manufacture (Drug Substance)</w:t>
      </w:r>
    </w:p>
    <w:p>
      <w:r>
        <w:t>The drug substance is manufactured at BioFacility Corp., Site A. The manufacturing process consists of upstream cell culture, harvest, and downstream purification including Protein A chromatography, ion exchange, and viral inactivation steps.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Actual</w:t>
            </w:r>
          </w:p>
        </w:tc>
      </w:tr>
      <w:tr>
        <w:tc>
          <w:tcPr>
            <w:tcW w:type="dxa" w:w="2880"/>
          </w:tcPr>
          <w:p>
            <w:r>
              <w:t>Cell Culture Duration</w:t>
            </w:r>
          </w:p>
        </w:tc>
        <w:tc>
          <w:tcPr>
            <w:tcW w:type="dxa" w:w="2880"/>
          </w:tcPr>
          <w:p>
            <w:r>
              <w:t>14 days</w:t>
            </w:r>
          </w:p>
        </w:tc>
        <w:tc>
          <w:tcPr>
            <w:tcW w:type="dxa" w:w="2880"/>
          </w:tcPr>
          <w:p>
            <w:r>
              <w:t>14 days</w:t>
            </w:r>
          </w:p>
        </w:tc>
      </w:tr>
      <w:tr>
        <w:tc>
          <w:tcPr>
            <w:tcW w:type="dxa" w:w="2880"/>
          </w:tcPr>
          <w:p>
            <w:r>
              <w:t>Harvest Titer</w:t>
            </w:r>
          </w:p>
        </w:tc>
        <w:tc>
          <w:tcPr>
            <w:tcW w:type="dxa" w:w="2880"/>
          </w:tcPr>
          <w:p>
            <w:r>
              <w:t>&gt;2.0 g/L</w:t>
            </w:r>
          </w:p>
        </w:tc>
        <w:tc>
          <w:tcPr>
            <w:tcW w:type="dxa" w:w="2880"/>
          </w:tcPr>
          <w:p>
            <w:r>
              <w:t>2.8 g/L</w:t>
            </w:r>
          </w:p>
        </w:tc>
      </w:tr>
      <w:tr>
        <w:tc>
          <w:tcPr>
            <w:tcW w:type="dxa" w:w="2880"/>
          </w:tcPr>
          <w:p>
            <w:r>
              <w:t>Protein A Yield</w:t>
            </w:r>
          </w:p>
        </w:tc>
        <w:tc>
          <w:tcPr>
            <w:tcW w:type="dxa" w:w="2880"/>
          </w:tcPr>
          <w:p>
            <w:r>
              <w:t>&gt;80%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</w:tbl>
    <w:p>
      <w:pPr>
        <w:pStyle w:val="Heading1"/>
      </w:pPr>
      <w:r>
        <w:t>3.2.S.3 Characterisation (Drug Substance)</w:t>
      </w:r>
    </w:p>
    <w:p>
      <w:r>
        <w:t>Comprehensive characterization was performed per ICH Q6B including primary structure confirmation by peptide mapping (LC-MS/MS), higher-order structure by CD and DSC, glycan profiling by HILIC-MS, charge variants by icIEF, and size variants by SEC-HPLC.</w:t>
      </w:r>
    </w:p>
    <w:p>
      <w:r>
        <w:t>Reference standard lot: RS-2024-001. HMW: 1.2%. Main charge peak: 65.3%. Afucosylation: 8.5%. Relative potency: 98%.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HMW (Aggregates)</w:t>
            </w:r>
          </w:p>
        </w:tc>
        <w:tc>
          <w:tcPr>
            <w:tcW w:type="dxa" w:w="2160"/>
          </w:tcPr>
          <w:p>
            <w:r>
              <w:t>SEC-HPLC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Monomer Purity</w:t>
            </w:r>
          </w:p>
        </w:tc>
        <w:tc>
          <w:tcPr>
            <w:tcW w:type="dxa" w:w="2160"/>
          </w:tcPr>
          <w:p>
            <w:r>
              <w:t>SEC-HPLC</w:t>
            </w:r>
          </w:p>
        </w:tc>
        <w:tc>
          <w:tcPr>
            <w:tcW w:type="dxa" w:w="2160"/>
          </w:tcPr>
          <w:p>
            <w:r>
              <w:t>97.5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Main Charge Peak</w:t>
            </w:r>
          </w:p>
        </w:tc>
        <w:tc>
          <w:tcPr>
            <w:tcW w:type="dxa" w:w="2160"/>
          </w:tcPr>
          <w:p>
            <w:r>
              <w:t>icIEF</w:t>
            </w:r>
          </w:p>
        </w:tc>
        <w:tc>
          <w:tcPr>
            <w:tcW w:type="dxa" w:w="2160"/>
          </w:tcPr>
          <w:p>
            <w:r>
              <w:t>65.3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Afucosylation</w:t>
            </w:r>
          </w:p>
        </w:tc>
        <w:tc>
          <w:tcPr>
            <w:tcW w:type="dxa" w:w="2160"/>
          </w:tcPr>
          <w:p>
            <w:r>
              <w:t>HILIC-MS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Relative Potency</w:t>
            </w:r>
          </w:p>
        </w:tc>
        <w:tc>
          <w:tcPr>
            <w:tcW w:type="dxa" w:w="2160"/>
          </w:tcPr>
          <w:p>
            <w:r>
              <w:t>Cell-based assay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Binding Affinity (Kd)</w:t>
            </w:r>
          </w:p>
        </w:tc>
        <w:tc>
          <w:tcPr>
            <w:tcW w:type="dxa" w:w="2160"/>
          </w:tcPr>
          <w:p>
            <w:r>
              <w:t>SPR/Biacore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nM</w:t>
            </w:r>
          </w:p>
        </w:tc>
      </w:tr>
    </w:tbl>
    <w:p>
      <w:pPr>
        <w:pStyle w:val="Heading1"/>
      </w:pPr>
      <w:r>
        <w:t>3.2.S.4 Control of Drug Substance</w:t>
      </w:r>
    </w:p>
    <w:p>
      <w:r>
        <w:t>Method validation was performed per ICH Q2(R2) for all release testing methods. Specificity, linearity, accuracy, precision (repeatability and intermediate), range, LOD, LOQ, and robustness were assessed.</w:t>
      </w:r>
    </w:p>
    <w:p>
      <w:r>
        <w:t>SE-HPLC Method Validation: Recovery: 99.5%. RSD: 1.2%. R2: 0.9998. LOD: 0.05%. LOQ: 0.1%.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 Parameter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Accuracy (Recovery)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  <w:tc>
          <w:tcPr>
            <w:tcW w:type="dxa" w:w="2880"/>
          </w:tcPr>
          <w:p>
            <w:r>
              <w:t>98.0-102.0%</w:t>
            </w:r>
          </w:p>
        </w:tc>
      </w:tr>
      <w:tr>
        <w:tc>
          <w:tcPr>
            <w:tcW w:type="dxa" w:w="2880"/>
          </w:tcPr>
          <w:p>
            <w:r>
              <w:t>Precision (%RSD)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  <w:tc>
          <w:tcPr>
            <w:tcW w:type="dxa" w:w="2880"/>
          </w:tcPr>
          <w:p>
            <w:r>
              <w:t>&lt;=2.0%</w:t>
            </w:r>
          </w:p>
        </w:tc>
      </w:tr>
      <w:tr>
        <w:tc>
          <w:tcPr>
            <w:tcW w:type="dxa" w:w="2880"/>
          </w:tcPr>
          <w:p>
            <w:r>
              <w:t>Linearity (R2)</w:t>
            </w:r>
          </w:p>
        </w:tc>
        <w:tc>
          <w:tcPr>
            <w:tcW w:type="dxa" w:w="2880"/>
          </w:tcPr>
          <w:p>
            <w:r>
              <w:t>0.9998</w:t>
            </w:r>
          </w:p>
        </w:tc>
        <w:tc>
          <w:tcPr>
            <w:tcW w:type="dxa" w:w="2880"/>
          </w:tcPr>
          <w:p>
            <w:r>
              <w:t>&gt;=0.999</w:t>
            </w:r>
          </w:p>
        </w:tc>
      </w:tr>
      <w:tr>
        <w:tc>
          <w:tcPr>
            <w:tcW w:type="dxa" w:w="2880"/>
          </w:tcPr>
          <w:p>
            <w:r>
              <w:t>LOQ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  <w:tc>
          <w:tcPr>
            <w:tcW w:type="dxa" w:w="2880"/>
          </w:tcPr>
          <w:p>
            <w:r>
              <w:t>Report value</w:t>
            </w:r>
          </w:p>
        </w:tc>
      </w:tr>
    </w:tbl>
    <w:p>
      <w:pPr>
        <w:pStyle w:val="Heading1"/>
      </w:pPr>
      <w:r>
        <w:t>3.2.S.5 Reference Standards (Drug Substance)</w:t>
      </w:r>
    </w:p>
    <w:p>
      <w:r>
        <w:t>The primary reference standard (lot RS-2024-001) was fully characterized and qualified. Traceability to WHO International Standard established.</w:t>
      </w:r>
    </w:p>
    <w:p>
      <w:pPr>
        <w:pStyle w:val="Heading1"/>
      </w:pPr>
      <w:r>
        <w:t>3.2.S.6 Container Closure System (Drug Substance)</w:t>
      </w:r>
    </w:p>
    <w:p>
      <w:r>
        <w:t>Drug substance is stored in 2L polycarbonate bottles with HDPE screw caps. Container closure integrity testing per USP &lt;1207&gt; confirmed adequate seal.</w:t>
      </w:r>
    </w:p>
    <w:p>
      <w:pPr>
        <w:pStyle w:val="Heading1"/>
      </w:pPr>
      <w:r>
        <w:t>3.2.S.7 Stability (Drug Substance)</w:t>
      </w:r>
    </w:p>
    <w:p>
      <w:r>
        <w:t>Stability studies were conducted per ICH Q1A/Q5C at long-term (5C), accelerated (25C/60%RH), and stress (40C/75%RH) conditions. Proposed shelf-life of 24 months at 2-8 degrees 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T=0</w:t>
            </w:r>
          </w:p>
        </w:tc>
        <w:tc>
          <w:tcPr>
            <w:tcW w:type="dxa" w:w="1440"/>
          </w:tcPr>
          <w:p>
            <w:r>
              <w:t>3M</w:t>
            </w:r>
          </w:p>
        </w:tc>
        <w:tc>
          <w:tcPr>
            <w:tcW w:type="dxa" w:w="1440"/>
          </w:tcPr>
          <w:p>
            <w:r>
              <w:t>6M</w:t>
            </w:r>
          </w:p>
        </w:tc>
        <w:tc>
          <w:tcPr>
            <w:tcW w:type="dxa" w:w="1440"/>
          </w:tcPr>
          <w:p>
            <w:r>
              <w:t>12M</w:t>
            </w:r>
          </w:p>
        </w:tc>
      </w:tr>
      <w:tr>
        <w:tc>
          <w:tcPr>
            <w:tcW w:type="dxa" w:w="1440"/>
          </w:tcPr>
          <w:p>
            <w:r>
              <w:t>Purity (SEC)</w:t>
            </w:r>
          </w:p>
        </w:tc>
        <w:tc>
          <w:tcPr>
            <w:tcW w:type="dxa" w:w="1440"/>
          </w:tcPr>
          <w:p>
            <w:r>
              <w:t>5C</w:t>
            </w:r>
          </w:p>
        </w:tc>
        <w:tc>
          <w:tcPr>
            <w:tcW w:type="dxa" w:w="1440"/>
          </w:tcPr>
          <w:p>
            <w:r>
              <w:t>97.5</w:t>
            </w:r>
          </w:p>
        </w:tc>
        <w:tc>
          <w:tcPr>
            <w:tcW w:type="dxa" w:w="1440"/>
          </w:tcPr>
          <w:p>
            <w:r>
              <w:t>97.3</w:t>
            </w:r>
          </w:p>
        </w:tc>
        <w:tc>
          <w:tcPr>
            <w:tcW w:type="dxa" w:w="1440"/>
          </w:tcPr>
          <w:p>
            <w:r>
              <w:t>97.1</w:t>
            </w:r>
          </w:p>
        </w:tc>
        <w:tc>
          <w:tcPr>
            <w:tcW w:type="dxa" w:w="1440"/>
          </w:tcPr>
          <w:p>
            <w:r>
              <w:t>96.8</w:t>
            </w:r>
          </w:p>
        </w:tc>
      </w:tr>
      <w:tr>
        <w:tc>
          <w:tcPr>
            <w:tcW w:type="dxa" w:w="1440"/>
          </w:tcPr>
          <w:p>
            <w:r>
              <w:t>HMW</w:t>
            </w:r>
          </w:p>
        </w:tc>
        <w:tc>
          <w:tcPr>
            <w:tcW w:type="dxa" w:w="1440"/>
          </w:tcPr>
          <w:p>
            <w:r>
              <w:t>5C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1.6</w:t>
            </w:r>
          </w:p>
        </w:tc>
      </w:tr>
      <w:tr>
        <w:tc>
          <w:tcPr>
            <w:tcW w:type="dxa" w:w="1440"/>
          </w:tcPr>
          <w:p>
            <w:r>
              <w:t>Potency</w:t>
            </w:r>
          </w:p>
        </w:tc>
        <w:tc>
          <w:tcPr>
            <w:tcW w:type="dxa" w:w="1440"/>
          </w:tcPr>
          <w:p>
            <w:r>
              <w:t>5C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95</w:t>
            </w:r>
          </w:p>
        </w:tc>
      </w:tr>
      <w:tr>
        <w:tc>
          <w:tcPr>
            <w:tcW w:type="dxa" w:w="1440"/>
          </w:tcPr>
          <w:p>
            <w:r>
              <w:t>Purity (SEC)</w:t>
            </w:r>
          </w:p>
        </w:tc>
        <w:tc>
          <w:tcPr>
            <w:tcW w:type="dxa" w:w="1440"/>
          </w:tcPr>
          <w:p>
            <w:r>
              <w:t>40C/75RH</w:t>
            </w:r>
          </w:p>
        </w:tc>
        <w:tc>
          <w:tcPr>
            <w:tcW w:type="dxa" w:w="1440"/>
          </w:tcPr>
          <w:p>
            <w:r>
              <w:t>97.5</w:t>
            </w:r>
          </w:p>
        </w:tc>
        <w:tc>
          <w:tcPr>
            <w:tcW w:type="dxa" w:w="1440"/>
          </w:tcPr>
          <w:p>
            <w:r>
              <w:t>95.0</w:t>
            </w:r>
          </w:p>
        </w:tc>
        <w:tc>
          <w:tcPr>
            <w:tcW w:type="dxa" w:w="1440"/>
          </w:tcPr>
          <w:p>
            <w:r>
              <w:t>92.1</w:t>
            </w:r>
          </w:p>
        </w:tc>
        <w:tc>
          <w:tcPr>
            <w:tcW w:type="dxa" w:w="1440"/>
          </w:tcPr>
          <w:p>
            <w:r>
              <w:t>88.5</w:t>
            </w:r>
          </w:p>
        </w:tc>
      </w:tr>
    </w:tbl>
    <w:p>
      <w:pPr>
        <w:pStyle w:val="Heading1"/>
      </w:pPr>
      <w:r>
        <w:t>3.2.P.1 Description and Composition (Drug Product)</w:t>
      </w:r>
    </w:p>
    <w:p>
      <w:r>
        <w:t>The drug product is a sterile, preservative-free solution for IV infusion. Each vial contains 100 mg of Examplemab in 10 mL (10 mg/mL) formulated in 20 mM histidine, 240 mM trehalose, 0.02% polysorbate 80, pH 6.0.</w:t>
      </w:r>
    </w:p>
    <w:p>
      <w:pPr>
        <w:pStyle w:val="Heading1"/>
      </w:pPr>
      <w:r>
        <w:t>3.2.P.2 Pharmaceutical Development</w:t>
      </w:r>
    </w:p>
    <w:p>
      <w:r>
        <w:t>Formulation development studies optimized buffer, pH, surfactant, and tonicity agent to maximize stability. Forced degradation studies confirmed the stability-indicating nature of all analytical methods.</w:t>
      </w:r>
    </w:p>
    <w:p>
      <w:pPr>
        <w:pStyle w:val="Heading1"/>
      </w:pPr>
      <w:r>
        <w:t>3.2.P.3 Manufacture (Drug Product)</w:t>
      </w:r>
    </w:p>
    <w:p>
      <w:r>
        <w:t>Drug product manufacture includes thawing of drug substance, dilution, sterile filtration (0.22 um), aseptic fill into glass vials, stoppering, and capping. Process validation completed for 3 consecutive batches.</w:t>
      </w:r>
    </w:p>
    <w:p>
      <w:pPr>
        <w:pStyle w:val="Heading1"/>
      </w:pPr>
      <w:r>
        <w:t>3.2.P.4 Control of Excipients</w:t>
      </w:r>
    </w:p>
    <w:p>
      <w:r>
        <w:t>All excipients comply with USP/NF or Ph. Eur. monographs. Polysorbate 80 is compendial grade. Histidine and trehalose meet USP specifications.</w:t>
      </w:r>
    </w:p>
    <w:p>
      <w:pPr>
        <w:pStyle w:val="Heading1"/>
      </w:pPr>
      <w:r>
        <w:t>3.2.P.5 Control of Drug Product</w:t>
      </w:r>
    </w:p>
    <w:p>
      <w:r>
        <w:t>Release testing specifications and validated methods for drug product. Method validation per ICH Q2(R2). Specificity, linearity, accuracy, precision, and robustness demonstrated for all methods.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Appearance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Clear, colorless to slightly yellow</w:t>
            </w:r>
          </w:p>
        </w:tc>
      </w:tr>
      <w:tr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Potentiometry</w:t>
            </w:r>
          </w:p>
        </w:tc>
        <w:tc>
          <w:tcPr>
            <w:tcW w:type="dxa" w:w="2880"/>
          </w:tcPr>
          <w:p>
            <w:r>
              <w:t>5.7 - 6.3</w:t>
            </w:r>
          </w:p>
        </w:tc>
      </w:tr>
      <w:tr>
        <w:tc>
          <w:tcPr>
            <w:tcW w:type="dxa" w:w="2880"/>
          </w:tcPr>
          <w:p>
            <w:r>
              <w:t>Protein Concentration</w:t>
            </w:r>
          </w:p>
        </w:tc>
        <w:tc>
          <w:tcPr>
            <w:tcW w:type="dxa" w:w="2880"/>
          </w:tcPr>
          <w:p>
            <w:r>
              <w:t>UV A280</w:t>
            </w:r>
          </w:p>
        </w:tc>
        <w:tc>
          <w:tcPr>
            <w:tcW w:type="dxa" w:w="2880"/>
          </w:tcPr>
          <w:p>
            <w:r>
              <w:t>9.0 - 11.0 mg/mL</w:t>
            </w:r>
          </w:p>
        </w:tc>
      </w:tr>
      <w:tr>
        <w:tc>
          <w:tcPr>
            <w:tcW w:type="dxa" w:w="2880"/>
          </w:tcPr>
          <w:p>
            <w:r>
              <w:t>Purity (SEC)</w:t>
            </w:r>
          </w:p>
        </w:tc>
        <w:tc>
          <w:tcPr>
            <w:tcW w:type="dxa" w:w="2880"/>
          </w:tcPr>
          <w:p>
            <w:r>
              <w:t>SE-HPLC</w:t>
            </w:r>
          </w:p>
        </w:tc>
        <w:tc>
          <w:tcPr>
            <w:tcW w:type="dxa" w:w="2880"/>
          </w:tcPr>
          <w:p>
            <w:r>
              <w:t>&gt;= 95.0%</w:t>
            </w:r>
          </w:p>
        </w:tc>
      </w:tr>
      <w:tr>
        <w:tc>
          <w:tcPr>
            <w:tcW w:type="dxa" w:w="2880"/>
          </w:tcPr>
          <w:p>
            <w:r>
              <w:t>Potency</w:t>
            </w:r>
          </w:p>
        </w:tc>
        <w:tc>
          <w:tcPr>
            <w:tcW w:type="dxa" w:w="2880"/>
          </w:tcPr>
          <w:p>
            <w:r>
              <w:t>Cell-based assay</w:t>
            </w:r>
          </w:p>
        </w:tc>
        <w:tc>
          <w:tcPr>
            <w:tcW w:type="dxa" w:w="2880"/>
          </w:tcPr>
          <w:p>
            <w:r>
              <w:t>80 - 120%</w:t>
            </w:r>
          </w:p>
        </w:tc>
      </w:tr>
    </w:tbl>
    <w:p>
      <w:pPr>
        <w:pStyle w:val="Heading1"/>
      </w:pPr>
      <w:r>
        <w:t>3.2.P.6 Reference Standards (Drug Product)</w:t>
      </w:r>
    </w:p>
    <w:p>
      <w:r>
        <w:t>The same primary reference standard (lot RS-2024-001) is used for drug product release testing.</w:t>
      </w:r>
    </w:p>
    <w:p>
      <w:pPr>
        <w:pStyle w:val="Heading1"/>
      </w:pPr>
      <w:r>
        <w:t>3.2.P.7 Container Closure System (Drug Product)</w:t>
      </w:r>
    </w:p>
    <w:p>
      <w:r>
        <w:t>20 mL Type I borosilicate glass vials with 20 mm fluoropolymer-coated butyl rubber stoppers and aluminum flip-off seals. Container closure integrity verified per USP &lt;1207&gt;.</w:t>
      </w:r>
    </w:p>
    <w:p>
      <w:pPr>
        <w:pStyle w:val="Heading1"/>
      </w:pPr>
      <w:r>
        <w:t>3.2.P.8 Stability (Drug Product)</w:t>
      </w:r>
    </w:p>
    <w:p>
      <w:r>
        <w:t>Drug product stability studies per ICH Q1A/Q5C. Long-term (5C), accelerated (25C/60%RH), and stress (40C/75%RH). Proposed shelf-life of 24 months at 2-8 degrees 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T=0</w:t>
            </w:r>
          </w:p>
        </w:tc>
        <w:tc>
          <w:tcPr>
            <w:tcW w:type="dxa" w:w="1440"/>
          </w:tcPr>
          <w:p>
            <w:r>
              <w:t>3M</w:t>
            </w:r>
          </w:p>
        </w:tc>
        <w:tc>
          <w:tcPr>
            <w:tcW w:type="dxa" w:w="1440"/>
          </w:tcPr>
          <w:p>
            <w:r>
              <w:t>6M</w:t>
            </w:r>
          </w:p>
        </w:tc>
        <w:tc>
          <w:tcPr>
            <w:tcW w:type="dxa" w:w="1440"/>
          </w:tcPr>
          <w:p>
            <w:r>
              <w:t>12M</w:t>
            </w:r>
          </w:p>
        </w:tc>
      </w:tr>
      <w:tr>
        <w:tc>
          <w:tcPr>
            <w:tcW w:type="dxa" w:w="1440"/>
          </w:tcPr>
          <w:p>
            <w:r>
              <w:t>Purity (SEC)</w:t>
            </w:r>
          </w:p>
        </w:tc>
        <w:tc>
          <w:tcPr>
            <w:tcW w:type="dxa" w:w="1440"/>
          </w:tcPr>
          <w:p>
            <w:r>
              <w:t>5C</w:t>
            </w:r>
          </w:p>
        </w:tc>
        <w:tc>
          <w:tcPr>
            <w:tcW w:type="dxa" w:w="1440"/>
          </w:tcPr>
          <w:p>
            <w:r>
              <w:t>97.2</w:t>
            </w:r>
          </w:p>
        </w:tc>
        <w:tc>
          <w:tcPr>
            <w:tcW w:type="dxa" w:w="1440"/>
          </w:tcPr>
          <w:p>
            <w:r>
              <w:t>97.0</w:t>
            </w:r>
          </w:p>
        </w:tc>
        <w:tc>
          <w:tcPr>
            <w:tcW w:type="dxa" w:w="1440"/>
          </w:tcPr>
          <w:p>
            <w:r>
              <w:t>96.8</w:t>
            </w:r>
          </w:p>
        </w:tc>
        <w:tc>
          <w:tcPr>
            <w:tcW w:type="dxa" w:w="1440"/>
          </w:tcPr>
          <w:p>
            <w:r>
              <w:t>96.5</w:t>
            </w:r>
          </w:p>
        </w:tc>
      </w:tr>
      <w:tr>
        <w:tc>
          <w:tcPr>
            <w:tcW w:type="dxa" w:w="1440"/>
          </w:tcPr>
          <w:p>
            <w:r>
              <w:t>Potency</w:t>
            </w:r>
          </w:p>
        </w:tc>
        <w:tc>
          <w:tcPr>
            <w:tcW w:type="dxa" w:w="1440"/>
          </w:tcPr>
          <w:p>
            <w:r>
              <w:t>5C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97</w:t>
            </w:r>
          </w:p>
        </w:tc>
      </w:tr>
      <w:tr>
        <w:tc>
          <w:tcPr>
            <w:tcW w:type="dxa" w:w="1440"/>
          </w:tcPr>
          <w:p>
            <w:r>
              <w:t>Subvisible Particles</w:t>
            </w:r>
          </w:p>
        </w:tc>
        <w:tc>
          <w:tcPr>
            <w:tcW w:type="dxa" w:w="1440"/>
          </w:tcPr>
          <w:p>
            <w:r>
              <w:t>5C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