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Analytical Method Validation Report</w:t>
      </w:r>
    </w:p>
    <w:p>
      <w:r>
        <w:t>Method Validation Report for SEC-HPLC Purity Method. This report describes the validation of the SEC-HPLC method for determination of monomer purity and size variants (HMW, LMW) of mAb-Val-01 per ICH Q2(R2) guidelines.</w:t>
      </w:r>
    </w:p>
    <w:p>
      <w:r>
        <w:t>Analytical Method: SEC-HPLC for Size Variant Analysis</w:t>
      </w:r>
    </w:p>
    <w:p>
      <w:r>
        <w:t>Method validation of SEC-HPLC method. Method name: SEC-HPLC Purity</w:t>
      </w:r>
    </w:p>
    <w:p>
      <w:pPr>
        <w:pStyle w:val="Heading1"/>
      </w:pPr>
      <w:r>
        <w:t>1. Specificity</w:t>
      </w:r>
    </w:p>
    <w:p>
      <w:r>
        <w:t>Specificity was demonstrated by analyzing placebo, reference standard, and stressed samples. No interference from the placebo matrix was observed.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</w:tr>
      <w:tr>
        <w:tc>
          <w:tcPr>
            <w:tcW w:type="dxa" w:w="2880"/>
          </w:tcPr>
          <w:p>
            <w:r>
              <w:t>Placebo interference</w:t>
            </w:r>
          </w:p>
        </w:tc>
        <w:tc>
          <w:tcPr>
            <w:tcW w:type="dxa" w:w="2880"/>
          </w:tcPr>
          <w:p>
            <w:r>
              <w:t>None detected</w:t>
            </w:r>
          </w:p>
        </w:tc>
        <w:tc>
          <w:tcPr>
            <w:tcW w:type="dxa" w:w="2880"/>
          </w:tcPr>
          <w:p>
            <w:r>
              <w:t>No interference</w:t>
            </w:r>
          </w:p>
        </w:tc>
      </w:tr>
      <w:tr>
        <w:tc>
          <w:tcPr>
            <w:tcW w:type="dxa" w:w="2880"/>
          </w:tcPr>
          <w:p>
            <w:r>
              <w:t>Peak resolution (monomer/HMW)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&gt;= 1.5</w:t>
            </w:r>
          </w:p>
        </w:tc>
      </w:tr>
      <w:tr>
        <w:tc>
          <w:tcPr>
            <w:tcW w:type="dxa" w:w="2880"/>
          </w:tcPr>
          <w:p>
            <w:r>
              <w:t>Selectivity</w:t>
            </w:r>
          </w:p>
        </w:tc>
        <w:tc>
          <w:tcPr>
            <w:tcW w:type="dxa" w:w="2880"/>
          </w:tcPr>
          <w:p>
            <w:r>
              <w:t>Demonstrated</w:t>
            </w:r>
          </w:p>
        </w:tc>
        <w:tc>
          <w:tcPr>
            <w:tcW w:type="dxa" w:w="2880"/>
          </w:tcPr>
          <w:p>
            <w:r>
              <w:t>Demonstrated</w:t>
            </w:r>
          </w:p>
        </w:tc>
      </w:tr>
    </w:tbl>
    <w:p>
      <w:pPr>
        <w:pStyle w:val="Heading1"/>
      </w:pPr>
      <w:r>
        <w:t>2. Linearity</w:t>
      </w:r>
    </w:p>
    <w:p>
      <w:r>
        <w:t>Linearity was assessed over the range of 0.1 to 2.0 mg/mL (50-200% of nominal concentration). R2 = 0.9998. Correlation coefficient: 0.9999.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</w:tr>
      <w:tr>
        <w:tc>
          <w:tcPr>
            <w:tcW w:type="dxa" w:w="2880"/>
          </w:tcPr>
          <w:p>
            <w:r>
              <w:t>R2 (correlation coefficient)</w:t>
            </w:r>
          </w:p>
        </w:tc>
        <w:tc>
          <w:tcPr>
            <w:tcW w:type="dxa" w:w="2880"/>
          </w:tcPr>
          <w:p>
            <w:r>
              <w:t>0.9998</w:t>
            </w:r>
          </w:p>
        </w:tc>
        <w:tc>
          <w:tcPr>
            <w:tcW w:type="dxa" w:w="2880"/>
          </w:tcPr>
          <w:p>
            <w:r>
              <w:t>&gt;= 0.999</w:t>
            </w:r>
          </w:p>
        </w:tc>
      </w:tr>
      <w:tr>
        <w:tc>
          <w:tcPr>
            <w:tcW w:type="dxa" w:w="2880"/>
          </w:tcPr>
          <w:p>
            <w:r>
              <w:t>Slope</w:t>
            </w:r>
          </w:p>
        </w:tc>
        <w:tc>
          <w:tcPr>
            <w:tcW w:type="dxa" w:w="2880"/>
          </w:tcPr>
          <w:p>
            <w:r>
              <w:t>1.002</w:t>
            </w:r>
          </w:p>
        </w:tc>
        <w:tc>
          <w:tcPr>
            <w:tcW w:type="dxa" w:w="2880"/>
          </w:tcPr>
          <w:p>
            <w:r>
              <w:t>0.95-1.05</w:t>
            </w:r>
          </w:p>
        </w:tc>
      </w:tr>
      <w:tr>
        <w:tc>
          <w:tcPr>
            <w:tcW w:type="dxa" w:w="2880"/>
          </w:tcPr>
          <w:p>
            <w:r>
              <w:t>Y-intercept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&lt; 2.0%</w:t>
            </w:r>
          </w:p>
        </w:tc>
      </w:tr>
    </w:tbl>
    <w:p>
      <w:pPr>
        <w:pStyle w:val="Heading1"/>
      </w:pPr>
      <w:r>
        <w:t>3. Range</w:t>
      </w:r>
    </w:p>
    <w:p>
      <w:r>
        <w:t>The analytical range was confirmed as 0.1 to 2.0 mg/mL, corresponding to 50-200% of the nominal working concentration.</w:t>
      </w:r>
    </w:p>
    <w:p>
      <w:pPr>
        <w:pStyle w:val="Heading1"/>
      </w:pPr>
      <w:r>
        <w:t>4. Accuracy</w:t>
      </w:r>
    </w:p>
    <w:p>
      <w:r>
        <w:t>Accuracy was determined by spiked recovery experiments at three concentration levels (80%, 100%, 120%). Mean recovery: 100.2%. Recovery: 100.2%.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</w:tr>
      <w:tr>
        <w:tc>
          <w:tcPr>
            <w:tcW w:type="dxa" w:w="2880"/>
          </w:tcPr>
          <w:p>
            <w:r>
              <w:t>Recovery at 80%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98-102%</w:t>
            </w:r>
          </w:p>
        </w:tc>
      </w:tr>
      <w:tr>
        <w:tc>
          <w:tcPr>
            <w:tcW w:type="dxa" w:w="2880"/>
          </w:tcPr>
          <w:p>
            <w:r>
              <w:t>Recovery at 100%</w:t>
            </w:r>
          </w:p>
        </w:tc>
        <w:tc>
          <w:tcPr>
            <w:tcW w:type="dxa" w:w="2880"/>
          </w:tcPr>
          <w:p>
            <w:r>
              <w:t>100.2%</w:t>
            </w:r>
          </w:p>
        </w:tc>
        <w:tc>
          <w:tcPr>
            <w:tcW w:type="dxa" w:w="2880"/>
          </w:tcPr>
          <w:p>
            <w:r>
              <w:t>98-102%</w:t>
            </w:r>
          </w:p>
        </w:tc>
      </w:tr>
      <w:tr>
        <w:tc>
          <w:tcPr>
            <w:tcW w:type="dxa" w:w="2880"/>
          </w:tcPr>
          <w:p>
            <w:r>
              <w:t>Recovery at 120%</w:t>
            </w:r>
          </w:p>
        </w:tc>
        <w:tc>
          <w:tcPr>
            <w:tcW w:type="dxa" w:w="2880"/>
          </w:tcPr>
          <w:p>
            <w:r>
              <w:t>100.8%</w:t>
            </w:r>
          </w:p>
        </w:tc>
        <w:tc>
          <w:tcPr>
            <w:tcW w:type="dxa" w:w="2880"/>
          </w:tcPr>
          <w:p>
            <w:r>
              <w:t>98-102%</w:t>
            </w:r>
          </w:p>
        </w:tc>
      </w:tr>
    </w:tbl>
    <w:p>
      <w:pPr>
        <w:pStyle w:val="Heading1"/>
      </w:pPr>
      <w:r>
        <w:t>5. Precision -- Repeatability</w:t>
      </w:r>
    </w:p>
    <w:p>
      <w:r>
        <w:t>Repeatability (intra-day precision) was assessed by 6 replicate injections of the reference standard. %RSD = 0.8%.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</w:tr>
      <w:tr>
        <w:tc>
          <w:tcPr>
            <w:tcW w:type="dxa" w:w="2880"/>
          </w:tcPr>
          <w:p>
            <w:r>
              <w:t>RSD (n=6)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  <w:tc>
          <w:tcPr>
            <w:tcW w:type="dxa" w:w="2880"/>
          </w:tcPr>
          <w:p>
            <w:r>
              <w:t>&lt;= 2.0%</w:t>
            </w:r>
          </w:p>
        </w:tc>
      </w:tr>
      <w:tr>
        <w:tc>
          <w:tcPr>
            <w:tcW w:type="dxa" w:w="2880"/>
          </w:tcPr>
          <w:p>
            <w:r>
              <w:t>Precision (intra-assay)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  <w:tc>
          <w:tcPr>
            <w:tcW w:type="dxa" w:w="2880"/>
          </w:tcPr>
          <w:p>
            <w:r>
              <w:t>&lt;= 2.0%</w:t>
            </w:r>
          </w:p>
        </w:tc>
      </w:tr>
    </w:tbl>
    <w:p>
      <w:pPr>
        <w:pStyle w:val="Heading1"/>
      </w:pPr>
      <w:r>
        <w:t>6. Precision -- Intermediate Precision</w:t>
      </w:r>
    </w:p>
    <w:p>
      <w:r>
        <w:t>Intermediate precision was evaluated across two analysts and three days. Inter-day %RSD = 1.2%.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</w:tr>
      <w:tr>
        <w:tc>
          <w:tcPr>
            <w:tcW w:type="dxa" w:w="2880"/>
          </w:tcPr>
          <w:p>
            <w:r>
              <w:t>Inter-day RSD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  <w:tc>
          <w:tcPr>
            <w:tcW w:type="dxa" w:w="2880"/>
          </w:tcPr>
          <w:p>
            <w:r>
              <w:t>&lt;= 3.0%</w:t>
            </w:r>
          </w:p>
        </w:tc>
      </w:tr>
      <w:tr>
        <w:tc>
          <w:tcPr>
            <w:tcW w:type="dxa" w:w="2880"/>
          </w:tcPr>
          <w:p>
            <w:r>
              <w:t>Inter-analyst RSD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  <w:tc>
          <w:tcPr>
            <w:tcW w:type="dxa" w:w="2880"/>
          </w:tcPr>
          <w:p>
            <w:r>
              <w:t>&lt;= 3.0%</w:t>
            </w:r>
          </w:p>
        </w:tc>
      </w:tr>
    </w:tbl>
    <w:p>
      <w:pPr>
        <w:pStyle w:val="Heading1"/>
      </w:pPr>
      <w:r>
        <w:t>7. LOD and LOQ</w:t>
      </w:r>
    </w:p>
    <w:p>
      <w:r>
        <w:t>The LOD (limit of detection) was determined to be 0.02 mg/mL. The LOQ (limit of quantitation) was determined to be 0.05 mg/mL. These are adequate for detection and quantitation of impurity species.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LOD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mg/mL</w:t>
            </w:r>
          </w:p>
        </w:tc>
      </w:tr>
      <w:tr>
        <w:tc>
          <w:tcPr>
            <w:tcW w:type="dxa" w:w="2880"/>
          </w:tcPr>
          <w:p>
            <w:r>
              <w:t>LOQ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mg/mL</w:t>
            </w:r>
          </w:p>
        </w:tc>
      </w:tr>
    </w:tbl>
    <w:p>
      <w:pPr>
        <w:pStyle w:val="Heading1"/>
      </w:pPr>
      <w:r>
        <w:t>8. Robustness</w:t>
      </w:r>
    </w:p>
    <w:p>
      <w:r>
        <w:t>Robustness was evaluated by deliberate variation of column temperature (+/- 2 degC), flow rate (+/- 10%), and mobile phase composition (+/- 2%). The method was found to be robust under all tested conditions.</w:t>
      </w:r>
    </w:p>
    <w:p>
      <w:pPr>
        <w:pStyle w:val="Heading1"/>
      </w:pPr>
      <w:r>
        <w:t>9. System Suitability</w:t>
      </w:r>
    </w:p>
    <w:p>
      <w:r>
        <w:t>System suitability criteria were met in all validation runs. Theoretical plates &gt; 5000, tailing factor &lt; 1.5.</w:t>
      </w:r>
    </w:p>
    <w:p>
      <w:pPr>
        <w:pStyle w:val="Heading1"/>
      </w:pPr>
      <w:r>
        <w:t>10. Summary</w:t>
      </w:r>
    </w:p>
    <w:p>
      <w:r>
        <w:t>The SEC-HPLC purity method has been validated per ICH Q2(R2). All validation parameters meet acceptance criteria. The method is suitable for its intended use in release and stability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