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Comparability Protocol CP-2024-042</w:t>
      </w:r>
    </w:p>
    <w:p>
      <w:pPr>
        <w:pStyle w:val="Heading1"/>
      </w:pPr>
      <w:r>
        <w:t>Product: BioFusion-ADC-07</w:t>
      </w:r>
    </w:p>
    <w:p>
      <w:r>
        <w:t>Antibody-drug conjugate BioFusion-ADC-07 comparability study following a site transfer from Facility A (Dublin) to Facility B (Singapore). This post-approval change requires demonstration of comparability per ICH Q5E. The analytical method panel includes validated HPLC, CE-SDS, and cell-based potency assays.</w:t>
      </w:r>
    </w:p>
    <w:p>
      <w:pPr>
        <w:pStyle w:val="Heading1"/>
      </w:pPr>
      <w:r>
        <w:t>Change Description</w:t>
      </w:r>
    </w:p>
    <w:p>
      <w:r>
        <w:t>The manufacturing site transfer involves identical equipment specifications but different water systems and facility utilities. Process parameters were locked; only site-specific factors differ.</w:t>
      </w:r>
    </w:p>
    <w:p>
      <w:pPr>
        <w:pStyle w:val="Heading1"/>
      </w:pPr>
      <w:r>
        <w:t>Analytical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Pre-Change</w:t>
            </w:r>
          </w:p>
        </w:tc>
        <w:tc>
          <w:tcPr>
            <w:tcW w:type="dxa" w:w="1440"/>
          </w:tcPr>
          <w:p>
            <w:r>
              <w:t>Post-Change</w:t>
            </w:r>
          </w:p>
        </w:tc>
        <w:tc>
          <w:tcPr>
            <w:tcW w:type="dxa" w:w="1440"/>
          </w:tcPr>
          <w:p>
            <w:r>
              <w:t>Acceptance Criteria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</w:tr>
      <w:tr>
        <w:tc>
          <w:tcPr>
            <w:tcW w:type="dxa" w:w="1440"/>
          </w:tcPr>
          <w:p>
            <w:r>
              <w:t>DAR (Drug-Antibody Ratio)</w:t>
            </w:r>
          </w:p>
        </w:tc>
        <w:tc>
          <w:tcPr>
            <w:tcW w:type="dxa" w:w="1440"/>
          </w:tcPr>
          <w:p>
            <w:r>
              <w:t>Physicochemical</w:t>
            </w:r>
          </w:p>
        </w:tc>
        <w:tc>
          <w:tcPr>
            <w:tcW w:type="dxa" w:w="1440"/>
          </w:tcPr>
          <w:p>
            <w:r>
              <w:t>3.8</w:t>
            </w:r>
          </w:p>
        </w:tc>
        <w:tc>
          <w:tcPr>
            <w:tcW w:type="dxa" w:w="1440"/>
          </w:tcPr>
          <w:p>
            <w:r>
              <w:t>3.9</w:t>
            </w:r>
          </w:p>
        </w:tc>
        <w:tc>
          <w:tcPr>
            <w:tcW w:type="dxa" w:w="1440"/>
          </w:tcPr>
          <w:p>
            <w:r>
              <w:t>3.5-4.5</w:t>
            </w:r>
          </w:p>
        </w:tc>
        <w:tc>
          <w:tcPr>
            <w:tcW w:type="dxa" w:w="1440"/>
          </w:tcPr>
          <w:p>
            <w:r>
              <w:t>ratio</w:t>
            </w:r>
          </w:p>
        </w:tc>
      </w:tr>
      <w:tr>
        <w:tc>
          <w:tcPr>
            <w:tcW w:type="dxa" w:w="1440"/>
          </w:tcPr>
          <w:p>
            <w:r>
              <w:t>Free Drug</w:t>
            </w:r>
          </w:p>
        </w:tc>
        <w:tc>
          <w:tcPr>
            <w:tcW w:type="dxa" w:w="1440"/>
          </w:tcPr>
          <w:p>
            <w:r>
              <w:t>Purity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&lt;=3.0</w:t>
            </w:r>
          </w:p>
        </w:tc>
        <w:tc>
          <w:tcPr>
            <w:tcW w:type="dxa" w:w="1440"/>
          </w:tcPr>
          <w:p>
            <w:r>
              <w:t>%</w:t>
            </w:r>
          </w:p>
        </w:tc>
      </w:tr>
      <w:tr>
        <w:tc>
          <w:tcPr>
            <w:tcW w:type="dxa" w:w="1440"/>
          </w:tcPr>
          <w:p>
            <w:r>
              <w:t>SEC Monomer</w:t>
            </w:r>
          </w:p>
        </w:tc>
        <w:tc>
          <w:tcPr>
            <w:tcW w:type="dxa" w:w="1440"/>
          </w:tcPr>
          <w:p>
            <w:r>
              <w:t>Purity</w:t>
            </w:r>
          </w:p>
        </w:tc>
        <w:tc>
          <w:tcPr>
            <w:tcW w:type="dxa" w:w="1440"/>
          </w:tcPr>
          <w:p>
            <w:r>
              <w:t>97.8</w:t>
            </w:r>
          </w:p>
        </w:tc>
        <w:tc>
          <w:tcPr>
            <w:tcW w:type="dxa" w:w="1440"/>
          </w:tcPr>
          <w:p>
            <w:r>
              <w:t>97.1</w:t>
            </w:r>
          </w:p>
        </w:tc>
        <w:tc>
          <w:tcPr>
            <w:tcW w:type="dxa" w:w="1440"/>
          </w:tcPr>
          <w:p>
            <w:r>
              <w:t>&gt;=95.0</w:t>
            </w:r>
          </w:p>
        </w:tc>
        <w:tc>
          <w:tcPr>
            <w:tcW w:type="dxa" w:w="1440"/>
          </w:tcPr>
          <w:p>
            <w:r>
              <w:t>%</w:t>
            </w:r>
          </w:p>
        </w:tc>
      </w:tr>
      <w:tr>
        <w:tc>
          <w:tcPr>
            <w:tcW w:type="dxa" w:w="1440"/>
          </w:tcPr>
          <w:p>
            <w:r>
              <w:t>CE-SDS (NR) Main Band</w:t>
            </w:r>
          </w:p>
        </w:tc>
        <w:tc>
          <w:tcPr>
            <w:tcW w:type="dxa" w:w="1440"/>
          </w:tcPr>
          <w:p>
            <w:r>
              <w:t>Purity</w:t>
            </w:r>
          </w:p>
        </w:tc>
        <w:tc>
          <w:tcPr>
            <w:tcW w:type="dxa" w:w="1440"/>
          </w:tcPr>
          <w:p>
            <w:r>
              <w:t>92.5</w:t>
            </w:r>
          </w:p>
        </w:tc>
        <w:tc>
          <w:tcPr>
            <w:tcW w:type="dxa" w:w="1440"/>
          </w:tcPr>
          <w:p>
            <w:r>
              <w:t>91.8</w:t>
            </w:r>
          </w:p>
        </w:tc>
        <w:tc>
          <w:tcPr>
            <w:tcW w:type="dxa" w:w="1440"/>
          </w:tcPr>
          <w:p>
            <w:r>
              <w:t>&gt;=85.0</w:t>
            </w:r>
          </w:p>
        </w:tc>
        <w:tc>
          <w:tcPr>
            <w:tcW w:type="dxa" w:w="1440"/>
          </w:tcPr>
          <w:p>
            <w:r>
              <w:t>%</w:t>
            </w:r>
          </w:p>
        </w:tc>
      </w:tr>
      <w:tr>
        <w:tc>
          <w:tcPr>
            <w:tcW w:type="dxa" w:w="1440"/>
          </w:tcPr>
          <w:p>
            <w:r>
              <w:t>Potency (Cell-based)</w:t>
            </w:r>
          </w:p>
        </w:tc>
        <w:tc>
          <w:tcPr>
            <w:tcW w:type="dxa" w:w="1440"/>
          </w:tcPr>
          <w:p>
            <w:r>
              <w:t>Potency</w:t>
            </w:r>
          </w:p>
        </w:tc>
        <w:tc>
          <w:tcPr>
            <w:tcW w:type="dxa" w:w="1440"/>
          </w:tcPr>
          <w:p>
            <w:r>
              <w:t>105.0</w:t>
            </w:r>
          </w:p>
        </w:tc>
        <w:tc>
          <w:tcPr>
            <w:tcW w:type="dxa" w:w="1440"/>
          </w:tcPr>
          <w:p>
            <w:r>
              <w:t>98.0</w:t>
            </w:r>
          </w:p>
        </w:tc>
        <w:tc>
          <w:tcPr>
            <w:tcW w:type="dxa" w:w="1440"/>
          </w:tcPr>
          <w:p>
            <w:r>
              <w:t>80.0-120.0</w:t>
            </w:r>
          </w:p>
        </w:tc>
        <w:tc>
          <w:tcPr>
            <w:tcW w:type="dxa" w:w="1440"/>
          </w:tcPr>
          <w:p>
            <w:r>
              <w:t>%RP</w:t>
            </w:r>
          </w:p>
        </w:tc>
      </w:tr>
      <w:tr>
        <w:tc>
          <w:tcPr>
            <w:tcW w:type="dxa" w:w="1440"/>
          </w:tcPr>
          <w:p>
            <w:r>
              <w:t>pH</w:t>
            </w:r>
          </w:p>
        </w:tc>
        <w:tc>
          <w:tcPr>
            <w:tcW w:type="dxa" w:w="1440"/>
          </w:tcPr>
          <w:p>
            <w:r>
              <w:t>Physicochemical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5.8-6.5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Particulate (&gt;=10um)</w:t>
            </w:r>
          </w:p>
        </w:tc>
        <w:tc>
          <w:tcPr>
            <w:tcW w:type="dxa" w:w="1440"/>
          </w:tcPr>
          <w:p>
            <w:r>
              <w:t>Physicochemical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180.0</w:t>
            </w:r>
          </w:p>
        </w:tc>
        <w:tc>
          <w:tcPr>
            <w:tcW w:type="dxa" w:w="1440"/>
          </w:tcPr>
          <w:p>
            <w:r>
              <w:t>&lt;=600</w:t>
            </w:r>
          </w:p>
        </w:tc>
        <w:tc>
          <w:tcPr>
            <w:tcW w:type="dxa" w:w="1440"/>
          </w:tcPr>
          <w:p>
            <w:r>
              <w:t>per container</w:t>
            </w:r>
          </w:p>
        </w:tc>
      </w:tr>
    </w:tbl>
    <w:p>
      <w:pPr>
        <w:pStyle w:val="Heading1"/>
      </w:pPr>
      <w:r>
        <w:t>Conclusion</w:t>
      </w:r>
    </w:p>
    <w:p>
      <w:r>
        <w:t>BioFusion-ADC-07 manufactured at Facility B demonstrates comparability to Facility A material. All critical quality attributes meet acceptance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