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3hqeac8emea" w:id="0"/>
      <w:bookmarkEnd w:id="0"/>
      <w:r w:rsidDel="00000000" w:rsidR="00000000" w:rsidRPr="00000000">
        <w:rPr>
          <w:rtl w:val="0"/>
        </w:rPr>
        <w:t xml:space="preserve">APT122 · Fase 2 · Evidencias de Proyecto</w:t>
      </w:r>
    </w:p>
    <w:p w:rsidR="00000000" w:rsidDel="00000000" w:rsidP="00000000" w:rsidRDefault="00000000" w:rsidRPr="00000000" w14:paraId="00000002">
      <w:pPr>
        <w:rPr/>
      </w:pPr>
      <w:r w:rsidDel="00000000" w:rsidR="00000000" w:rsidRPr="00000000">
        <w:rPr>
          <w:b w:val="1"/>
          <w:bCs w:val="1"/>
          <w:rtl w:val="0"/>
        </w:rPr>
        <w:t xml:space="preserve">Proyecto:</w:t>
      </w:r>
      <w:r w:rsidDel="00000000" w:rsidR="00000000" w:rsidRPr="00000000">
        <w:rPr>
          <w:rtl w:val="0"/>
        </w:rPr>
        <w:t xml:space="preserve"> ACREDITTIA | </w:t>
      </w:r>
      <w:r w:rsidDel="00000000" w:rsidR="00000000" w:rsidRPr="00000000">
        <w:rPr>
          <w:b w:val="1"/>
          <w:bCs w:val="1"/>
          <w:rtl w:val="0"/>
        </w:rPr>
        <w:t xml:space="preserve">Sección:</w:t>
      </w:r>
      <w:r w:rsidDel="00000000" w:rsidR="00000000" w:rsidRPr="00000000">
        <w:rPr>
          <w:rtl w:val="0"/>
        </w:rPr>
        <w:t xml:space="preserve"> Evidencias de Documentación | </w:t>
      </w:r>
      <w:r w:rsidDel="00000000" w:rsidR="00000000" w:rsidRPr="00000000">
        <w:rPr>
          <w:b w:val="1"/>
          <w:bCs w:val="1"/>
          <w:rtl w:val="0"/>
        </w:rPr>
        <w:t xml:space="preserve">Fecha:</w:t>
      </w:r>
      <w:r w:rsidDel="00000000" w:rsidR="00000000" w:rsidRPr="00000000">
        <w:rPr>
          <w:rtl w:val="0"/>
        </w:rPr>
        <w:t xml:space="preserve"> 14 de octubre d</w:t>
      </w:r>
    </w:p>
    <w:tbl>
      <w:tblPr>
        <w:tblStyle w:val="Table1"/>
        <w:tblW w:w="100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e 2026</w:t>
            </w:r>
          </w:p>
        </w:tc>
      </w:tr>
    </w:tbl>
    <w:p w:rsidR="00000000" w:rsidDel="00000000" w:rsidP="00000000" w:rsidRDefault="00000000" w:rsidRPr="00000000" w14:paraId="00000004">
      <w:pPr>
        <w:pStyle w:val="Heading1"/>
        <w:rPr/>
      </w:pPr>
      <w:bookmarkStart w:colFirst="0" w:colLast="0" w:name="_ltdctlxyky1m" w:id="1"/>
      <w:bookmarkEnd w:id="1"/>
      <w:r w:rsidDel="00000000" w:rsidR="00000000" w:rsidRPr="00000000">
        <w:rPr>
          <w:rtl w:val="0"/>
        </w:rPr>
        <w:t xml:space="preserve">1. Evidencias de documentación</w:t>
      </w:r>
    </w:p>
    <w:p w:rsidR="00000000" w:rsidDel="00000000" w:rsidP="00000000" w:rsidRDefault="00000000" w:rsidRPr="00000000" w14:paraId="00000005">
      <w:pPr>
        <w:rPr/>
      </w:pPr>
      <w:r w:rsidDel="00000000" w:rsidR="00000000" w:rsidRPr="00000000">
        <w:rPr>
          <w:rtl w:val="0"/>
        </w:rPr>
        <w:t xml:space="preserve">La documentación no está en un solo PDF suelto. Vive en el repositorio, al lado del código, y se puede abrir sin instalar nada más que un editor de texto. La API, además, publica su propio contrato en Swagger.</w:t>
      </w:r>
    </w:p>
    <w:p w:rsidR="00000000" w:rsidDel="00000000" w:rsidP="00000000" w:rsidRDefault="00000000" w:rsidRPr="00000000" w14:paraId="00000006">
      <w:pPr>
        <w:pStyle w:val="Heading2"/>
        <w:rPr/>
      </w:pPr>
      <w:bookmarkStart w:colFirst="0" w:colLast="0" w:name="_mmoy9m84h511" w:id="2"/>
      <w:bookmarkEnd w:id="2"/>
      <w:r w:rsidDel="00000000" w:rsidR="00000000" w:rsidRPr="00000000">
        <w:rPr>
          <w:rtl w:val="0"/>
        </w:rPr>
        <w:t xml:space="preserve">1.1 Qué queda acreditado</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Qué es el producto y cómo está armado el repositorio.</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Cómo se levanta la aplicación en local (web, API y base de datos).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El modelo de datos completo: tablas, índices, triggers, seguridad por empresa y la migración a la versión 1.1.</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El contrato de la API (OpenAPI 3.1), generado desde el backend que está corriendo.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Cómo se despliega el backend y qué diferencias de la API absorbe el frontend.</w:t>
      </w:r>
    </w:p>
    <w:p w:rsidR="00000000" w:rsidDel="00000000" w:rsidP="00000000" w:rsidRDefault="00000000" w:rsidRPr="00000000" w14:paraId="0000000C">
      <w:pPr>
        <w:pStyle w:val="Heading2"/>
        <w:rPr/>
      </w:pPr>
      <w:bookmarkStart w:colFirst="0" w:colLast="0" w:name="_nl7waj7uav2q" w:id="3"/>
      <w:bookmarkEnd w:id="3"/>
      <w:r w:rsidDel="00000000" w:rsidR="00000000" w:rsidRPr="00000000">
        <w:rPr>
          <w:rtl w:val="0"/>
        </w:rPr>
        <w:t xml:space="preserve">1.2 Inventario de Documentación Técnica</w:t>
      </w:r>
    </w:p>
    <w:tbl>
      <w:tblPr>
        <w:tblStyle w:val="Table2"/>
        <w:tblW w:w="105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D">
            <w:pPr>
              <w:rPr/>
            </w:pPr>
            <w:r w:rsidDel="00000000" w:rsidR="00000000" w:rsidRPr="00000000">
              <w:rPr>
                <w:rtl w:val="0"/>
              </w:rPr>
              <w:t xml:space="preserve">Documento</w:t>
            </w:r>
          </w:p>
        </w:tc>
        <w:tc>
          <w:tcPr/>
          <w:p w:rsidR="00000000" w:rsidDel="00000000" w:rsidP="00000000" w:rsidRDefault="00000000" w:rsidRPr="00000000" w14:paraId="0000000E">
            <w:pPr>
              <w:rPr/>
            </w:pPr>
            <w:r w:rsidDel="00000000" w:rsidR="00000000" w:rsidRPr="00000000">
              <w:rPr>
                <w:rtl w:val="0"/>
              </w:rPr>
              <w:t xml:space="preserve">Dónde está</w:t>
            </w:r>
          </w:p>
        </w:tc>
        <w:tc>
          <w:tcPr/>
          <w:p w:rsidR="00000000" w:rsidDel="00000000" w:rsidP="00000000" w:rsidRDefault="00000000" w:rsidRPr="00000000" w14:paraId="0000000F">
            <w:pPr>
              <w:rPr/>
            </w:pPr>
            <w:r w:rsidDel="00000000" w:rsidR="00000000" w:rsidRPr="00000000">
              <w:rPr>
                <w:rtl w:val="0"/>
              </w:rPr>
              <w:t xml:space="preserve">Para qué sirve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README del monorepo</w:t>
            </w:r>
          </w:p>
        </w:tc>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Mapa del repositorio y arranque rápido.</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README de la aplicación</w:t>
            </w:r>
          </w:p>
        </w:tc>
        <w:tc>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app/README.md</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Alcance, cuentas semilla, variables y prueba de humo.</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Esquema SQL v1.0</w:t>
            </w:r>
          </w:p>
        </w:tc>
        <w:tc>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modelo_datos/01_esquema.sql</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Tipos, dominio de RUT y las 30 tablas base.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Índices</w:t>
            </w:r>
          </w:p>
        </w:tc>
        <w:tc>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modelo_datos/02_indices.sql</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Búsqueda por nombre, RUT y patente.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Triggers</w:t>
            </w:r>
          </w:p>
        </w:tc>
        <w:tc>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modelo_datos/03_triggers.sql</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y bitácora de cambios.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Row Level Security</w:t>
            </w:r>
          </w:p>
        </w:tc>
        <w:tc>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modelo_datos/04_rls.sql</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Una empresa no lee los datos de otra.</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Verificación</w:t>
            </w:r>
          </w:p>
        </w:tc>
        <w:tc>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modelo_datos/05_verificacion.sql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Chequeos del modelo después de crearlo.</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Migración v1.1</w:t>
            </w:r>
          </w:p>
        </w:tc>
        <w:tc>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modelo_datos/06_migracion_v11.sql</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Cargos, plataformas del contrato, requisitos y snapshots.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Despliegue</w:t>
            </w:r>
          </w:p>
        </w:tc>
        <w:tc>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app/backend/DESPLIEGUE_AZURE.md</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Llevar el backend a Azure.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Rupturas de API</w:t>
            </w:r>
          </w:p>
        </w:tc>
        <w:tc>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app/backend/RUPTURAS.md</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Errores y paginación que el cliente unifica.</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Endpoints pendientes</w:t>
            </w:r>
          </w:p>
        </w:tc>
        <w:tc>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docs/specs/ANALISIS_ENDPOINTS_FALTANTES.md</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Brecha contra la especificación.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OpenAPI en vivo</w:t>
            </w:r>
          </w:p>
        </w:tc>
        <w:tc>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http://localhost:8000/docs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Contrato actual de la API, versión 1.1.0.</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Wireframe admin</w:t>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docs/admin/Acredittia_Wireframe_Panel_Admin.html</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Diseño de la consola interna.</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Landing</w:t>
            </w:r>
          </w:p>
        </w:tc>
        <w:tc>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landing/README.md</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Sitio de presentación del producto.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Consola interna</w:t>
            </w:r>
          </w:p>
        </w:tc>
        <w:tc>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admin/README.md</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Panel de administración aparte del producto.</w:t>
            </w:r>
          </w:p>
        </w:tc>
      </w:tr>
    </w:tbl>
    <w:p w:rsidR="00000000" w:rsidDel="00000000" w:rsidP="00000000" w:rsidRDefault="00000000" w:rsidRPr="00000000" w14:paraId="0000003D">
      <w:pPr>
        <w:pStyle w:val="Heading2"/>
        <w:rPr/>
      </w:pPr>
      <w:bookmarkStart w:colFirst="0" w:colLast="0" w:name="_tv0lgyadlbe7" w:id="4"/>
      <w:bookmarkEnd w:id="4"/>
      <w:r w:rsidDel="00000000" w:rsidR="00000000" w:rsidRPr="00000000">
        <w:rPr>
          <w:rtl w:val="0"/>
        </w:rPr>
        <w:t xml:space="preserve">1.3 Orden de lectura recomendado</w:t>
      </w:r>
    </w:p>
    <w:p w:rsidR="00000000" w:rsidDel="00000000" w:rsidP="00000000" w:rsidRDefault="00000000" w:rsidRPr="00000000" w14:paraId="0000003E">
      <w:pPr>
        <w:numPr>
          <w:ilvl w:val="0"/>
          <w:numId w:val="2"/>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app/README.md</w:t>
      </w:r>
      <w:r w:rsidDel="00000000" w:rsidR="00000000" w:rsidRPr="00000000">
        <w:rPr>
          <w:rtl w:val="0"/>
        </w:rPr>
        <w:t xml:space="preserve">, para saber qué es y cómo partir.</w:t>
      </w:r>
    </w:p>
    <w:p w:rsidR="00000000" w:rsidDel="00000000" w:rsidP="00000000" w:rsidRDefault="00000000" w:rsidRPr="00000000" w14:paraId="0000003F">
      <w:pPr>
        <w:numPr>
          <w:ilvl w:val="0"/>
          <w:numId w:val="2"/>
        </w:numPr>
        <w:ind w:left="720" w:hanging="360"/>
      </w:pPr>
      <w:r w:rsidDel="00000000" w:rsidR="00000000" w:rsidRPr="00000000">
        <w:rPr>
          <w:rFonts w:ascii="Roboto Mono" w:cs="Roboto Mono" w:eastAsia="Roboto Mono" w:hAnsi="Roboto Mono"/>
          <w:color w:val="188038"/>
          <w:rtl w:val="0"/>
        </w:rPr>
        <w:t xml:space="preserve">modelo_datos/01_esquema.sql</w:t>
      </w:r>
      <w:r w:rsidDel="00000000" w:rsidR="00000000" w:rsidRPr="00000000">
        <w:rPr>
          <w:rtl w:val="0"/>
        </w:rPr>
        <w:t xml:space="preserve"> y luego </w:t>
      </w:r>
      <w:r w:rsidDel="00000000" w:rsidR="00000000" w:rsidRPr="00000000">
        <w:rPr>
          <w:rFonts w:ascii="Roboto Mono" w:cs="Roboto Mono" w:eastAsia="Roboto Mono" w:hAnsi="Roboto Mono"/>
          <w:color w:val="188038"/>
          <w:rtl w:val="0"/>
        </w:rPr>
        <w:t xml:space="preserve">06_migracion_v11.sql</w:t>
      </w:r>
      <w:r w:rsidDel="00000000" w:rsidR="00000000" w:rsidRPr="00000000">
        <w:rPr>
          <w:rtl w:val="0"/>
        </w:rPr>
        <w:t xml:space="preserve">, para entender el modelo.</w:t>
      </w:r>
    </w:p>
    <w:p w:rsidR="00000000" w:rsidDel="00000000" w:rsidP="00000000" w:rsidRDefault="00000000" w:rsidRPr="00000000" w14:paraId="00000040">
      <w:pPr>
        <w:numPr>
          <w:ilvl w:val="0"/>
          <w:numId w:val="2"/>
        </w:numPr>
        <w:ind w:left="720" w:hanging="360"/>
      </w:pPr>
      <w:r w:rsidDel="00000000" w:rsidR="00000000" w:rsidRPr="00000000">
        <w:rPr>
          <w:rFonts w:ascii="Roboto Mono" w:cs="Roboto Mono" w:eastAsia="Roboto Mono" w:hAnsi="Roboto Mono"/>
          <w:color w:val="188038"/>
          <w:rtl w:val="0"/>
        </w:rPr>
        <w:t xml:space="preserve">04_rls.sql</w:t>
      </w:r>
      <w:r w:rsidDel="00000000" w:rsidR="00000000" w:rsidRPr="00000000">
        <w:rPr>
          <w:rtl w:val="0"/>
        </w:rPr>
        <w:t xml:space="preserve">, para comprender el aislamiento de seguridad entre empresas.</w:t>
      </w:r>
    </w:p>
    <w:p w:rsidR="00000000" w:rsidDel="00000000" w:rsidP="00000000" w:rsidRDefault="00000000" w:rsidRPr="00000000" w14:paraId="00000041">
      <w:pPr>
        <w:numPr>
          <w:ilvl w:val="0"/>
          <w:numId w:val="2"/>
        </w:numPr>
        <w:ind w:left="720" w:hanging="360"/>
      </w:pPr>
      <w:r w:rsidDel="00000000" w:rsidR="00000000" w:rsidRPr="00000000">
        <w:rPr>
          <w:rFonts w:ascii="Roboto Mono" w:cs="Roboto Mono" w:eastAsia="Roboto Mono" w:hAnsi="Roboto Mono"/>
          <w:color w:val="188038"/>
          <w:rtl w:val="0"/>
        </w:rPr>
        <w:t xml:space="preserve">http://localhost:8000/docs</w:t>
      </w:r>
      <w:r w:rsidDel="00000000" w:rsidR="00000000" w:rsidRPr="00000000">
        <w:rPr>
          <w:rtl w:val="0"/>
        </w:rPr>
        <w:t xml:space="preserve">, con el sistema levantado, para revisar cada endpoint operativo.</w:t>
      </w:r>
    </w:p>
    <w:p w:rsidR="00000000" w:rsidDel="00000000" w:rsidP="00000000" w:rsidRDefault="00000000" w:rsidRPr="00000000" w14:paraId="00000042">
      <w:pPr>
        <w:pStyle w:val="Heading2"/>
        <w:rPr/>
      </w:pPr>
      <w:bookmarkStart w:colFirst="0" w:colLast="0" w:name="_crgy4pgcue0i" w:id="5"/>
      <w:bookmarkEnd w:id="5"/>
      <w:r w:rsidDel="00000000" w:rsidR="00000000" w:rsidRPr="00000000">
        <w:rPr>
          <w:rtl w:val="0"/>
        </w:rPr>
        <w:t xml:space="preserve">1.4 Documentación viva de la API</w:t>
      </w:r>
    </w:p>
    <w:p w:rsidR="00000000" w:rsidDel="00000000" w:rsidP="00000000" w:rsidRDefault="00000000" w:rsidRPr="00000000" w14:paraId="00000043">
      <w:pPr>
        <w:rPr/>
      </w:pPr>
      <w:r w:rsidDel="00000000" w:rsidR="00000000" w:rsidRPr="00000000">
        <w:rPr>
          <w:rtl w:val="0"/>
        </w:rPr>
        <w:t xml:space="preserve">Con Docker arriba, la API publica Swagger en el puerto 8000. El título es Acredittia API 1.1.0, OpenAPI 3.1. Desde ahí se ve el login, los contratos, el personal, los documentos y el resto de módulos, sin necesidad de leer directamente el código fuente.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1"/>
        <w:szCs w:val="21"/>
        <w:lang w:val="es_419"/>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