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00" w:lineRule="auto"/>
      </w:pPr>
      <w:r>
        <w:rPr>
          <w:rFonts w:ascii="Calibri" w:hAnsi="Calibri"/>
          <w:b/>
          <w:i w:val="0"/>
          <w:color w:val="2E74B5"/>
          <w:sz w:val="26"/>
        </w:rPr>
        <w:t>MEMBER DNA</w:t>
      </w:r>
    </w:p>
    <w:p>
      <w:pPr>
        <w:spacing w:before="0" w:after="100" w:line="300" w:lineRule="auto"/>
      </w:pPr>
      <w:r>
        <w:rPr>
          <w:rFonts w:ascii="Calibri" w:hAnsi="Calibri"/>
          <w:b/>
          <w:i w:val="0"/>
          <w:color w:val="1F4D78"/>
          <w:sz w:val="52"/>
        </w:rPr>
        <w:t>Bronze-to-Silver Data Dictionary</w:t>
      </w:r>
    </w:p>
    <w:p>
      <w:pPr>
        <w:spacing w:before="0" w:after="520" w:line="300" w:lineRule="auto"/>
      </w:pPr>
      <w:r>
        <w:rPr>
          <w:rFonts w:ascii="Calibri" w:hAnsi="Calibri"/>
          <w:b w:val="0"/>
          <w:i w:val="0"/>
          <w:color w:val="5B6573"/>
          <w:sz w:val="28"/>
        </w:rPr>
        <w:t>Raw Landing, Standardization, and Source-to-Target Prompt Guide</w:t>
      </w:r>
    </w:p>
    <w:p>
      <w:pPr>
        <w:spacing w:before="0" w:after="480" w:line="300" w:lineRule="auto"/>
      </w:pPr>
      <w:r>
        <w:rPr>
          <w:rFonts w:ascii="Calibri" w:hAnsi="Calibri"/>
          <w:b w:val="0"/>
          <w:i/>
          <w:color w:val="5B6573"/>
          <w:sz w:val="22"/>
        </w:rPr>
        <w:t>Unified Member-Level Analytics Model</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8"/>
              </w:rPr>
              <w:t>Document control</w:t>
            </w:r>
          </w:p>
        </w:tc>
        <w:tc>
          <w:tcPr>
            <w:tcW w:type="dxa" w:w="66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8"/>
              </w:rPr>
              <w:t>Value</w:t>
            </w:r>
          </w:p>
        </w:tc>
      </w:tr>
      <w:tr>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Document type</w:t>
            </w:r>
          </w:p>
        </w:tc>
        <w:tc>
          <w:tcPr>
            <w:tcW w:type="dxa" w:w="666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Technical data dictionary and AI engineering prompt guide</w:t>
            </w:r>
          </w:p>
        </w:tc>
      </w:tr>
      <w:tr>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Architecture pattern</w:t>
            </w:r>
          </w:p>
        </w:tc>
        <w:tc>
          <w:tcPr>
            <w:tcW w:type="dxa" w:w="666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Bronze -&gt; Silver -&gt; Gold medallion architecture</w:t>
            </w:r>
          </w:p>
        </w:tc>
      </w:tr>
      <w:tr>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Scope</w:t>
            </w:r>
          </w:p>
        </w:tc>
        <w:tc>
          <w:tcPr>
            <w:tcW w:type="dxa" w:w="666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14 proposed Bronze landing tables -&gt; 14 documented Silver tables -&gt; 5 Gold analytics views</w:t>
            </w:r>
          </w:p>
        </w:tc>
      </w:tr>
      <w:tr>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Primary downstream join key</w:t>
            </w:r>
          </w:p>
        </w:tc>
        <w:tc>
          <w:tcPr>
            <w:tcW w:type="dxa" w:w="666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MEMBER_ID (subject to source/crosswalk validation)</w:t>
            </w:r>
          </w:p>
        </w:tc>
      </w:tr>
      <w:tr>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Prepared</w:t>
            </w:r>
          </w:p>
        </w:tc>
        <w:tc>
          <w:tcPr>
            <w:tcW w:type="dxa" w:w="6660"/>
            <w:tcMar>
              <w:top w:w="80" w:type="dxa"/>
              <w:start w:w="120" w:type="dxa"/>
              <w:bottom w:w="80" w:type="dxa"/>
              <w:end w:w="120" w:type="dxa"/>
            </w:tcMar>
            <w:vAlign w:val="top"/>
          </w:tcPr>
          <w:p>
            <w:pPr>
              <w:spacing w:before="0" w:after="0" w:line="252" w:lineRule="auto"/>
            </w:pPr>
            <w:r/>
            <w:r>
              <w:rPr>
                <w:rFonts w:ascii="Calibri" w:hAnsi="Calibri"/>
                <w:b w:val="0"/>
                <w:i w:val="0"/>
                <w:color w:val="000000"/>
                <w:sz w:val="18"/>
              </w:rPr>
              <w:t>25 August 2026</w:t>
            </w:r>
          </w:p>
        </w:tc>
      </w:tr>
    </w:tbl>
    <w:p>
      <w:pPr>
        <w:spacing w:after="60"/>
      </w:pPr>
    </w:p>
    <w:p>
      <w:pPr>
        <w:spacing w:before="80" w:after="0"/>
        <w:ind w:left="115" w:right="115"/>
        <w:shd w:fill="FFF6DF"/>
        <w:pBdr>
          <w:top w:val="single" w:sz="6" w:space="4" w:color="D7A600"/>
        </w:pBdr>
      </w:pPr>
      <w:r>
        <w:rPr>
          <w:rFonts w:ascii="Calibri" w:hAnsi="Calibri"/>
          <w:b/>
          <w:i w:val="0"/>
          <w:color w:val="1F4D78"/>
          <w:sz w:val="19"/>
        </w:rPr>
        <w:t>Source-of-truth boundary</w:t>
      </w:r>
    </w:p>
    <w:p>
      <w:pPr>
        <w:spacing w:before="0" w:after="80" w:line="288" w:lineRule="auto"/>
        <w:ind w:left="115" w:right="115"/>
        <w:shd w:fill="FFF6DF"/>
        <w:pBdr>
          <w:bottom w:val="single" w:sz="6" w:space="4" w:color="D7A600"/>
        </w:pBdr>
      </w:pPr>
      <w:r>
        <w:rPr>
          <w:rFonts w:ascii="Calibri" w:hAnsi="Calibri"/>
          <w:b w:val="0"/>
          <w:i w:val="0"/>
          <w:color w:val="000000"/>
          <w:sz w:val="19"/>
        </w:rPr>
        <w:t>This document was derived from the supplied Silver-to-Gold data dictionary and Gold-layer prompt guide. Neither source supplies raw upstream DDL, sample records, field aliases, extraction cadence, or CDC rules. Therefore, source-native field names and source business keys are intentionally marked for confirmation rather than invented.</w:t>
      </w:r>
    </w:p>
    <w:p>
      <w:pPr>
        <w:spacing w:after="60"/>
      </w:pPr>
    </w:p>
    <w:p>
      <w:pPr>
        <w:pStyle w:val="Heading1"/>
        <w:keepNext/>
      </w:pPr>
      <w:r>
        <w:rPr>
          <w:rFonts w:ascii="Calibri" w:hAnsi="Calibri"/>
          <w:b/>
          <w:i w:val="0"/>
          <w:color w:val="2E74B5"/>
          <w:sz w:val="32"/>
        </w:rPr>
        <w:t>How to Use This Document</w:t>
      </w:r>
    </w:p>
    <w:p>
      <w:pPr>
        <w:spacing w:before="0" w:after="120" w:line="300" w:lineRule="auto"/>
      </w:pPr>
      <w:r>
        <w:rPr>
          <w:rFonts w:ascii="Calibri" w:hAnsi="Calibri"/>
          <w:b w:val="0"/>
          <w:i w:val="0"/>
          <w:color w:val="000000"/>
          <w:sz w:val="21"/>
        </w:rPr>
        <w:t>Use Part I to design and govern raw Bronze ingestion. Use the field coverage tables to build the Bronze-to-Silver STTM only after the source schema/DDL is available. Use Part II as the business prompt package for an AI data-engineering application or implementation team. Part III records validation results and unresolved data-contract items that must be approved before production build.</w:t>
      </w:r>
    </w:p>
    <w:p>
      <w:r>
        <w:br w:type="page"/>
      </w:r>
    </w:p>
    <w:p>
      <w:pPr>
        <w:pStyle w:val="Heading1"/>
        <w:keepNext/>
      </w:pPr>
      <w:r>
        <w:rPr>
          <w:rFonts w:ascii="Calibri" w:hAnsi="Calibri"/>
          <w:b/>
          <w:i w:val="0"/>
          <w:color w:val="2E74B5"/>
          <w:sz w:val="32"/>
        </w:rPr>
        <w:t>Part I. Bronze-to-Silver Architecture and Data Dictionary</w:t>
      </w:r>
    </w:p>
    <w:p>
      <w:pPr>
        <w:spacing w:before="0" w:after="120" w:line="300" w:lineRule="auto"/>
      </w:pPr>
      <w:r>
        <w:rPr>
          <w:rFonts w:ascii="Calibri" w:hAnsi="Calibri"/>
          <w:b w:val="0"/>
          <w:i w:val="0"/>
          <w:color w:val="000000"/>
          <w:sz w:val="21"/>
        </w:rPr>
        <w:t>Bronze is an immutable, source-aligned landing layer. It retains the complete native payload and ingestion lineage. Silver is the governed, typed, deduplicated, and standardized layer defined in the supplied reference. A Bronze table must never be treated as a substitute for a Silver business contract.</w:t>
      </w:r>
    </w:p>
    <w:p>
      <w:pPr>
        <w:pStyle w:val="Heading2"/>
        <w:keepNext/>
      </w:pPr>
      <w:r>
        <w:rPr>
          <w:rFonts w:ascii="Calibri" w:hAnsi="Calibri"/>
          <w:b/>
          <w:i w:val="0"/>
          <w:color w:val="2E74B5"/>
          <w:sz w:val="26"/>
        </w:rPr>
        <w:t>Architecture at a Glance</w:t>
      </w:r>
    </w:p>
    <w:tbl>
      <w:tblPr>
        <w:tblStyle w:val="TableGrid"/>
        <w:tblW w:type="dxa" w:w="9360"/>
        <w:jc w:val="left"/>
        <w:tblLayout w:type="fixed"/>
        <w:tblLook w:firstColumn="1" w:firstRow="1" w:lastColumn="0" w:lastRow="0" w:noHBand="0" w:noVBand="1" w:val="04A0"/>
        <w:tblInd w:w="120" w:type="dxa"/>
      </w:tblPr>
      <w:tblGrid>
        <w:gridCol w:w="1900"/>
        <w:gridCol w:w="2700"/>
        <w:gridCol w:w="2700"/>
        <w:gridCol w:w="2060"/>
      </w:tblGrid>
      <w:tr>
        <w:trPr>
          <w:tblHeader w:val="true"/>
        </w:trPr>
        <w:tc>
          <w:tcPr>
            <w:tcW w:type="dxa" w:w="19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5"/>
              </w:rPr>
              <w:t>Domain</w:t>
            </w:r>
          </w:p>
        </w:tc>
        <w:tc>
          <w:tcPr>
            <w:tcW w:type="dxa" w:w="27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5"/>
              </w:rPr>
              <w:t>Bronze landing table</w:t>
            </w:r>
          </w:p>
        </w:tc>
        <w:tc>
          <w:tcPr>
            <w:tcW w:type="dxa" w:w="27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5"/>
              </w:rPr>
              <w:t>Silver target</w:t>
            </w:r>
          </w:p>
        </w:tc>
        <w:tc>
          <w:tcPr>
            <w:tcW w:type="dxa" w:w="20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5"/>
              </w:rPr>
              <w:t>Gold consumer</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Member Scaffold</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brz_member_bis_scaffold</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tbl_member_bis_scaffold</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tbl_member_scaffold</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Member Scaffold</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brz_member_ccm_scaffold</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tbl_member_ccm_scaffold</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tbl_member_scaffold</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Member Scaffold</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brz_member_facets_scaffold</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tbl_member_facets_scaffold</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tbl_member_scaffold</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Member Scaffold</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brz_member_reltio_scaffold</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tbl_member_reltio_scaffold</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tbl_member_scaffold</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Member SDOH</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brz_member_dnrmlzd_wide</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tbl_member_dnrmlzd_wide</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tbl_member_sdoh</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Member SDOH</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brz_member_bis_sdoh</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tbl_member_bis_sdoh</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tbl_member_sdoh</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Member Event Cost</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brz_member_bis_ip_events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tbl_member_bis_ip_events</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tbl_member_event_cost</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Member Event Cost</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brz_member_bis_op_events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tbl_member_bis_op_events</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tbl_member_event_cost</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Clinical Conditions &amp; Risk Scores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brz_member_bis_dxcg_v6_clinical_condition</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tbl_member_bis_dxcg_v6_clinical_condition</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tbl_member_clinicalcondition_and_riskscores</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Clinical Conditions &amp; Risk Scores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brz_member_bis_dxcg_v6_risk_scores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tbl_member_bis_dxcg_v6_risk_scores</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tbl_member_clinicalcondition_and_riskscores</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Clinical Conditions &amp; Risk Scores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brz_member_bis_dx_risk_factors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tbl_member_bis_dx_risk_factors</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tbl_member_clinicalcondition_and_riskscores</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Financials &amp; Claims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brz_member_bis_cost</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tbl_member_bis_cost</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tbl_member_bis_financials_and_claims</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Financials &amp; Claims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brz_member_bis_rx_clms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tbl_member_bis_rx_clms</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tbl_member_bis_financials_and_claims</w:t>
            </w:r>
          </w:p>
        </w:tc>
      </w:tr>
      <w:tr>
        <w:tc>
          <w:tcPr>
            <w:tcW w:type="dxa" w:w="19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Financials &amp; Claims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brz_member_bis_rx_pdc_clms</w:t>
            </w:r>
          </w:p>
        </w:tc>
        <w:tc>
          <w:tcPr>
            <w:tcW w:type="dxa" w:w="270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tbl_member_bis_rx_pdc_clms</w:t>
            </w:r>
          </w:p>
        </w:tc>
        <w:tc>
          <w:tcPr>
            <w:tcW w:type="dxa" w:w="2060"/>
            <w:tcMar>
              <w:top w:w="80" w:type="dxa"/>
              <w:start w:w="120" w:type="dxa"/>
              <w:bottom w:w="80" w:type="dxa"/>
              <w:end w:w="120" w:type="dxa"/>
            </w:tcMar>
            <w:vAlign w:val="top"/>
          </w:tcPr>
          <w:p>
            <w:pPr>
              <w:spacing w:before="0" w:after="0" w:line="252" w:lineRule="auto"/>
            </w:pPr>
            <w:r/>
            <w:r>
              <w:rPr>
                <w:rFonts w:ascii="Calibri" w:hAnsi="Calibri"/>
                <w:b w:val="0"/>
                <w:i w:val="0"/>
                <w:color w:val="000000"/>
                <w:sz w:val="15"/>
              </w:rPr>
              <w:t>tbl_member_bis_financials_and_claims</w:t>
            </w:r>
          </w:p>
        </w:tc>
      </w:tr>
    </w:tbl>
    <w:p>
      <w:pPr>
        <w:spacing w:after="60"/>
      </w:pPr>
    </w:p>
    <w:p>
      <w:pPr>
        <w:pStyle w:val="Heading2"/>
        <w:keepNext/>
      </w:pPr>
      <w:r>
        <w:rPr>
          <w:rFonts w:ascii="Calibri" w:hAnsi="Calibri"/>
          <w:b/>
          <w:i w:val="0"/>
          <w:color w:val="2E74B5"/>
          <w:sz w:val="26"/>
        </w:rPr>
        <w:t>Bronze Layer Operating Contract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7"/>
              </w:rPr>
              <w:t>Control</w:t>
            </w:r>
          </w:p>
        </w:tc>
        <w:tc>
          <w:tcPr>
            <w:tcW w:type="dxa" w:w="71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7"/>
              </w:rPr>
              <w:t>Required behavior</w:t>
            </w:r>
          </w:p>
        </w:tc>
      </w:tr>
      <w:tr>
        <w:tc>
          <w:tcPr>
            <w:tcW w:type="dxa" w:w="22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Raw preservation</w:t>
            </w:r>
          </w:p>
        </w:tc>
        <w:tc>
          <w:tcPr>
            <w:tcW w:type="dxa" w:w="71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Store RAW_PAYLOAD exactly as received. Do not apply business transformations, source precedence, deduplication, aggregation, or overwrite logic in Bronze.</w:t>
            </w:r>
          </w:p>
        </w:tc>
      </w:tr>
      <w:tr>
        <w:tc>
          <w:tcPr>
            <w:tcW w:type="dxa" w:w="22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Lineage</w:t>
            </w:r>
          </w:p>
        </w:tc>
        <w:tc>
          <w:tcPr>
            <w:tcW w:type="dxa" w:w="71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Capture source system, source object, source key, file/row identifiers, extract timestamp, ingestion run, and payload hash for every record.</w:t>
            </w:r>
          </w:p>
        </w:tc>
      </w:tr>
      <w:tr>
        <w:tc>
          <w:tcPr>
            <w:tcW w:type="dxa" w:w="22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Type handling</w:t>
            </w:r>
          </w:p>
        </w:tc>
        <w:tc>
          <w:tcPr>
            <w:tcW w:type="dxa" w:w="71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Treat raw payload attributes as source-native. Parse/cast dates, amounts, indicators, and standardized identifiers in Silver; preserve the unmodified original in Bronze.</w:t>
            </w:r>
          </w:p>
        </w:tc>
      </w:tr>
      <w:tr>
        <w:tc>
          <w:tcPr>
            <w:tcW w:type="dxa" w:w="22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Change capture</w:t>
            </w:r>
          </w:p>
        </w:tc>
        <w:tc>
          <w:tcPr>
            <w:tcW w:type="dxa" w:w="71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Retain CDC operation when supplied. If a source is a snapshot, set OPERATION_TYPE to SNAPSHOT; never infer deletes without a documented source rule.</w:t>
            </w:r>
          </w:p>
        </w:tc>
      </w:tr>
      <w:tr>
        <w:tc>
          <w:tcPr>
            <w:tcW w:type="dxa" w:w="22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Quality quarantine</w:t>
            </w:r>
          </w:p>
        </w:tc>
        <w:tc>
          <w:tcPr>
            <w:tcW w:type="dxa" w:w="71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Reject only technically unreadable records. Route parse, key, format, and referential-quality failures to a quarantine/audit result with the raw payload and reason.</w:t>
            </w:r>
          </w:p>
        </w:tc>
      </w:tr>
      <w:tr>
        <w:tc>
          <w:tcPr>
            <w:tcW w:type="dxa" w:w="22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PII and access</w:t>
            </w:r>
          </w:p>
        </w:tc>
        <w:tc>
          <w:tcPr>
            <w:tcW w:type="dxa" w:w="71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Apply the organization’s approved encryption, access-control, retention, and masking policies. This document does not authorize exposure of member PII or PHI.</w:t>
            </w:r>
          </w:p>
        </w:tc>
      </w:tr>
    </w:tbl>
    <w:p>
      <w:pPr>
        <w:spacing w:after="60"/>
      </w:pPr>
    </w:p>
    <w:p>
      <w:pPr>
        <w:pStyle w:val="Heading2"/>
        <w:keepNext/>
      </w:pPr>
      <w:r>
        <w:rPr>
          <w:rFonts w:ascii="Calibri" w:hAnsi="Calibri"/>
          <w:b/>
          <w:i w:val="0"/>
          <w:color w:val="2E74B5"/>
          <w:sz w:val="26"/>
        </w:rPr>
        <w:t>Common Bronze Technical Data Dictionary</w:t>
      </w:r>
    </w:p>
    <w:p>
      <w:pPr>
        <w:spacing w:before="0" w:after="120" w:line="300" w:lineRule="auto"/>
      </w:pPr>
      <w:r>
        <w:rPr>
          <w:rFonts w:ascii="Calibri" w:hAnsi="Calibri"/>
          <w:b w:val="0"/>
          <w:i w:val="0"/>
          <w:color w:val="000000"/>
          <w:sz w:val="21"/>
        </w:rPr>
        <w:t>The following columns are required on every proposed Bronze table. Business attributes remain inside RAW_PAYLOAD until the source schema and STTM are approved.</w:t>
      </w:r>
    </w:p>
    <w:tbl>
      <w:tblPr>
        <w:tblStyle w:val="TableGrid"/>
        <w:tblW w:type="dxa" w:w="9360"/>
        <w:jc w:val="left"/>
        <w:tblLayout w:type="fixed"/>
        <w:tblLook w:firstColumn="1" w:firstRow="1" w:lastColumn="0" w:lastRow="0" w:noHBand="0" w:noVBand="1" w:val="04A0"/>
        <w:tblInd w:w="120" w:type="dxa"/>
      </w:tblPr>
      <w:tblGrid>
        <w:gridCol w:w="2600"/>
        <w:gridCol w:w="1500"/>
        <w:gridCol w:w="5260"/>
      </w:tblGrid>
      <w:tr>
        <w:trPr>
          <w:tblHeader w:val="true"/>
        </w:trPr>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6"/>
              </w:rPr>
              <w:t>Column</w:t>
            </w:r>
          </w:p>
        </w:tc>
        <w:tc>
          <w:tcPr>
            <w:tcW w:type="dxa" w:w="15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6"/>
              </w:rPr>
              <w:t>Type</w:t>
            </w:r>
          </w:p>
        </w:tc>
        <w:tc>
          <w:tcPr>
            <w:tcW w:type="dxa" w:w="52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6"/>
              </w:rPr>
              <w:t>Description</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INGESTION_RUN_ID</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string</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Unique identifier for the ingestion execution.</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SOURCE_SYSTEM</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string</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Authoritative upstream system or vendor name.</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SOURCE_OBJECT</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string</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 file, table, API resource, or extract object name.</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SOURCE_PRIMARY_KEY</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string</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Source-provided record key, when available; do not synthesize as a business key.</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SOURCE_EXTRACT_TS</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timestamp</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Timestamp supplied by the source extract, if available.</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SOURCE_FILE_NAME</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string</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Original file/object identifier for traceability.</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SOURCE_ROW_NUM</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bigint</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 row/record sequence when applicable.</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OPERATION_TYPE</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string</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 CDC operation (I/U/D) or SNAPSHOT when unavailable.</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RAW_PAYLOAD</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string / variant</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Immutable source-native payload; retain complete original content.</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PAYLOAD_HASH</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string</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Hash of the raw payload for duplicate/change detection.</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INGESTED_AT</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timestamp</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UTC timestamp when the record entered Bronze.</w:t>
            </w:r>
          </w:p>
        </w:tc>
      </w:tr>
      <w:tr>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RECORD_LOAD_DATE</w:t>
            </w:r>
          </w:p>
        </w:tc>
        <w:tc>
          <w:tcPr>
            <w:tcW w:type="dxa" w:w="15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date</w:t>
            </w:r>
          </w:p>
        </w:tc>
        <w:tc>
          <w:tcPr>
            <w:tcW w:type="dxa" w:w="526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Partition/load date assigned by the platform.</w:t>
            </w:r>
          </w:p>
        </w:tc>
      </w:tr>
    </w:tbl>
    <w:p>
      <w:pPr>
        <w:spacing w:after="60"/>
      </w:pPr>
    </w:p>
    <w:p>
      <w:r>
        <w:br w:type="page"/>
      </w:r>
    </w:p>
    <w:p>
      <w:pPr>
        <w:pStyle w:val="Heading1"/>
        <w:keepNext/>
      </w:pPr>
      <w:r>
        <w:rPr>
          <w:rFonts w:ascii="Calibri" w:hAnsi="Calibri"/>
          <w:b/>
          <w:i w:val="0"/>
          <w:color w:val="2E74B5"/>
          <w:sz w:val="32"/>
        </w:rPr>
        <w:t>1. Member Scaffold</w:t>
      </w:r>
    </w:p>
    <w:p>
      <w:pPr>
        <w:spacing w:before="0" w:after="200" w:line="300" w:lineRule="auto"/>
      </w:pPr>
      <w:r>
        <w:rPr>
          <w:rFonts w:ascii="Calibri" w:hAnsi="Calibri"/>
          <w:b w:val="0"/>
          <w:i/>
          <w:color w:val="5B6573"/>
          <w:sz w:val="21"/>
        </w:rPr>
        <w:t>Downstream Gold consumer: tbl_member_scaffold. Member eligibility, enrollment, identity, contact preference, plan, and address attributes.</w:t>
      </w:r>
    </w:p>
    <w:p>
      <w:pPr>
        <w:pStyle w:val="Heading2"/>
        <w:keepNext/>
      </w:pPr>
      <w:r>
        <w:rPr>
          <w:rFonts w:ascii="Calibri" w:hAnsi="Calibri"/>
          <w:b/>
          <w:i w:val="0"/>
          <w:color w:val="2E74B5"/>
          <w:sz w:val="26"/>
        </w:rPr>
        <w:t>Bronze: brz_member_bis_scaffold</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BIS eligibility and enrollment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tbl_member_bis_scaffold</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Unique 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MBR_MED_MEMBER_MONTHS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Medical member months enrolled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MBR_MED_MEMBER_MONTHS;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RX_MEMBER_MONTHS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Pharmacy member months enrolled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RX_MEMBER_MONTHS;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HCPK</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Health Care Plan Key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HCPK;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SUBSCRIBER_ID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Subscriber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SUBSCRIBER_ID;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MEMBER_DOB</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date</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Date of birth</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MEMBER_DOB; map and cast to date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AGE_IN_YEARS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Age in years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AGE_IN_YEARS;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FEMALE_FLAG</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1 = female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FEMALE_FLAG;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SUBSCRIBER_FLAG</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1 = primary subscriber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SUBSCRIBER_FLAG;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SPOUSE_FLAG</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1 = spouse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SPOUSE_FLAG;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GROUP_NUM</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Employer group number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GROUP_NUM;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GROUP_NAME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Employer group name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GROUP_NAME;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PARENT_GROUP_NUM</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Parent group number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PARENT_GROUP_NUM; map and cast to string in Silver. Retain raw value and record parsing exceptions.</w:t>
            </w:r>
          </w:p>
        </w:tc>
      </w:tr>
    </w:tbl>
    <w:p>
      <w:pPr>
        <w:spacing w:after="60"/>
      </w:pPr>
    </w:p>
    <w:p>
      <w:pPr>
        <w:pStyle w:val="Heading2"/>
        <w:keepNext/>
      </w:pPr>
      <w:r>
        <w:rPr>
          <w:rFonts w:ascii="Calibri" w:hAnsi="Calibri"/>
          <w:b/>
          <w:i w:val="0"/>
          <w:color w:val="2E74B5"/>
          <w:sz w:val="26"/>
        </w:rPr>
        <w:t>Bronze: brz_member_ccm_scaffold</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CCM communication-preference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tbl_member_ccm_scaffold</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 (join key)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MARKETING_EMAIL_PREF</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Marketing email opt-in</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MARKETING_EMAIL_PREF;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SURVEY_EMAIL_PREF</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Survey email preference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SURVEY_EMAIL_PREF;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MARKETING_DIRECTMAIL_PREF</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Direct mail preference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MARKETING_DIRECTMAIL_PREF;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MANDATED_PREF</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Mandated communication preference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date value; parse and validate to string in Silver using documented source format/time zone. Quarantine invalid values with reason.</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DIGITAL_PRFL_ID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Digital profile ID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DIGITAL_PRFL_ID;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REGISTRATION_DATE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Portal registration date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date value; parse and validate to string in Silver using documented source format/time zone. Quarantine invalid values with reason.</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PHONE_CALL_PREF</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Phone call preference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PHONE_CALL_PREF;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SMS_PREF</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SMS/text preference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SMS_PREF; map and cast to string in Silver. Retain raw value and record parsing exceptions.</w:t>
            </w:r>
          </w:p>
        </w:tc>
      </w:tr>
    </w:tbl>
    <w:p>
      <w:pPr>
        <w:spacing w:after="60"/>
      </w:pPr>
    </w:p>
    <w:p>
      <w:pPr>
        <w:pStyle w:val="Heading2"/>
        <w:keepNext/>
      </w:pPr>
      <w:r>
        <w:rPr>
          <w:rFonts w:ascii="Calibri" w:hAnsi="Calibri"/>
          <w:b/>
          <w:i w:val="0"/>
          <w:color w:val="2E74B5"/>
          <w:sz w:val="26"/>
        </w:rPr>
        <w:t>Bronze: brz_member_facets_scaffold</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Facets plan-enrollment and LOB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tbl_member_facets_scaffold</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CLASS_ID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Benefit class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CLASS_ID;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MEDICAL_CLASS_PLAN_ID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Medical class plan</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MEDICAL_CLASS_PLAN_ID;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DENTAL_CLASS_PLAN_ID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Dental class plan</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DENTAL_CLASS_PLAN_ID;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VISION_CLASS_PLAN_ID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Vision class plan</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VISION_CLASS_PLAN_ID;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PHARMACY_CLASS_PLAN_ID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Pharmacy class plan</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PHARMACY_CLASS_PLAN_ID;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SUBGROUP_ID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Subgroup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SUBGROUP_ID;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SUBGROUP_NAME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Subgroup name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SUBGROUP_NAME;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MARKETS_LOB</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Markets line of business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MARKETS_LOB;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PRODUCT_LOB</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Product line of business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PRODUCT_LOB;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RACE_CD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Race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RACE_CD;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ETHNIC_CD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Ethnicity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ETHNIC_CD;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LANG_CD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Preferred language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LANG_CD;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DX_SDOH_EDUCATION_IND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SDOH: education barrier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DX_SDOH_EDUCATION_IND;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DX_SDOH_EMPLOYMENT_IND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SDOH: employment barrier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DX_SDOH_EMPLOYMENT_IND;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DX_SDOH_HOUSING_ECONOMIC_IND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SDOH: housing/economic instability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DX_SDOH_HOUSING_ECONOMIC_IND;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DX_SDOH_PSYCHOSOCIAL_IND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SDOH: psychosocial risk</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DX_SDOH_PSYCHOSOCIAL_IND; map and cast to int in Silver. Retain raw value and record parsing exceptions.</w:t>
            </w:r>
          </w:p>
        </w:tc>
      </w:tr>
    </w:tbl>
    <w:p>
      <w:pPr>
        <w:spacing w:after="60"/>
      </w:pPr>
    </w:p>
    <w:p>
      <w:pPr>
        <w:pStyle w:val="Heading2"/>
        <w:keepNext/>
      </w:pPr>
      <w:r>
        <w:rPr>
          <w:rFonts w:ascii="Calibri" w:hAnsi="Calibri"/>
          <w:b/>
          <w:i w:val="0"/>
          <w:color w:val="2E74B5"/>
          <w:sz w:val="26"/>
        </w:rPr>
        <w:t>Bronze: brz_member_reltio_scaffold</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Reltio MDM identity and address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tbl_member_reltio_scaffold</w:t>
      </w:r>
    </w:p>
    <w:p>
      <w:pPr>
        <w:spacing w:before="80" w:after="0"/>
        <w:ind w:left="115" w:right="115"/>
        <w:shd w:fill="FFF6DF"/>
        <w:pBdr>
          <w:top w:val="single" w:sz="6" w:space="4" w:color="D7A600"/>
        </w:pBdr>
      </w:pPr>
      <w:r>
        <w:rPr>
          <w:rFonts w:ascii="Calibri" w:hAnsi="Calibri"/>
          <w:b/>
          <w:i w:val="0"/>
          <w:color w:val="1F4D78"/>
          <w:sz w:val="19"/>
        </w:rPr>
        <w:t>Crosswalk requirement</w:t>
      </w:r>
    </w:p>
    <w:p>
      <w:pPr>
        <w:spacing w:before="0" w:after="80" w:line="288" w:lineRule="auto"/>
        <w:ind w:left="115" w:right="115"/>
        <w:shd w:fill="FFF6DF"/>
        <w:pBdr>
          <w:bottom w:val="single" w:sz="6" w:space="4" w:color="D7A600"/>
        </w:pBdr>
      </w:pPr>
      <w:r>
        <w:rPr>
          <w:rFonts w:ascii="Calibri" w:hAnsi="Calibri"/>
          <w:b w:val="0"/>
          <w:i w:val="0"/>
          <w:color w:val="000000"/>
          <w:sz w:val="19"/>
        </w:rPr>
        <w:t>The published Silver dictionary has ENTITY_ID and no MEMBER_ID for this source. The entity-to-member crosswalk, matching criteria, survivorship rule, and effective-date handling must be approved before using Reltio attributes in any MEMBER_ID-grain Silver or Gold output.</w:t>
      </w:r>
    </w:p>
    <w:p>
      <w:pPr>
        <w:spacing w:after="60"/>
      </w:pP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ENTITY_ID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Reltio master entity ID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ENTITY_ID;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FIRST_NAME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First name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FIRST_NAME;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LAST_NAME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Last name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LAST_NAME;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GENDER</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Gender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GENDER;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HOME_ADDRESSLINE1</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 address line 1</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HOME_ADDRESSLINE1;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HOME_CITY</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 city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HOME_CITY;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HOME_STATEPROVINCE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 state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HOME_STATEPROVINCE;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HOME_ZIP5</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 ZIP-5</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HOME_ZIP5;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HOME_LATITUDE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Geocoded latitude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HOME_LATITUDE;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HOME_LONGITUDE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Geocoded longitude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HOME_LONGITUDE;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HOME_FIPSCOUNTYCODE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FIPS county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HOME_FIPSCOUNTYCODE;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HOME_CBSACODE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CBSA metro area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HOME_CBSACODE;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HOME_TRACTCODE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Census tract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HOME_TRACTCODE;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HOME_BLOCKGROUPCODE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Census block group</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HOME_BLOCKGROUPCODE;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MAILING_ADDRESSLINE1</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Mailing address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MAILING_ADDRESSLINE1;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MAILING_CITY</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Mailing city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MAILING_CITY;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MAILING_STATEPROVINCE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Mailing state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MAILING_STATEPROVINCE;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MAILING_ZIP5</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Mailing ZIP-5</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MAILING_ZIP5; map and cast to string in Silver. Retain raw value and record parsing exceptions.</w:t>
            </w:r>
          </w:p>
        </w:tc>
      </w:tr>
    </w:tbl>
    <w:p>
      <w:pPr>
        <w:spacing w:after="60"/>
      </w:pPr>
    </w:p>
    <w:p>
      <w:r>
        <w:br w:type="page"/>
      </w:r>
    </w:p>
    <w:p>
      <w:pPr>
        <w:pStyle w:val="Heading1"/>
        <w:keepNext/>
      </w:pPr>
      <w:r>
        <w:rPr>
          <w:rFonts w:ascii="Calibri" w:hAnsi="Calibri"/>
          <w:b/>
          <w:i w:val="0"/>
          <w:color w:val="2E74B5"/>
          <w:sz w:val="32"/>
        </w:rPr>
        <w:t>2. Member SDOH</w:t>
      </w:r>
    </w:p>
    <w:p>
      <w:pPr>
        <w:spacing w:before="0" w:after="200" w:line="300" w:lineRule="auto"/>
      </w:pPr>
      <w:r>
        <w:rPr>
          <w:rFonts w:ascii="Calibri" w:hAnsi="Calibri"/>
          <w:b w:val="0"/>
          <w:i/>
          <w:color w:val="5B6573"/>
          <w:sz w:val="21"/>
        </w:rPr>
        <w:t>Downstream Gold consumer: tbl_member_sdoh. Member geography and neighborhood social-determinants profile.</w:t>
      </w:r>
    </w:p>
    <w:p>
      <w:pPr>
        <w:pStyle w:val="Heading2"/>
        <w:keepNext/>
      </w:pPr>
      <w:r>
        <w:rPr>
          <w:rFonts w:ascii="Calibri" w:hAnsi="Calibri"/>
          <w:b/>
          <w:i w:val="0"/>
          <w:color w:val="2E74B5"/>
          <w:sz w:val="26"/>
        </w:rPr>
        <w:t>Bronze: brz_member_dnrmlzd_wide</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Member geography / denormalized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tbl_member_dnrmlzd_wide</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CENSUS_TRACT_ID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Census tract FIPS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CENSUS_TRACT_ID;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ZIPCODE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ZIP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ZIPCODE;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STATE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State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STATE;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COUNTY_NAME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County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COUNTY_NAME; map and cast to string in Silver. Retain raw value and record parsing exceptions.</w:t>
            </w:r>
          </w:p>
        </w:tc>
      </w:tr>
    </w:tbl>
    <w:p>
      <w:pPr>
        <w:spacing w:after="60"/>
      </w:pPr>
    </w:p>
    <w:p>
      <w:pPr>
        <w:pStyle w:val="Heading2"/>
        <w:keepNext/>
      </w:pPr>
      <w:r>
        <w:rPr>
          <w:rFonts w:ascii="Calibri" w:hAnsi="Calibri"/>
          <w:b/>
          <w:i w:val="0"/>
          <w:color w:val="2E74B5"/>
          <w:sz w:val="26"/>
        </w:rPr>
        <w:t>Bronze: brz_member_bis_sdoh</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BIS SDOH, SVI, ADI, and BISG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tbl_member_bis_sdoh</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FIPS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Census tract FIPS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FIPS;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CENSUS_TRACT_ID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Census tract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CENSUS_TRACT_ID;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AREA_SQMI</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Tract area (sq mi)</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E_TOTPOP</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 population</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E_POV</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Persons below poverty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E_UNEMP</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Unemployed (16+)</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E_PCI</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Per capita income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E_NOHSDP</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No HS diploma (25+)</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E_AGE65</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Persons 65+</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E_LIMENG</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Limited English proficiency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E_NOVEH</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No vehicle households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E_UNINSUR</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Uninsured persons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RPL_THEME1</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SVI: socioeconomic vulnerability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RPL_THEME1;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RPL_THEME2</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SVI: household/disability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RPL_THEME2;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RPL_THEME3</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SVI: minority/language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RPL_THEME3;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RPL_THEME4</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SVI: housing/transportation</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RPL_THEME4;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RPL_THEMES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Overall SVI score (0=low, 1=high)</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RPL_THEMES;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ADI_NATRANK</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ADI national percentile (1-100)</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ADI_STATERNK</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ADI state decile (1-10)</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IMPUTED_PROB_WHITE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BISG probability — White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IMPUTED_PROB_WHITE;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IMPUTED_PROB_BLACK</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BISG probability — Black</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IMPUTED_PROB_BLACK;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IMPUTED_PROB_HISPANIC</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BISG probability — Hispanic</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IMPUTED_PROB_HISPANIC;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RE_MAX</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Most probable race/ethnicity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RE_MAX;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RE_MAX_PROB</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Confidence of imputed R/E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RE_MAX_PROB; map and cast to decimal in Silver. Retain raw value and record parsing exceptions.</w:t>
            </w:r>
          </w:p>
        </w:tc>
      </w:tr>
    </w:tbl>
    <w:p>
      <w:pPr>
        <w:spacing w:after="60"/>
      </w:pPr>
    </w:p>
    <w:p>
      <w:r>
        <w:br w:type="page"/>
      </w:r>
    </w:p>
    <w:p>
      <w:pPr>
        <w:pStyle w:val="Heading1"/>
        <w:keepNext/>
      </w:pPr>
      <w:r>
        <w:rPr>
          <w:rFonts w:ascii="Calibri" w:hAnsi="Calibri"/>
          <w:b/>
          <w:i w:val="0"/>
          <w:color w:val="2E74B5"/>
          <w:sz w:val="32"/>
        </w:rPr>
        <w:t>3. Member Event Cost</w:t>
      </w:r>
    </w:p>
    <w:p>
      <w:pPr>
        <w:spacing w:before="0" w:after="200" w:line="300" w:lineRule="auto"/>
      </w:pPr>
      <w:r>
        <w:rPr>
          <w:rFonts w:ascii="Calibri" w:hAnsi="Calibri"/>
          <w:b w:val="0"/>
          <w:i/>
          <w:color w:val="5B6573"/>
          <w:sz w:val="21"/>
        </w:rPr>
        <w:t>Downstream Gold consumer: tbl_member_event_cost. Inpatient and outpatient utilization, event cost, ER, surgery, and readmission measures.</w:t>
      </w:r>
    </w:p>
    <w:p>
      <w:pPr>
        <w:pStyle w:val="Heading2"/>
        <w:keepNext/>
      </w:pPr>
      <w:r>
        <w:rPr>
          <w:rFonts w:ascii="Calibri" w:hAnsi="Calibri"/>
          <w:b/>
          <w:i w:val="0"/>
          <w:color w:val="2E74B5"/>
          <w:sz w:val="26"/>
        </w:rPr>
        <w:t>Bronze: brz_member_bis_ip_events</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BIS inpatient-events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tbl_member_bis_ip_events</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admit_dt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date</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Admission date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date value; parse and validate to date in Silver using documented source format/time zone. Quarantine invalid values with reason.</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discharge_dt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date</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Discharge date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date value; parse and validate to date in Silver using documented source format/time zone. Quarantine invalid values with reason.</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los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Length of stay (days)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los;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billed_amt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double</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 billed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double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allowed_amt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double</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 allowed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double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paid_amt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double</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 paid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double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claims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Claim count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claims;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readm_elig_ind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Readmission-eligible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readm_elig_ind;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readm_readmission_ind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Was a readmission</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readm_readmission_ind;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icu_days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ICU days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icu_days;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ccu_days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Cardiac care days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ccu_days;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nicu_days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Neonatal ICU days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nicu_days;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psych_days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Psychiatric days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psych_days;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rehab_days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Rehabilitation days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rehab_days; map and cast to int in Silver. Retain raw value and record parsing exceptions.</w:t>
            </w:r>
          </w:p>
        </w:tc>
      </w:tr>
    </w:tbl>
    <w:p>
      <w:pPr>
        <w:spacing w:after="60"/>
      </w:pPr>
    </w:p>
    <w:p>
      <w:pPr>
        <w:pStyle w:val="Heading2"/>
        <w:keepNext/>
      </w:pPr>
      <w:r>
        <w:rPr>
          <w:rFonts w:ascii="Calibri" w:hAnsi="Calibri"/>
          <w:b/>
          <w:i w:val="0"/>
          <w:color w:val="2E74B5"/>
          <w:sz w:val="26"/>
        </w:rPr>
        <w:t>Bronze: brz_member_bis_op_events</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BIS outpatient-events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tbl_member_bis_op_events</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OP_EVENTS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 outpatient events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OP_EVENTS;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ER_VISITS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ER visit count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ER_VISITS;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DAYS_SINCE_LAST_ER</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Days since last 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DAYS_SINCE_LAST_ER;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OP_SURG_VISITS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Outpatient surgeries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OP_SURG_VISITS;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OP_OTHER_VISITS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Other OP visits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OP_OTHER_VISITS;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OP_BILLED_AMT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 billed amount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OP_ALLOWED_AMT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 allowed amount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OP_PAID_AMT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 paid amount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OP_CLAIMS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OP claim count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OP_CLAIMS;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ASC_VISITS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Ambulatory surgery center visits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ASC_VISITS;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NYU_NON_EMER_PCT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 ER visits that were non-emergent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NYU_EMER_PRI_CARE_PCT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 treatable in primary care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NYU_EMER_DEPT_PCT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 ED truly needed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bl>
    <w:p>
      <w:pPr>
        <w:spacing w:after="60"/>
      </w:pPr>
    </w:p>
    <w:p>
      <w:r>
        <w:br w:type="page"/>
      </w:r>
    </w:p>
    <w:p>
      <w:pPr>
        <w:pStyle w:val="Heading1"/>
        <w:keepNext/>
      </w:pPr>
      <w:r>
        <w:rPr>
          <w:rFonts w:ascii="Calibri" w:hAnsi="Calibri"/>
          <w:b/>
          <w:i w:val="0"/>
          <w:color w:val="2E74B5"/>
          <w:sz w:val="32"/>
        </w:rPr>
        <w:t>4. Clinical Conditions &amp; Risk Scores</w:t>
      </w:r>
    </w:p>
    <w:p>
      <w:pPr>
        <w:spacing w:before="0" w:after="200" w:line="300" w:lineRule="auto"/>
      </w:pPr>
      <w:r>
        <w:rPr>
          <w:rFonts w:ascii="Calibri" w:hAnsi="Calibri"/>
          <w:b w:val="0"/>
          <w:i/>
          <w:color w:val="5B6573"/>
          <w:sz w:val="21"/>
        </w:rPr>
        <w:t>Downstream Gold consumer: tbl_member_clinicalcondition_and_riskscores. DxCG clinical categories, concurrent/prospective risk, and diagnosis-based risk factors.</w:t>
      </w:r>
    </w:p>
    <w:p>
      <w:pPr>
        <w:pStyle w:val="Heading2"/>
        <w:keepNext/>
      </w:pPr>
      <w:r>
        <w:rPr>
          <w:rFonts w:ascii="Calibri" w:hAnsi="Calibri"/>
          <w:b/>
          <w:i w:val="0"/>
          <w:color w:val="2E74B5"/>
          <w:sz w:val="26"/>
        </w:rPr>
        <w:t>Bronze: brz_member_bis_dxcg_v6_clinical_condition</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DxCG v6 clinical-condition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tbl_member_bis_dxcg_v6_clinical_condition</w:t>
      </w:r>
    </w:p>
    <w:p>
      <w:pPr>
        <w:spacing w:before="80" w:after="0"/>
        <w:ind w:left="115" w:right="115"/>
        <w:shd w:fill="FFF6DF"/>
        <w:pBdr>
          <w:top w:val="single" w:sz="6" w:space="4" w:color="D7A600"/>
        </w:pBdr>
      </w:pPr>
      <w:r>
        <w:rPr>
          <w:rFonts w:ascii="Calibri" w:hAnsi="Calibri"/>
          <w:b/>
          <w:i w:val="0"/>
          <w:color w:val="1F4D78"/>
          <w:sz w:val="19"/>
        </w:rPr>
        <w:t>Expanded field range</w:t>
      </w:r>
    </w:p>
    <w:p>
      <w:pPr>
        <w:spacing w:before="0" w:after="80" w:line="288" w:lineRule="auto"/>
        <w:ind w:left="115" w:right="115"/>
        <w:shd w:fill="FFF6DF"/>
        <w:pBdr>
          <w:bottom w:val="single" w:sz="6" w:space="4" w:color="D7A600"/>
        </w:pBdr>
      </w:pPr>
      <w:r>
        <w:rPr>
          <w:rFonts w:ascii="Calibri" w:hAnsi="Calibri"/>
          <w:b w:val="0"/>
          <w:i w:val="0"/>
          <w:color w:val="000000"/>
          <w:sz w:val="19"/>
        </w:rPr>
        <w:t>ACHCC_1 through ACHCC_31 represents 31 distinct binary attributes. The raw source must preserve each native category field and its model/version context; do not collapse the range into a single flag.</w:t>
      </w:r>
    </w:p>
    <w:p>
      <w:pPr>
        <w:spacing w:after="60"/>
      </w:pP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DXCG_MODEL_POP</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Model population segment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DXCG_MODEL_POP;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ACHCC_1 through ACHCC_31</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Clinical condition categories (1 = present)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ACHCC_1 through ACHCC_31; map and cast to int in Silver. Retain raw value and record parsing exceptions.</w:t>
            </w:r>
          </w:p>
        </w:tc>
      </w:tr>
    </w:tbl>
    <w:p>
      <w:pPr>
        <w:spacing w:after="60"/>
      </w:pPr>
    </w:p>
    <w:p>
      <w:pPr>
        <w:pStyle w:val="Heading2"/>
        <w:keepNext/>
      </w:pPr>
      <w:r>
        <w:rPr>
          <w:rFonts w:ascii="Calibri" w:hAnsi="Calibri"/>
          <w:b/>
          <w:i w:val="0"/>
          <w:color w:val="2E74B5"/>
          <w:sz w:val="26"/>
        </w:rPr>
        <w:t>Bronze: brz_member_bis_dxcg_v6_risk_scores</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DxCG risk-score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tbl_member_bis_dxcg_v6_risk_scores</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CLIN_CATEG_NM</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Clinical category name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CLIN_CATEG_NM;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CLIN_COND_GRP_NM</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Clinical condition group</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CLIN_COND_GRP_NM;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COST_CAT_CODE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Cost category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COST_CAT_CODE;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CONC_MED_MED_RISK</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Concurrent medical risk</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CONC_MED_TOT_RISK</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Concurrent total risk</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PROSP_MED_MED_RISK</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Prospective medical risk</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PROSP_MED_TOT_RISK</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Prospective total risk</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bl>
    <w:p>
      <w:pPr>
        <w:spacing w:after="60"/>
      </w:pPr>
    </w:p>
    <w:p>
      <w:pPr>
        <w:pStyle w:val="Heading2"/>
        <w:keepNext/>
      </w:pPr>
      <w:r>
        <w:rPr>
          <w:rFonts w:ascii="Calibri" w:hAnsi="Calibri"/>
          <w:b/>
          <w:i w:val="0"/>
          <w:color w:val="2E74B5"/>
          <w:sz w:val="26"/>
        </w:rPr>
        <w:t>Bronze: brz_member_bis_dx_risk_factors</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Diagnosis-based risk-factor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tbl_member_bis_dx_risk_factors</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DX_HOMEBOUND_IND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Homebound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DX_HOMEBOUND_IND;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DX_HIST_ALCOHOL_IND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Alcohol use history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DX_HIST_ALCOHOL_IND;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DX_HIST_SMOKING_IND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Smoking history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DX_HIST_SMOKING_IND;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DX_HIST_OSTEOPENIA_IND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Osteopenia</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DX_HIST_OSTEOPENIA_IND;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DX_HIST_ABNORMAL_GAIT_IND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Abnormal gait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DX_HIST_ABNORMAL_GAIT_IND;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DX_HIST_NEURO_DEFICIT_IND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Neurological deficit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DX_HIST_NEURO_DEFICIT_IND;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DX_HIST_WEAKNESS_IND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Weakness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DX_HIST_WEAKNESS_IND;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DX_HIST_AGE_DEBILITY_IND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Age-related debility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DX_HIST_AGE_DEBILITY_IND;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DX_HIST_FALL_IND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Fall history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DX_HIST_FALL_IND;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DX_HIST_MOBILITY_IND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Mobility impairment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DX_HIST_MOBILITY_IND; map and cast to int in Silver. Retain raw value and record parsing exceptions.</w:t>
            </w:r>
          </w:p>
        </w:tc>
      </w:tr>
    </w:tbl>
    <w:p>
      <w:pPr>
        <w:spacing w:after="60"/>
      </w:pPr>
    </w:p>
    <w:p>
      <w:r>
        <w:br w:type="page"/>
      </w:r>
    </w:p>
    <w:p>
      <w:pPr>
        <w:pStyle w:val="Heading1"/>
        <w:keepNext/>
      </w:pPr>
      <w:r>
        <w:rPr>
          <w:rFonts w:ascii="Calibri" w:hAnsi="Calibri"/>
          <w:b/>
          <w:i w:val="0"/>
          <w:color w:val="2E74B5"/>
          <w:sz w:val="32"/>
        </w:rPr>
        <w:t>5. Financials &amp; Claims</w:t>
      </w:r>
    </w:p>
    <w:p>
      <w:pPr>
        <w:spacing w:before="0" w:after="200" w:line="300" w:lineRule="auto"/>
      </w:pPr>
      <w:r>
        <w:rPr>
          <w:rFonts w:ascii="Calibri" w:hAnsi="Calibri"/>
          <w:b w:val="0"/>
          <w:i/>
          <w:color w:val="5B6573"/>
          <w:sz w:val="21"/>
        </w:rPr>
        <w:t>Downstream Gold consumer: tbl_member_bis_financials_and_claims. Medical cost summary, pharmacy summary, and fill-level pharmacy detail for adherence calculations.</w:t>
      </w:r>
    </w:p>
    <w:p>
      <w:pPr>
        <w:pStyle w:val="Heading2"/>
        <w:keepNext/>
      </w:pPr>
      <w:r>
        <w:rPr>
          <w:rFonts w:ascii="Calibri" w:hAnsi="Calibri"/>
          <w:b/>
          <w:i w:val="0"/>
          <w:color w:val="2E74B5"/>
          <w:sz w:val="26"/>
        </w:rPr>
        <w:t>Bronze: brz_member_bis_cost</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BIS medical cost-summary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tbl_member_bis_cost</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FOP_CLM_CNT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Facility outpatient claims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FOP_CLM_CNT;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FOP_AMT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Facility outpatient paid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FIP_CLM_CNT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Facility inpatient claims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FIP_CLM_CNT;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FIP_AMT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Facility inpatient paid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PROF_CLM_CNT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Professional claims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PROF_CLM_CNT;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PROF_AMT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Professional paid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RX_CLM_CNT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Pharmacy claims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RX_CLM_CNT;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Pharmacy paid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TOTAL_EXPEND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 expenditure (med + Rx)</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TOTAL_EXPEND;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TOTAL_MED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 medical spend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TOTAL_MED; map and cast to decimal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TOTAL_PMPM</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Per-member-per-month cost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MED_PMPM</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Medical PMPM</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RX_PMPM</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Pharmacy PMPM</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MED_EXPEND_PCT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Medical as % of total</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RX_EXPEND_PCT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 as % of total</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bl>
    <w:p>
      <w:pPr>
        <w:spacing w:after="60"/>
      </w:pPr>
    </w:p>
    <w:p>
      <w:pPr>
        <w:pStyle w:val="Heading2"/>
        <w:keepNext/>
      </w:pPr>
      <w:r>
        <w:rPr>
          <w:rFonts w:ascii="Calibri" w:hAnsi="Calibri"/>
          <w:b/>
          <w:i w:val="0"/>
          <w:color w:val="2E74B5"/>
          <w:sz w:val="26"/>
        </w:rPr>
        <w:t>Bronze: brz_member_bis_rx_clms</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BIS pharmacy claims-summary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tbl_member_bis_rx_clms</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RX_CLAIMS</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 claims reference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RX_CLAIMS;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ANNUAL_DAYS_SUPPLY</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 total days supply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ANNUAL_DAYS_SUPPLY;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ANNUAL_RX_CNT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 fill count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ANNUAL_RX_CNT;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ANNUAL_RX_ALLOW_AMT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 Rx allowed</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ANNUAL_RX_COPAY_AMT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 Rx copay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ANNUAL_RX_TRUE_OOP_AMT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decimal</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 Rx out-of-pocket</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numerical value and scale; cast to decimal in Silver without recomputation. Validate parseability and source-defined range.</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ANNUAL_RX_MAIL_CNT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Mail-order fills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ANNUAL_RX_MAIL_CNT;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ANNUAL_RX_RETAIL_CNT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Retail pharmacy fills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ANNUAL_RX_RETAIL_CNT;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ANNUAL_GCN_CNT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Distinct generic drugs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ANNUAL_GCN_CNT;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ANNUAL_NDC_CNT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Distinct NDCs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ANNUAL_NDC_CNT; map and cast to int in Silver. Retain raw value and record parsing exceptions.</w:t>
            </w:r>
          </w:p>
        </w:tc>
      </w:tr>
    </w:tbl>
    <w:p>
      <w:pPr>
        <w:spacing w:after="60"/>
      </w:pPr>
    </w:p>
    <w:p>
      <w:pPr>
        <w:pStyle w:val="Heading2"/>
        <w:keepNext/>
      </w:pPr>
      <w:r>
        <w:rPr>
          <w:rFonts w:ascii="Calibri" w:hAnsi="Calibri"/>
          <w:b/>
          <w:i w:val="0"/>
          <w:color w:val="2E74B5"/>
          <w:sz w:val="26"/>
        </w:rPr>
        <w:t>Bronze: brz_member_bis_rx_pdc_clms</w:t>
      </w:r>
    </w:p>
    <w:p>
      <w:pPr>
        <w:spacing w:after="40" w:line="276" w:lineRule="auto"/>
      </w:pPr>
      <w:r>
        <w:rPr>
          <w:rFonts w:ascii="Calibri" w:hAnsi="Calibri"/>
          <w:b/>
          <w:i w:val="0"/>
          <w:color w:val="1F4D78"/>
          <w:sz w:val="19"/>
        </w:rPr>
        <w:t xml:space="preserve">Expected source object: </w:t>
      </w:r>
      <w:r>
        <w:rPr>
          <w:rFonts w:ascii="Calibri" w:hAnsi="Calibri"/>
          <w:b w:val="0"/>
          <w:i w:val="0"/>
          <w:color w:val="000000"/>
          <w:sz w:val="19"/>
        </w:rPr>
        <w:t>BIS pharmacy fill-level PDC extract</w:t>
      </w:r>
    </w:p>
    <w:p>
      <w:pPr>
        <w:spacing w:after="40" w:line="276" w:lineRule="auto"/>
      </w:pPr>
      <w:r>
        <w:rPr>
          <w:rFonts w:ascii="Calibri" w:hAnsi="Calibri"/>
          <w:b/>
          <w:i w:val="0"/>
          <w:color w:val="1F4D78"/>
          <w:sz w:val="19"/>
        </w:rPr>
        <w:t xml:space="preserve">Silver target: </w:t>
      </w:r>
      <w:r>
        <w:rPr>
          <w:rFonts w:ascii="Calibri" w:hAnsi="Calibri"/>
          <w:b w:val="0"/>
          <w:i w:val="0"/>
          <w:color w:val="000000"/>
          <w:sz w:val="19"/>
        </w:rPr>
        <w:t>tbl_member_bis_rx_pdc_clms</w:t>
      </w:r>
    </w:p>
    <w:p>
      <w:pPr>
        <w:spacing w:after="40" w:line="276" w:lineRule="auto"/>
      </w:pPr>
      <w:r>
        <w:rPr>
          <w:rFonts w:ascii="Calibri" w:hAnsi="Calibri"/>
          <w:b/>
          <w:i w:val="0"/>
          <w:color w:val="1F4D78"/>
          <w:sz w:val="19"/>
        </w:rPr>
        <w:t xml:space="preserve">Bronze grain: </w:t>
      </w:r>
      <w:r>
        <w:rPr>
          <w:rFonts w:ascii="Calibri" w:hAnsi="Calibri"/>
          <w:b w:val="0"/>
          <w:i w:val="0"/>
          <w:color w:val="000000"/>
          <w:sz w:val="19"/>
        </w:rPr>
        <w:t>One retained source record as received. Confirm whether the source is member, event, admission, claim, fill, snapshot, or effective-dated before Silver deduplication/standardization.</w:t>
      </w:r>
    </w:p>
    <w:p>
      <w:pPr>
        <w:spacing w:after="40" w:line="276" w:lineRule="auto"/>
      </w:pPr>
      <w:r>
        <w:rPr>
          <w:rFonts w:ascii="Calibri" w:hAnsi="Calibri"/>
          <w:b/>
          <w:i w:val="0"/>
          <w:color w:val="1F4D78"/>
          <w:sz w:val="19"/>
        </w:rPr>
        <w:t xml:space="preserve">Bronze business payload: </w:t>
      </w:r>
      <w:r>
        <w:rPr>
          <w:rFonts w:ascii="Calibri" w:hAnsi="Calibri"/>
          <w:b w:val="0"/>
          <w:i w:val="0"/>
          <w:color w:val="000000"/>
          <w:sz w:val="19"/>
        </w:rPr>
        <w:t>RAW_PAYLOAD must contain all source-native attributes required to populate the complete Silver dictionary below, plus any additional source attributes needed for provenance or future use.</w:t>
      </w:r>
    </w:p>
    <w:p>
      <w:pPr>
        <w:spacing w:before="100" w:after="80" w:line="300" w:lineRule="auto"/>
      </w:pPr>
      <w:r>
        <w:rPr>
          <w:rFonts w:ascii="Calibri" w:hAnsi="Calibri"/>
          <w:b/>
          <w:i w:val="0"/>
          <w:color w:val="1F4D78"/>
          <w:sz w:val="19"/>
        </w:rPr>
        <w:t>Complete field coverage required for the Silver target</w:t>
      </w:r>
    </w:p>
    <w:tbl>
      <w:tblPr>
        <w:tblStyle w:val="TableGrid"/>
        <w:tblW w:type="dxa" w:w="9360"/>
        <w:jc w:val="left"/>
        <w:tblLayout w:type="fixed"/>
        <w:tblLook w:firstColumn="1" w:firstRow="1" w:lastColumn="0" w:lastRow="0" w:noHBand="0" w:noVBand="1" w:val="04A0"/>
        <w:tblInd w:w="120" w:type="dxa"/>
      </w:tblPr>
      <w:tblGrid>
        <w:gridCol w:w="1960"/>
        <w:gridCol w:w="950"/>
        <w:gridCol w:w="2600"/>
        <w:gridCol w:w="3850"/>
      </w:tblGrid>
      <w:tr>
        <w:trPr>
          <w:tblHeader w:val="true"/>
        </w:trPr>
        <w:tc>
          <w:tcPr>
            <w:tcW w:type="dxa" w:w="19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Silver target field</w:t>
            </w:r>
          </w:p>
        </w:tc>
        <w:tc>
          <w:tcPr>
            <w:tcW w:type="dxa" w:w="9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Type</w:t>
            </w:r>
          </w:p>
        </w:tc>
        <w:tc>
          <w:tcPr>
            <w:tcW w:type="dxa" w:w="26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Business description</w:t>
            </w:r>
          </w:p>
        </w:tc>
        <w:tc>
          <w:tcPr>
            <w:tcW w:type="dxa" w:w="385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4"/>
              </w:rPr>
              <w:t>Bronze capture / Silver handling</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MEMBER_ID</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Member identifier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the source member identifier exactly; validate format/null rate and map to MEMBER_ID in Silver. Do not generate a replacement key without approved crosswalk logic.</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FILL_DT</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date</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Prescription fill date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date value; parse and validate to date in Silver using documented source format/time zone. Quarantine invalid values with reason.</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DAYS_SUPPLY</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Days supply this fill</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DAYS_SUPPLY;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FIRST_FILL_DATE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date</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First fill for this drug class</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raw date value; parse and validate to date in Silver using documented source format/time zone. Quarantine invalid values with reason.</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RUNNING_DAYS_SUPPLY</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Cumulative days supply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RUNNING_DAYS_SUPPLY;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DRUG_CLASS_NAME</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Drug class (antidepressants, statins, etc.)</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DRUG_CLASS_NAME;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NDC</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National Drug Code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NDC;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GNRC_NM</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string</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Generic drug name</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GNRC_NM; map and cast to string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RX_MAIL_FLAG</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1 = mail order</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RX_MAIL_FLAG; map and cast to int in Silver. Retain raw value and record parsing exceptions.</w:t>
            </w:r>
          </w:p>
        </w:tc>
      </w:tr>
      <w:tr>
        <w:tc>
          <w:tcPr>
            <w:tcW w:type="dxa" w:w="196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RX_RETAIL_FLAG</w:t>
            </w:r>
          </w:p>
        </w:tc>
        <w:tc>
          <w:tcPr>
            <w:tcW w:type="dxa" w:w="9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int</w:t>
            </w:r>
          </w:p>
        </w:tc>
        <w:tc>
          <w:tcPr>
            <w:tcW w:type="dxa" w:w="260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1 = retail pharmacy</w:t>
            </w:r>
          </w:p>
        </w:tc>
        <w:tc>
          <w:tcPr>
            <w:tcW w:type="dxa" w:w="3850"/>
            <w:tcMar>
              <w:top w:w="80" w:type="dxa"/>
              <w:start w:w="120" w:type="dxa"/>
              <w:bottom w:w="80" w:type="dxa"/>
              <w:end w:w="120" w:type="dxa"/>
            </w:tcMar>
            <w:vAlign w:val="top"/>
          </w:tcPr>
          <w:p>
            <w:pPr>
              <w:spacing w:before="0" w:after="0" w:line="252" w:lineRule="auto"/>
            </w:pPr>
            <w:r/>
            <w:r>
              <w:rPr>
                <w:rFonts w:ascii="Calibri" w:hAnsi="Calibri"/>
                <w:b w:val="0"/>
                <w:i w:val="0"/>
                <w:color w:val="000000"/>
                <w:sz w:val="14"/>
              </w:rPr>
              <w:t>Preserve source-native attribute/alias for RX_RETAIL_FLAG; map and cast to int in Silver. Retain raw value and record parsing exceptions.</w:t>
            </w:r>
          </w:p>
        </w:tc>
      </w:tr>
    </w:tbl>
    <w:p>
      <w:pPr>
        <w:spacing w:after="60"/>
      </w:pPr>
    </w:p>
    <w:p>
      <w:r>
        <w:br w:type="page"/>
      </w:r>
    </w:p>
    <w:p>
      <w:pPr>
        <w:pStyle w:val="Heading1"/>
        <w:keepNext/>
      </w:pPr>
      <w:r>
        <w:rPr>
          <w:rFonts w:ascii="Calibri" w:hAnsi="Calibri"/>
          <w:b/>
          <w:i w:val="0"/>
          <w:color w:val="2E74B5"/>
          <w:sz w:val="32"/>
        </w:rPr>
        <w:t>Part II. Business Prompts for Bronze-to-Silver Table and STTM Generation</w:t>
      </w:r>
    </w:p>
    <w:p>
      <w:pPr>
        <w:spacing w:before="0" w:after="120" w:line="300" w:lineRule="auto"/>
      </w:pPr>
      <w:r>
        <w:rPr>
          <w:rFonts w:ascii="Calibri" w:hAnsi="Calibri"/>
          <w:b w:val="0"/>
          <w:i w:val="0"/>
          <w:color w:val="000000"/>
          <w:sz w:val="21"/>
        </w:rPr>
        <w:t>Use these prompts with an AI data-engineering application only after providing it this document, the actual Bronze source schema/DDL, sample records or payload profiles, the intended SQL platform, and the approved crosswalk/reference tables. The prompts deliberately specify the business outcome; the AI must discover and document the detailed source-to-target mappings in its STTM.</w:t>
      </w:r>
    </w:p>
    <w:p>
      <w:pPr>
        <w:pStyle w:val="Heading2"/>
        <w:keepNext/>
      </w:pPr>
      <w:r>
        <w:rPr>
          <w:rFonts w:ascii="Calibri" w:hAnsi="Calibri"/>
          <w:b/>
          <w:i w:val="0"/>
          <w:color w:val="2E74B5"/>
          <w:sz w:val="26"/>
        </w:rPr>
        <w:t>Standard Output to Request from the AI</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7"/>
              </w:rPr>
              <w:t>Required output</w:t>
            </w:r>
          </w:p>
        </w:tc>
        <w:tc>
          <w:tcPr>
            <w:tcW w:type="dxa" w:w="68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7"/>
              </w:rPr>
              <w:t>Expectation</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1. Bronze table design</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Table name, source system/object, raw grain, technical lineage fields, payload retention method, partitioning, and CDC/snapshot treatment.</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2. Silver table design</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Target table name, declared grain, primary business key, columns, data types, descriptions, and required audit fields.</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3. Pipeline logic</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Transformation SQL or equivalent logic from Bronze to Silver, including parsing, type conversion, standardization, deduplication, late-arriving records, and quarantine handling.</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4. STTM</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Silver target column, selected Bronze source table and native field(s), transformation/business logic, join/crosswalk logic, source precedence, and data-quality handling.</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5. Gaps and assumptions</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Missing source elements, ambiguous aliases, undocumented business rules, source-quality risks, and questions requiring business confirmation. The AI must not invent source fields or business rules.</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6. Reconciliation tests</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Bronze-to-Silver row counts, source-key duplicate checks, null/type/range tests, payload-to-extracted-field coverage, quarantine counts, and join/crosswalk coverage.</w:t>
            </w:r>
          </w:p>
        </w:tc>
      </w:tr>
    </w:tbl>
    <w:p>
      <w:pPr>
        <w:spacing w:after="60"/>
      </w:pPr>
    </w:p>
    <w:p>
      <w:pPr>
        <w:pStyle w:val="Heading2"/>
        <w:keepNext/>
      </w:pPr>
      <w:r>
        <w:rPr>
          <w:rFonts w:ascii="Calibri" w:hAnsi="Calibri"/>
          <w:b/>
          <w:i w:val="0"/>
          <w:color w:val="2E74B5"/>
          <w:sz w:val="26"/>
        </w:rPr>
        <w:t>1. Member Scaffold</w:t>
      </w:r>
    </w:p>
    <w:p>
      <w:pPr>
        <w:spacing w:after="40" w:line="276" w:lineRule="auto"/>
      </w:pPr>
      <w:r>
        <w:rPr>
          <w:rFonts w:ascii="Calibri" w:hAnsi="Calibri"/>
          <w:b/>
          <w:i w:val="0"/>
          <w:color w:val="1F4D78"/>
          <w:sz w:val="19"/>
        </w:rPr>
        <w:t xml:space="preserve">Target downstream Gold table: </w:t>
      </w:r>
      <w:r>
        <w:rPr>
          <w:rFonts w:ascii="Calibri" w:hAnsi="Calibri"/>
          <w:b w:val="0"/>
          <w:i w:val="0"/>
          <w:color w:val="000000"/>
          <w:sz w:val="19"/>
        </w:rPr>
        <w:t>tbl_member_scaffold</w:t>
      </w:r>
    </w:p>
    <w:p>
      <w:pPr>
        <w:spacing w:after="40" w:line="276" w:lineRule="auto"/>
      </w:pPr>
      <w:r>
        <w:rPr>
          <w:rFonts w:ascii="Calibri" w:hAnsi="Calibri"/>
          <w:b/>
          <w:i w:val="0"/>
          <w:color w:val="1F4D78"/>
          <w:sz w:val="19"/>
        </w:rPr>
        <w:t xml:space="preserve">Business objective: </w:t>
      </w:r>
      <w:r>
        <w:rPr>
          <w:rFonts w:ascii="Calibri" w:hAnsi="Calibri"/>
          <w:b w:val="0"/>
          <w:i w:val="0"/>
          <w:color w:val="000000"/>
          <w:sz w:val="19"/>
        </w:rPr>
        <w:t>Create standardized member eligibility, enrollment, communication-preference, plan, and master-data Silver tables from the supplied Bronze landing tables. The resulting Silver tables must preserve source lineage and enable an authoritative member profile downstream.</w:t>
      </w:r>
    </w:p>
    <w:p>
      <w:pPr>
        <w:spacing w:before="80" w:after="0"/>
        <w:ind w:left="115" w:right="115"/>
        <w:shd w:fill="FFF6DF"/>
        <w:pBdr>
          <w:top w:val="single" w:sz="6" w:space="4" w:color="D7A600"/>
        </w:pBdr>
      </w:pPr>
      <w:r>
        <w:rPr>
          <w:rFonts w:ascii="Calibri" w:hAnsi="Calibri"/>
          <w:b/>
          <w:i w:val="0"/>
          <w:color w:val="1F4D78"/>
          <w:sz w:val="19"/>
        </w:rPr>
        <w:t>Prompt</w:t>
      </w:r>
    </w:p>
    <w:p>
      <w:pPr>
        <w:spacing w:before="0" w:after="80" w:line="288" w:lineRule="auto"/>
        <w:ind w:left="115" w:right="115"/>
        <w:shd w:fill="FFF6DF"/>
        <w:pBdr>
          <w:bottom w:val="single" w:sz="6" w:space="4" w:color="D7A600"/>
        </w:pBdr>
      </w:pPr>
      <w:r>
        <w:rPr>
          <w:rFonts w:ascii="Calibri" w:hAnsi="Calibri"/>
          <w:b w:val="0"/>
          <w:i w:val="0"/>
          <w:color w:val="000000"/>
          <w:sz w:val="19"/>
        </w:rPr>
        <w:t>Using the supplied MemberDNA Bronze-to-Silver data dictionary, actual Bronze schemas/DDL, source profiles, and approved reference tables, design and generate the Bronze-to-Silver pipeline for the Member Scaffold domain. Use the BIS, CCM, Facets, and Reltio Bronze sources. Retain raw payloads unchanged in Bronze; in Silver, parse and type the documented fields, deduplicate only with source-supported keys and effective dates, and document the entity-to-member crosswalk required for Reltio because its published dictionary contains ENTITY_ID but not MEMBER_ID. Produce the Bronze and Silver table designs, transformation logic, complete STTM, reconciliation tests, and a clearly labeled list of assumptions or gaps needing business approval.</w:t>
      </w:r>
    </w:p>
    <w:p>
      <w:pPr>
        <w:spacing w:after="60"/>
      </w:pPr>
    </w:p>
    <w:p>
      <w:pPr>
        <w:pStyle w:val="Heading2"/>
        <w:keepNext/>
      </w:pPr>
      <w:r>
        <w:rPr>
          <w:rFonts w:ascii="Calibri" w:hAnsi="Calibri"/>
          <w:b/>
          <w:i w:val="0"/>
          <w:color w:val="2E74B5"/>
          <w:sz w:val="26"/>
        </w:rPr>
        <w:t>2. Member SDOH</w:t>
      </w:r>
    </w:p>
    <w:p>
      <w:pPr>
        <w:spacing w:after="40" w:line="276" w:lineRule="auto"/>
      </w:pPr>
      <w:r>
        <w:rPr>
          <w:rFonts w:ascii="Calibri" w:hAnsi="Calibri"/>
          <w:b/>
          <w:i w:val="0"/>
          <w:color w:val="1F4D78"/>
          <w:sz w:val="19"/>
        </w:rPr>
        <w:t xml:space="preserve">Target downstream Gold table: </w:t>
      </w:r>
      <w:r>
        <w:rPr>
          <w:rFonts w:ascii="Calibri" w:hAnsi="Calibri"/>
          <w:b w:val="0"/>
          <w:i w:val="0"/>
          <w:color w:val="000000"/>
          <w:sz w:val="19"/>
        </w:rPr>
        <w:t>tbl_member_sdoh</w:t>
      </w:r>
    </w:p>
    <w:p>
      <w:pPr>
        <w:spacing w:after="40" w:line="276" w:lineRule="auto"/>
      </w:pPr>
      <w:r>
        <w:rPr>
          <w:rFonts w:ascii="Calibri" w:hAnsi="Calibri"/>
          <w:b/>
          <w:i w:val="0"/>
          <w:color w:val="1F4D78"/>
          <w:sz w:val="19"/>
        </w:rPr>
        <w:t xml:space="preserve">Business objective: </w:t>
      </w:r>
      <w:r>
        <w:rPr>
          <w:rFonts w:ascii="Calibri" w:hAnsi="Calibri"/>
          <w:b w:val="0"/>
          <w:i w:val="0"/>
          <w:color w:val="000000"/>
          <w:sz w:val="19"/>
        </w:rPr>
        <w:t>Create standardized Silver geography and SDOH tables that enable a member-level neighborhood profile without altering the meaning or scale of source-provided SVI, ADI, or BISG measures.</w:t>
      </w:r>
    </w:p>
    <w:p>
      <w:pPr>
        <w:spacing w:before="80" w:after="0"/>
        <w:ind w:left="115" w:right="115"/>
        <w:shd w:fill="FFF6DF"/>
        <w:pBdr>
          <w:top w:val="single" w:sz="6" w:space="4" w:color="D7A600"/>
        </w:pBdr>
      </w:pPr>
      <w:r>
        <w:rPr>
          <w:rFonts w:ascii="Calibri" w:hAnsi="Calibri"/>
          <w:b/>
          <w:i w:val="0"/>
          <w:color w:val="1F4D78"/>
          <w:sz w:val="19"/>
        </w:rPr>
        <w:t>Prompt</w:t>
      </w:r>
    </w:p>
    <w:p>
      <w:pPr>
        <w:spacing w:before="0" w:after="80" w:line="288" w:lineRule="auto"/>
        <w:ind w:left="115" w:right="115"/>
        <w:shd w:fill="FFF6DF"/>
        <w:pBdr>
          <w:bottom w:val="single" w:sz="6" w:space="4" w:color="D7A600"/>
        </w:pBdr>
      </w:pPr>
      <w:r>
        <w:rPr>
          <w:rFonts w:ascii="Calibri" w:hAnsi="Calibri"/>
          <w:b w:val="0"/>
          <w:i w:val="0"/>
          <w:color w:val="000000"/>
          <w:sz w:val="19"/>
        </w:rPr>
        <w:t>Using the supplied MemberDNA Bronze-to-Silver data dictionary, actual Bronze schemas/DDL, source profiles, and approved reference tables, design and generate the Bronze-to-Silver pipeline for the Member SDOH domain. Use the member geography and BIS SDOH Bronze sources. Validate census-tract identifiers, preserve source numerical measures, distinguish member-level from tract-level rows, and document the geographic linkage, timing, and any padding/normalization needed for FIPS/tract keys. Produce the Bronze and Silver table designs, transformation logic, complete STTM, reconciliation tests, and a clearly labeled list of assumptions or gaps needing business approval.</w:t>
      </w:r>
    </w:p>
    <w:p>
      <w:pPr>
        <w:spacing w:after="60"/>
      </w:pPr>
    </w:p>
    <w:p>
      <w:pPr>
        <w:pStyle w:val="Heading2"/>
        <w:keepNext/>
      </w:pPr>
      <w:r>
        <w:rPr>
          <w:rFonts w:ascii="Calibri" w:hAnsi="Calibri"/>
          <w:b/>
          <w:i w:val="0"/>
          <w:color w:val="2E74B5"/>
          <w:sz w:val="26"/>
        </w:rPr>
        <w:t>3. Member Event Cost</w:t>
      </w:r>
    </w:p>
    <w:p>
      <w:pPr>
        <w:spacing w:after="40" w:line="276" w:lineRule="auto"/>
      </w:pPr>
      <w:r>
        <w:rPr>
          <w:rFonts w:ascii="Calibri" w:hAnsi="Calibri"/>
          <w:b/>
          <w:i w:val="0"/>
          <w:color w:val="1F4D78"/>
          <w:sz w:val="19"/>
        </w:rPr>
        <w:t xml:space="preserve">Target downstream Gold table: </w:t>
      </w:r>
      <w:r>
        <w:rPr>
          <w:rFonts w:ascii="Calibri" w:hAnsi="Calibri"/>
          <w:b w:val="0"/>
          <w:i w:val="0"/>
          <w:color w:val="000000"/>
          <w:sz w:val="19"/>
        </w:rPr>
        <w:t>tbl_member_event_cost</w:t>
      </w:r>
    </w:p>
    <w:p>
      <w:pPr>
        <w:spacing w:after="40" w:line="276" w:lineRule="auto"/>
      </w:pPr>
      <w:r>
        <w:rPr>
          <w:rFonts w:ascii="Calibri" w:hAnsi="Calibri"/>
          <w:b/>
          <w:i w:val="0"/>
          <w:color w:val="1F4D78"/>
          <w:sz w:val="19"/>
        </w:rPr>
        <w:t xml:space="preserve">Business objective: </w:t>
      </w:r>
      <w:r>
        <w:rPr>
          <w:rFonts w:ascii="Calibri" w:hAnsi="Calibri"/>
          <w:b w:val="0"/>
          <w:i w:val="0"/>
          <w:color w:val="000000"/>
          <w:sz w:val="19"/>
        </w:rPr>
        <w:t>Create standardized Silver inpatient and outpatient event tables for downstream utilization and cost analytics.</w:t>
      </w:r>
    </w:p>
    <w:p>
      <w:pPr>
        <w:spacing w:before="80" w:after="0"/>
        <w:ind w:left="115" w:right="115"/>
        <w:shd w:fill="FFF6DF"/>
        <w:pBdr>
          <w:top w:val="single" w:sz="6" w:space="4" w:color="D7A600"/>
        </w:pBdr>
      </w:pPr>
      <w:r>
        <w:rPr>
          <w:rFonts w:ascii="Calibri" w:hAnsi="Calibri"/>
          <w:b/>
          <w:i w:val="0"/>
          <w:color w:val="1F4D78"/>
          <w:sz w:val="19"/>
        </w:rPr>
        <w:t>Prompt</w:t>
      </w:r>
    </w:p>
    <w:p>
      <w:pPr>
        <w:spacing w:before="0" w:after="80" w:line="288" w:lineRule="auto"/>
        <w:ind w:left="115" w:right="115"/>
        <w:shd w:fill="FFF6DF"/>
        <w:pBdr>
          <w:bottom w:val="single" w:sz="6" w:space="4" w:color="D7A600"/>
        </w:pBdr>
      </w:pPr>
      <w:r>
        <w:rPr>
          <w:rFonts w:ascii="Calibri" w:hAnsi="Calibri"/>
          <w:b w:val="0"/>
          <w:i w:val="0"/>
          <w:color w:val="000000"/>
          <w:sz w:val="19"/>
        </w:rPr>
        <w:t>Using the supplied MemberDNA Bronze-to-Silver data dictionary, actual Bronze schemas/DDL, source profiles, and approved reference tables, design and generate the Bronze-to-Silver pipeline for the Member Event Cost domain. Use the BIS inpatient and outpatient Bronze sources. Establish source grain (admission/event/member period), parse dates and amounts, retain source-provided NYU classifications and readmission indicators, and prevent accidental aggregation or loss of members occurring in one event source only. Produce the Bronze and Silver table designs, transformation logic, complete STTM, reconciliation tests, and a clearly labeled list of assumptions or gaps needing business approval.</w:t>
      </w:r>
    </w:p>
    <w:p>
      <w:pPr>
        <w:spacing w:after="60"/>
      </w:pPr>
    </w:p>
    <w:p>
      <w:pPr>
        <w:pStyle w:val="Heading2"/>
        <w:keepNext/>
      </w:pPr>
      <w:r>
        <w:rPr>
          <w:rFonts w:ascii="Calibri" w:hAnsi="Calibri"/>
          <w:b/>
          <w:i w:val="0"/>
          <w:color w:val="2E74B5"/>
          <w:sz w:val="26"/>
        </w:rPr>
        <w:t>4. Clinical Conditions and Risk Scores</w:t>
      </w:r>
    </w:p>
    <w:p>
      <w:pPr>
        <w:spacing w:after="40" w:line="276" w:lineRule="auto"/>
      </w:pPr>
      <w:r>
        <w:rPr>
          <w:rFonts w:ascii="Calibri" w:hAnsi="Calibri"/>
          <w:b/>
          <w:i w:val="0"/>
          <w:color w:val="1F4D78"/>
          <w:sz w:val="19"/>
        </w:rPr>
        <w:t xml:space="preserve">Target downstream Gold table: </w:t>
      </w:r>
      <w:r>
        <w:rPr>
          <w:rFonts w:ascii="Calibri" w:hAnsi="Calibri"/>
          <w:b w:val="0"/>
          <w:i w:val="0"/>
          <w:color w:val="000000"/>
          <w:sz w:val="19"/>
        </w:rPr>
        <w:t>tbl_member_clinicalcondition_and_riskscores</w:t>
      </w:r>
    </w:p>
    <w:p>
      <w:pPr>
        <w:spacing w:after="40" w:line="276" w:lineRule="auto"/>
      </w:pPr>
      <w:r>
        <w:rPr>
          <w:rFonts w:ascii="Calibri" w:hAnsi="Calibri"/>
          <w:b/>
          <w:i w:val="0"/>
          <w:color w:val="1F4D78"/>
          <w:sz w:val="19"/>
        </w:rPr>
        <w:t xml:space="preserve">Business objective: </w:t>
      </w:r>
      <w:r>
        <w:rPr>
          <w:rFonts w:ascii="Calibri" w:hAnsi="Calibri"/>
          <w:b w:val="0"/>
          <w:i w:val="0"/>
          <w:color w:val="000000"/>
          <w:sz w:val="19"/>
        </w:rPr>
        <w:t>Create standardized Silver DxCG clinical-condition, risk-score, and diagnosis-based risk-factor tables that preserve the vendor-provided meaning of condition flags and risk measures.</w:t>
      </w:r>
    </w:p>
    <w:p>
      <w:pPr>
        <w:spacing w:before="80" w:after="0"/>
        <w:ind w:left="115" w:right="115"/>
        <w:shd w:fill="FFF6DF"/>
        <w:pBdr>
          <w:top w:val="single" w:sz="6" w:space="4" w:color="D7A600"/>
        </w:pBdr>
      </w:pPr>
      <w:r>
        <w:rPr>
          <w:rFonts w:ascii="Calibri" w:hAnsi="Calibri"/>
          <w:b/>
          <w:i w:val="0"/>
          <w:color w:val="1F4D78"/>
          <w:sz w:val="19"/>
        </w:rPr>
        <w:t>Prompt</w:t>
      </w:r>
    </w:p>
    <w:p>
      <w:pPr>
        <w:spacing w:before="0" w:after="80" w:line="288" w:lineRule="auto"/>
        <w:ind w:left="115" w:right="115"/>
        <w:shd w:fill="FFF6DF"/>
        <w:pBdr>
          <w:bottom w:val="single" w:sz="6" w:space="4" w:color="D7A600"/>
        </w:pBdr>
      </w:pPr>
      <w:r>
        <w:rPr>
          <w:rFonts w:ascii="Calibri" w:hAnsi="Calibri"/>
          <w:b w:val="0"/>
          <w:i w:val="0"/>
          <w:color w:val="000000"/>
          <w:sz w:val="19"/>
        </w:rPr>
        <w:t>Using the supplied MemberDNA Bronze-to-Silver data dictionary, actual Bronze schemas/DDL, source profiles, and approved reference tables, design and generate the Bronze-to-Silver pipeline for the Clinical Conditions and Risk Scores domain. Use the three clinical Bronze sources. Preserve ACHCC category identifiers and all published risk measures; validate whether each source is member-level or has an additional model/period dimension; do not infer medication-adherence calculations from these sources. Document any period, model-version, or category crosswalk needed downstream. Produce the Bronze and Silver table designs, transformation logic, complete STTM, reconciliation tests, and a clearly labeled list of assumptions or gaps needing business approval.</w:t>
      </w:r>
    </w:p>
    <w:p>
      <w:pPr>
        <w:spacing w:after="60"/>
      </w:pPr>
    </w:p>
    <w:p>
      <w:pPr>
        <w:pStyle w:val="Heading2"/>
        <w:keepNext/>
      </w:pPr>
      <w:r>
        <w:rPr>
          <w:rFonts w:ascii="Calibri" w:hAnsi="Calibri"/>
          <w:b/>
          <w:i w:val="0"/>
          <w:color w:val="2E74B5"/>
          <w:sz w:val="26"/>
        </w:rPr>
        <w:t>5. Financials and Claims</w:t>
      </w:r>
    </w:p>
    <w:p>
      <w:pPr>
        <w:spacing w:after="40" w:line="276" w:lineRule="auto"/>
      </w:pPr>
      <w:r>
        <w:rPr>
          <w:rFonts w:ascii="Calibri" w:hAnsi="Calibri"/>
          <w:b/>
          <w:i w:val="0"/>
          <w:color w:val="1F4D78"/>
          <w:sz w:val="19"/>
        </w:rPr>
        <w:t xml:space="preserve">Target downstream Gold table: </w:t>
      </w:r>
      <w:r>
        <w:rPr>
          <w:rFonts w:ascii="Calibri" w:hAnsi="Calibri"/>
          <w:b w:val="0"/>
          <w:i w:val="0"/>
          <w:color w:val="000000"/>
          <w:sz w:val="19"/>
        </w:rPr>
        <w:t>tbl_member_bis_financials_and_claims</w:t>
      </w:r>
    </w:p>
    <w:p>
      <w:pPr>
        <w:spacing w:after="40" w:line="276" w:lineRule="auto"/>
      </w:pPr>
      <w:r>
        <w:rPr>
          <w:rFonts w:ascii="Calibri" w:hAnsi="Calibri"/>
          <w:b/>
          <w:i w:val="0"/>
          <w:color w:val="1F4D78"/>
          <w:sz w:val="19"/>
        </w:rPr>
        <w:t xml:space="preserve">Business objective: </w:t>
      </w:r>
      <w:r>
        <w:rPr>
          <w:rFonts w:ascii="Calibri" w:hAnsi="Calibri"/>
          <w:b w:val="0"/>
          <w:i w:val="0"/>
          <w:color w:val="000000"/>
          <w:sz w:val="19"/>
        </w:rPr>
        <w:t>Create standardized Silver medical-cost, pharmacy-summary, and pharmacy fill-detail tables for financial, utilization, and medication-adherence analytics.</w:t>
      </w:r>
    </w:p>
    <w:p>
      <w:pPr>
        <w:spacing w:before="80" w:after="0"/>
        <w:ind w:left="115" w:right="115"/>
        <w:shd w:fill="FFF6DF"/>
        <w:pBdr>
          <w:top w:val="single" w:sz="6" w:space="4" w:color="D7A600"/>
        </w:pBdr>
      </w:pPr>
      <w:r>
        <w:rPr>
          <w:rFonts w:ascii="Calibri" w:hAnsi="Calibri"/>
          <w:b/>
          <w:i w:val="0"/>
          <w:color w:val="1F4D78"/>
          <w:sz w:val="19"/>
        </w:rPr>
        <w:t>Prompt</w:t>
      </w:r>
    </w:p>
    <w:p>
      <w:pPr>
        <w:spacing w:before="0" w:after="80" w:line="288" w:lineRule="auto"/>
        <w:ind w:left="115" w:right="115"/>
        <w:shd w:fill="FFF6DF"/>
        <w:pBdr>
          <w:bottom w:val="single" w:sz="6" w:space="4" w:color="D7A600"/>
        </w:pBdr>
      </w:pPr>
      <w:r>
        <w:rPr>
          <w:rFonts w:ascii="Calibri" w:hAnsi="Calibri"/>
          <w:b w:val="0"/>
          <w:i w:val="0"/>
          <w:color w:val="000000"/>
          <w:sz w:val="19"/>
        </w:rPr>
        <w:t>Using the supplied MemberDNA Bronze-to-Silver data dictionary, actual Bronze schemas/DDL, source profiles, and approved reference tables, design and generate the Bronze-to-Silver pipeline for the Financials and Claims domain. Use the three financial Bronze sources. Preserve source-provided totals, PMPM values, and percentages; parse fills and days supply without recalculating PDC unless a measurement period, drug-class criteria, overlap rule, and denominator are documented. Keep fill-level detail distinct from aggregated member summaries. Produce the Bronze and Silver table designs, transformation logic, complete STTM, reconciliation tests, and a clearly labeled list of assumptions or gaps needing business approval.</w:t>
      </w:r>
    </w:p>
    <w:p>
      <w:pPr>
        <w:spacing w:after="60"/>
      </w:pPr>
    </w:p>
    <w:p>
      <w:pPr>
        <w:pStyle w:val="Heading2"/>
        <w:keepNext/>
      </w:pPr>
      <w:r>
        <w:rPr>
          <w:rFonts w:ascii="Calibri" w:hAnsi="Calibri"/>
          <w:b/>
          <w:i w:val="0"/>
          <w:color w:val="2E74B5"/>
          <w:sz w:val="26"/>
        </w:rPr>
        <w:t>Recommended Input Package for the AI</w:t>
      </w:r>
    </w:p>
    <w:p>
      <w:pPr>
        <w:spacing w:before="0" w:after="120" w:line="300" w:lineRule="auto"/>
      </w:pPr>
      <w:r>
        <w:rPr>
          <w:rFonts w:ascii="Calibri" w:hAnsi="Calibri"/>
          <w:b w:val="0"/>
          <w:i w:val="0"/>
          <w:color w:val="000000"/>
          <w:sz w:val="21"/>
        </w:rPr>
        <w:t>Provide this document; actual raw source DDL or API/file schemas; representative payloads including edge cases; source data-quality profile; CDC/snapshot and extract-cadence rules; intended SQL platform; approved MEMBER_ID/entity crosswalks; geographic reference lookups; code-set/value mappings; and approved privacy/access controls. This enables an implementable STTM while keeping unresolved data-contract questions visible.</w:t>
      </w:r>
    </w:p>
    <w:p>
      <w:r>
        <w:br w:type="page"/>
      </w:r>
    </w:p>
    <w:p>
      <w:pPr>
        <w:pStyle w:val="Heading1"/>
        <w:keepNext/>
      </w:pPr>
      <w:r>
        <w:rPr>
          <w:rFonts w:ascii="Calibri" w:hAnsi="Calibri"/>
          <w:b/>
          <w:i w:val="0"/>
          <w:color w:val="2E74B5"/>
          <w:sz w:val="32"/>
        </w:rPr>
        <w:t>Part III. Downstream Consistency Validation</w:t>
      </w:r>
    </w:p>
    <w:p>
      <w:pPr>
        <w:spacing w:before="0" w:after="120" w:line="300" w:lineRule="auto"/>
      </w:pPr>
      <w:r>
        <w:rPr>
          <w:rFonts w:ascii="Calibri" w:hAnsi="Calibri"/>
          <w:b w:val="0"/>
          <w:i w:val="0"/>
          <w:color w:val="000000"/>
          <w:sz w:val="21"/>
        </w:rPr>
        <w:t>The following checks compare the created Bronze-to-Silver contract against the supplied Silver-to-Gold data dictionary and Gold-layer prompt guide. They validate documented lineage and surface gaps; they do not assert that a source system has fields not provided in the source materials.</w:t>
      </w:r>
    </w:p>
    <w:tbl>
      <w:tblPr>
        <w:tblStyle w:val="TableGrid"/>
        <w:tblW w:type="dxa" w:w="9360"/>
        <w:jc w:val="left"/>
        <w:tblLayout w:type="fixed"/>
        <w:tblLook w:firstColumn="1" w:firstRow="1" w:lastColumn="0" w:lastRow="0" w:noHBand="0" w:noVBand="1" w:val="04A0"/>
        <w:tblInd w:w="120" w:type="dxa"/>
      </w:tblPr>
      <w:tblGrid>
        <w:gridCol w:w="2180"/>
        <w:gridCol w:w="1200"/>
        <w:gridCol w:w="5980"/>
      </w:tblGrid>
      <w:tr>
        <w:trPr>
          <w:tblHeader w:val="true"/>
        </w:trPr>
        <w:tc>
          <w:tcPr>
            <w:tcW w:type="dxa" w:w="218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6"/>
              </w:rPr>
              <w:t>Validation area</w:t>
            </w:r>
          </w:p>
        </w:tc>
        <w:tc>
          <w:tcPr>
            <w:tcW w:type="dxa" w:w="12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6"/>
              </w:rPr>
              <w:t>Result</w:t>
            </w:r>
          </w:p>
        </w:tc>
        <w:tc>
          <w:tcPr>
            <w:tcW w:type="dxa" w:w="598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6"/>
              </w:rPr>
              <w:t>Evidence / action</w:t>
            </w:r>
          </w:p>
        </w:tc>
      </w:tr>
      <w:tr>
        <w:tc>
          <w:tcPr>
            <w:tcW w:type="dxa" w:w="21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Silver input inventory</w:t>
            </w:r>
          </w:p>
        </w:tc>
        <w:tc>
          <w:tcPr>
            <w:tcW w:type="dxa" w:w="12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PASS</w:t>
            </w:r>
          </w:p>
        </w:tc>
        <w:tc>
          <w:tcPr>
            <w:tcW w:type="dxa" w:w="59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All 14 documented Silver inputs are represented by a proposed Bronze landing table and complete downstream field-coverage dictionary.</w:t>
            </w:r>
          </w:p>
        </w:tc>
      </w:tr>
      <w:tr>
        <w:tc>
          <w:tcPr>
            <w:tcW w:type="dxa" w:w="21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Domain-to-Gold lineage</w:t>
            </w:r>
          </w:p>
        </w:tc>
        <w:tc>
          <w:tcPr>
            <w:tcW w:type="dxa" w:w="12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PASS</w:t>
            </w:r>
          </w:p>
        </w:tc>
        <w:tc>
          <w:tcPr>
            <w:tcW w:type="dxa" w:w="59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Five domains align to the five Gold outputs: scaffold, SDOH, event cost, clinical conditions/risk scores, and financials/claims.</w:t>
            </w:r>
          </w:p>
        </w:tc>
      </w:tr>
      <w:tr>
        <w:tc>
          <w:tcPr>
            <w:tcW w:type="dxa" w:w="21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Gold join convention</w:t>
            </w:r>
          </w:p>
        </w:tc>
        <w:tc>
          <w:tcPr>
            <w:tcW w:type="dxa" w:w="12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CONDITIONAL</w:t>
            </w:r>
          </w:p>
        </w:tc>
        <w:tc>
          <w:tcPr>
            <w:tcW w:type="dxa" w:w="59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The supplied Gold document states that Gold tables join on MEMBER_ID. Bronze must preserve source member identifiers; Reltio requires an approved ENTITY_ID-to-MEMBER_ID crosswalk.</w:t>
            </w:r>
          </w:p>
        </w:tc>
      </w:tr>
      <w:tr>
        <w:tc>
          <w:tcPr>
            <w:tcW w:type="dxa" w:w="21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Clinical medication adherence</w:t>
            </w:r>
          </w:p>
        </w:tc>
        <w:tc>
          <w:tcPr>
            <w:tcW w:type="dxa" w:w="12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CONDITIONAL</w:t>
            </w:r>
          </w:p>
        </w:tc>
        <w:tc>
          <w:tcPr>
            <w:tcW w:type="dxa" w:w="59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Gold clinical output lists PDC/adherence fields, but the clinical-source prompt says to include them only when source, period, drug-class criteria, and calculation are established. The financial PDC fill source is the likely input, but the dependency and calculation contract require approval.</w:t>
            </w:r>
          </w:p>
        </w:tc>
      </w:tr>
      <w:tr>
        <w:tc>
          <w:tcPr>
            <w:tcW w:type="dxa" w:w="21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Member scaffold enrichment</w:t>
            </w:r>
          </w:p>
        </w:tc>
        <w:tc>
          <w:tcPr>
            <w:tcW w:type="dxa" w:w="12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CONDITIONAL</w:t>
            </w:r>
          </w:p>
        </w:tc>
        <w:tc>
          <w:tcPr>
            <w:tcW w:type="dxa" w:w="59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Gold scaffold lists RE_MAX, targeted care-management, and prenatal-program indicators. RE_MAX is documented in the SDOH source rather than the four stated scaffold inputs; targeted/prenatal indicators are not documented in the supplied Silver dictionaries. Confirm source/lineage before implementation.</w:t>
            </w:r>
          </w:p>
        </w:tc>
      </w:tr>
      <w:tr>
        <w:tc>
          <w:tcPr>
            <w:tcW w:type="dxa" w:w="21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Event-cost ACO attributes</w:t>
            </w:r>
          </w:p>
        </w:tc>
        <w:tc>
          <w:tcPr>
            <w:tcW w:type="dxa" w:w="12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CONDITIONAL</w:t>
            </w:r>
          </w:p>
        </w:tc>
        <w:tc>
          <w:tcPr>
            <w:tcW w:type="dxa" w:w="59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Gold event-cost lists ACO_NAME and ACO_PARTICIPATION_IND, while the published inpatient/outpatient Silver dictionaries do not list these attributes. Confirm the source and mapping or remove them from the Gold contract.</w:t>
            </w:r>
          </w:p>
        </w:tc>
      </w:tr>
      <w:tr>
        <w:tc>
          <w:tcPr>
            <w:tcW w:type="dxa" w:w="21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Source-native mapping</w:t>
            </w:r>
          </w:p>
        </w:tc>
        <w:tc>
          <w:tcPr>
            <w:tcW w:type="dxa" w:w="120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OPEN</w:t>
            </w:r>
          </w:p>
        </w:tc>
        <w:tc>
          <w:tcPr>
            <w:tcW w:type="dxa" w:w="5980"/>
            <w:tcMar>
              <w:top w:w="80" w:type="dxa"/>
              <w:start w:w="120" w:type="dxa"/>
              <w:bottom w:w="80" w:type="dxa"/>
              <w:end w:w="120" w:type="dxa"/>
            </w:tcMar>
            <w:vAlign w:val="top"/>
          </w:tcPr>
          <w:p>
            <w:pPr>
              <w:spacing w:before="0" w:after="0" w:line="252" w:lineRule="auto"/>
            </w:pPr>
            <w:r/>
            <w:r>
              <w:rPr>
                <w:rFonts w:ascii="Calibri" w:hAnsi="Calibri"/>
                <w:b w:val="0"/>
                <w:i w:val="0"/>
                <w:color w:val="000000"/>
                <w:sz w:val="16"/>
              </w:rPr>
              <w:t>No upstream raw DDL, field aliases, file layouts, business keys, cadence, or CDC rules were supplied. The STTM must record these from actual sources; this document intentionally does not invent them.</w:t>
            </w:r>
          </w:p>
        </w:tc>
      </w:tr>
    </w:tbl>
    <w:p>
      <w:pPr>
        <w:spacing w:after="60"/>
      </w:pPr>
    </w:p>
    <w:p>
      <w:pPr>
        <w:pStyle w:val="Heading2"/>
        <w:keepNext/>
      </w:pPr>
      <w:r>
        <w:rPr>
          <w:rFonts w:ascii="Calibri" w:hAnsi="Calibri"/>
          <w:b/>
          <w:i w:val="0"/>
          <w:color w:val="2E74B5"/>
          <w:sz w:val="26"/>
        </w:rPr>
        <w:t>Production Readiness Gate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7"/>
              </w:rPr>
              <w:t>Gate</w:t>
            </w:r>
          </w:p>
        </w:tc>
        <w:tc>
          <w:tcPr>
            <w:tcW w:type="dxa" w:w="6860"/>
            <w:shd w:fill="E8EEF5"/>
            <w:tcMar>
              <w:top w:w="80" w:type="dxa"/>
              <w:start w:w="120" w:type="dxa"/>
              <w:bottom w:w="80" w:type="dxa"/>
              <w:end w:w="120" w:type="dxa"/>
            </w:tcMar>
            <w:vAlign w:val="top"/>
          </w:tcPr>
          <w:p>
            <w:pPr>
              <w:spacing w:before="0" w:after="0" w:line="252" w:lineRule="auto"/>
            </w:pPr>
            <w:r/>
            <w:r>
              <w:rPr>
                <w:rFonts w:ascii="Calibri" w:hAnsi="Calibri"/>
                <w:b/>
                <w:i w:val="0"/>
                <w:color w:val="1F4D78"/>
                <w:sz w:val="17"/>
              </w:rPr>
              <w:t>Required approval or evidence</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Source contract</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Signed source DDL/schema, extract cadence, delivery/SLA, CDC or snapshot semantics, and source owner for each Bronze table.</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Key and grain</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Confirmed natural/business key, grain, effective-date behavior, duplicate treatment, and member/entity crosswalk policy.</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Field-level STTM</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Native source field/alias identified for every Silver target; transformations, parsing, default values, and rejected-record behavior approved.</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Quality and reconciliation</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Thresholds for row counts, duplicates, nulls, date/amount ranges, code sets, quarantine volume, and member/geography linkage coverage approved.</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Privacy and governance</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PII/PHI classification, access model, masking, encryption, retention, lineage/catalog registration, and audit requirements approved.</w:t>
            </w:r>
          </w:p>
        </w:tc>
      </w:tr>
      <w:tr>
        <w:tc>
          <w:tcPr>
            <w:tcW w:type="dxa" w:w="250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Gold contract resolution</w:t>
            </w:r>
          </w:p>
        </w:tc>
        <w:tc>
          <w:tcPr>
            <w:tcW w:type="dxa" w:w="6860"/>
            <w:tcMar>
              <w:top w:w="80" w:type="dxa"/>
              <w:start w:w="120" w:type="dxa"/>
              <w:bottom w:w="80" w:type="dxa"/>
              <w:end w:w="120" w:type="dxa"/>
            </w:tcMar>
            <w:vAlign w:val="top"/>
          </w:tcPr>
          <w:p>
            <w:pPr>
              <w:spacing w:before="0" w:after="0" w:line="252" w:lineRule="auto"/>
            </w:pPr>
            <w:r/>
            <w:r>
              <w:rPr>
                <w:rFonts w:ascii="Calibri" w:hAnsi="Calibri"/>
                <w:b w:val="0"/>
                <w:i w:val="0"/>
                <w:color w:val="000000"/>
                <w:sz w:val="17"/>
              </w:rPr>
              <w:t>Conditional validation items in this document have an approved source/mapping or a documented Gold-contract revision.</w:t>
            </w:r>
          </w:p>
        </w:tc>
      </w:tr>
    </w:tbl>
    <w:p>
      <w:pPr>
        <w:spacing w:after="60"/>
      </w:pPr>
    </w:p>
    <w:p>
      <w:pPr>
        <w:spacing w:before="80" w:after="0"/>
        <w:ind w:left="115" w:right="115"/>
        <w:shd w:fill="FFF6DF"/>
        <w:pBdr>
          <w:top w:val="single" w:sz="6" w:space="4" w:color="D7A600"/>
        </w:pBdr>
      </w:pPr>
      <w:r>
        <w:rPr>
          <w:rFonts w:ascii="Calibri" w:hAnsi="Calibri"/>
          <w:b/>
          <w:i w:val="0"/>
          <w:color w:val="1F4D78"/>
          <w:sz w:val="19"/>
        </w:rPr>
        <w:t>Implementation conclusion</w:t>
      </w:r>
    </w:p>
    <w:p>
      <w:pPr>
        <w:spacing w:before="0" w:after="80" w:line="288" w:lineRule="auto"/>
        <w:ind w:left="115" w:right="115"/>
        <w:shd w:fill="FFF6DF"/>
        <w:pBdr>
          <w:bottom w:val="single" w:sz="6" w:space="4" w:color="D7A600"/>
        </w:pBdr>
      </w:pPr>
      <w:r>
        <w:rPr>
          <w:rFonts w:ascii="Calibri" w:hAnsi="Calibri"/>
          <w:b w:val="0"/>
          <w:i w:val="0"/>
          <w:color w:val="000000"/>
          <w:sz w:val="19"/>
        </w:rPr>
        <w:t>The Bronze design is complete as a safe raw-ingestion and lineage contract, and it covers every published Silver field needed by the downstream architecture. It becomes an executable source-to-target mapping only when the organization supplies and approves the source-native data contracts called out above.</w:t>
      </w:r>
    </w:p>
    <w:p>
      <w:pPr>
        <w:spacing w:after="6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B6573"/>
        <w:sz w:val="16"/>
      </w:rPr>
      <w:t xml:space="preserve">Controlled technical reference | </w:t>
    </w:r>
    <w:r>
      <w:rPr>
        <w:rFonts w:ascii="Calibri" w:hAnsi="Calibri"/>
        <w:b w:val="0"/>
        <w:i w:val="0"/>
        <w:color w:val="5B6573"/>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5B6573"/>
        <w:sz w:val="16"/>
      </w:rPr>
      <w:t>MEMBER DNA | BRONZE-TO-SILVER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MemberDNA Bronze-to-Silver Data Dictionary and Prompt Guide</dc:title>
  <dc:subject>Bronze landing, Silver standardization, STTM prompt guide, and downstream consistency validation</dc:subject>
  <dc:creator>Member DNA Program</dc:creator>
  <cp:keywords>MemberDNA, Bronze, Silver, Gold, data dictionary, STTM</cp:keywords>
  <dc:description>generated by python-docx</dc:description>
  <cp:lastModifiedBy/>
  <cp:revision>1</cp:revision>
  <dcterms:created xsi:type="dcterms:W3CDTF">2013-12-23T23:15:00Z</dcterms:created>
  <dcterms:modified xsi:type="dcterms:W3CDTF">2013-12-23T23:15:00Z</dcterms:modified>
  <cp:category/>
</cp:coreProperties>
</file>