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4736" w14:textId="77777777" w:rsidR="00071CB5" w:rsidRPr="00071CB5" w:rsidRDefault="00071CB5" w:rsidP="00071CB5">
      <w:r w:rsidRPr="00071CB5">
        <w:rPr>
          <w:b/>
          <w:bCs/>
        </w:rPr>
        <w:t>PROVIDER CONTRACT INTELLIGENCE PLATFORM (PCIP)</w:t>
      </w:r>
    </w:p>
    <w:p w14:paraId="6F6CC85E" w14:textId="77777777" w:rsidR="00071CB5" w:rsidRPr="00071CB5" w:rsidRDefault="00071CB5" w:rsidP="00071CB5">
      <w:r w:rsidRPr="00071CB5">
        <w:rPr>
          <w:b/>
          <w:bCs/>
        </w:rPr>
        <w:t>Individual Recognition — Anukul Dixit</w:t>
      </w:r>
    </w:p>
    <w:p w14:paraId="3B4FB1C3" w14:textId="77777777" w:rsidR="00071CB5" w:rsidRPr="00071CB5" w:rsidRDefault="00071CB5" w:rsidP="00071CB5">
      <w:r w:rsidRPr="00071CB5">
        <w:rPr>
          <w:i/>
          <w:iCs/>
        </w:rPr>
        <w:t>Blue Shield of California — Health Plan Operations / Provider Contracts</w:t>
      </w:r>
    </w:p>
    <w:p w14:paraId="7B636A2A" w14:textId="77777777" w:rsidR="00071CB5" w:rsidRPr="00071CB5" w:rsidRDefault="00071CB5" w:rsidP="00071CB5">
      <w:r w:rsidRPr="00071CB5">
        <w:t>June 2026</w:t>
      </w:r>
    </w:p>
    <w:p w14:paraId="2FECD5C7" w14:textId="77777777" w:rsidR="00071CB5" w:rsidRPr="00071CB5" w:rsidRDefault="00071CB5" w:rsidP="00071CB5"/>
    <w:p w14:paraId="2BD20B56" w14:textId="77777777" w:rsidR="00071CB5" w:rsidRPr="00071CB5" w:rsidRDefault="00071CB5" w:rsidP="00071CB5">
      <w:r w:rsidRPr="00071CB5">
        <w:t>————————————————————————————————————————</w:t>
      </w:r>
    </w:p>
    <w:p w14:paraId="3409A621" w14:textId="77777777" w:rsidR="00071CB5" w:rsidRPr="00071CB5" w:rsidRDefault="00071CB5" w:rsidP="00071CB5"/>
    <w:p w14:paraId="71370931" w14:textId="77777777" w:rsidR="00071CB5" w:rsidRPr="00071CB5" w:rsidRDefault="00071CB5" w:rsidP="00071CB5">
      <w:r w:rsidRPr="00071CB5">
        <w:rPr>
          <w:b/>
          <w:bCs/>
        </w:rPr>
        <w:t>To:</w:t>
      </w:r>
      <w:r w:rsidRPr="00071CB5">
        <w:t xml:space="preserve"> LatentView Leadership</w:t>
      </w:r>
    </w:p>
    <w:p w14:paraId="67688865" w14:textId="77777777" w:rsidR="00071CB5" w:rsidRPr="00071CB5" w:rsidRDefault="00071CB5" w:rsidP="00071CB5">
      <w:r w:rsidRPr="00071CB5">
        <w:rPr>
          <w:b/>
          <w:bCs/>
        </w:rPr>
        <w:t>From:</w:t>
      </w:r>
      <w:r w:rsidRPr="00071CB5">
        <w:t xml:space="preserve"> [BSC Leader Name], [Title], Blue Shield of California</w:t>
      </w:r>
    </w:p>
    <w:p w14:paraId="3045849A" w14:textId="77777777" w:rsidR="00071CB5" w:rsidRPr="00071CB5" w:rsidRDefault="00071CB5" w:rsidP="00071CB5">
      <w:r w:rsidRPr="00071CB5">
        <w:rPr>
          <w:b/>
          <w:bCs/>
        </w:rPr>
        <w:t>Subject:</w:t>
      </w:r>
      <w:r w:rsidRPr="00071CB5">
        <w:t xml:space="preserve"> Individual Recognition — Anukul Dixit | Provider Contract Intelligence Platform (PCIP)</w:t>
      </w:r>
    </w:p>
    <w:p w14:paraId="75FCCFB9" w14:textId="77777777" w:rsidR="00071CB5" w:rsidRPr="00071CB5" w:rsidRDefault="00071CB5" w:rsidP="00071CB5"/>
    <w:p w14:paraId="7EB9ECDB" w14:textId="77777777" w:rsidR="00071CB5" w:rsidRPr="00071CB5" w:rsidRDefault="00071CB5" w:rsidP="00071CB5">
      <w:r w:rsidRPr="00071CB5">
        <w:t>Dear LatentView Leadership,</w:t>
      </w:r>
    </w:p>
    <w:p w14:paraId="3DC0891E" w14:textId="77777777" w:rsidR="00071CB5" w:rsidRPr="00071CB5" w:rsidRDefault="00071CB5" w:rsidP="00071CB5"/>
    <w:p w14:paraId="1E590B9B" w14:textId="77777777" w:rsidR="00071CB5" w:rsidRPr="00071CB5" w:rsidRDefault="00071CB5" w:rsidP="00071CB5">
      <w:r w:rsidRPr="00071CB5">
        <w:t>I am writing to formally recognize Anukul Dixit for his exceptional contributions to the Provider Contract Intelligence Platform (PCIP) initiative at Blue Shield of California. This note is intended to put on record both the scope of what was delivered and the quality of the individual behind it.</w:t>
      </w:r>
    </w:p>
    <w:p w14:paraId="591F0CA1" w14:textId="77777777" w:rsidR="00071CB5" w:rsidRPr="00071CB5" w:rsidRDefault="00071CB5" w:rsidP="00071CB5"/>
    <w:p w14:paraId="173455BB" w14:textId="77777777" w:rsidR="00071CB5" w:rsidRPr="00071CB5" w:rsidRDefault="00071CB5" w:rsidP="00071CB5">
      <w:r w:rsidRPr="00071CB5">
        <w:rPr>
          <w:b/>
          <w:bCs/>
        </w:rPr>
        <w:t>The Problem</w:t>
      </w:r>
    </w:p>
    <w:p w14:paraId="4DC9A739" w14:textId="77777777" w:rsidR="00071CB5" w:rsidRPr="00071CB5" w:rsidRDefault="00071CB5" w:rsidP="00071CB5">
      <w:r w:rsidRPr="00071CB5">
        <w:t>————————————————————————————————————————</w:t>
      </w:r>
    </w:p>
    <w:p w14:paraId="4C2109B4" w14:textId="77777777" w:rsidR="00071CB5" w:rsidRPr="00071CB5" w:rsidRDefault="00071CB5" w:rsidP="00071CB5"/>
    <w:p w14:paraId="2A7E099F" w14:textId="77777777" w:rsidR="00071CB5" w:rsidRPr="00071CB5" w:rsidRDefault="00071CB5" w:rsidP="00071CB5">
      <w:r w:rsidRPr="00071CB5">
        <w:t xml:space="preserve">BSC manages contracts with hundreds </w:t>
      </w:r>
      <w:proofErr w:type="gramStart"/>
      <w:r w:rsidRPr="00071CB5">
        <w:t>of provider</w:t>
      </w:r>
      <w:proofErr w:type="gramEnd"/>
      <w:r w:rsidRPr="00071CB5">
        <w:t xml:space="preserve"> facilities. Those contracts existed as more than 10,000 PDF files — base agreements, amendments, cover memos, and settlements spanning many document types. With nearly 5,000 amendments in the portfolio, amendment chains ran as deep as 21 layers. There was no structured rate data, no consolidated provider view, no reliable audit trail, and no way to benchmark reimbursement structures across providers or programs. A previous engagement with </w:t>
      </w:r>
      <w:r w:rsidRPr="00071CB5">
        <w:lastRenderedPageBreak/>
        <w:t>another vendor had not produced the required outcome. We brought this problem to LatentView after that prior effort fell short.</w:t>
      </w:r>
    </w:p>
    <w:p w14:paraId="4043DA53" w14:textId="77777777" w:rsidR="00071CB5" w:rsidRPr="00071CB5" w:rsidRDefault="00071CB5" w:rsidP="00071CB5"/>
    <w:p w14:paraId="061B7986" w14:textId="77777777" w:rsidR="00071CB5" w:rsidRPr="00071CB5" w:rsidRDefault="00071CB5" w:rsidP="00071CB5">
      <w:r w:rsidRPr="00071CB5">
        <w:rPr>
          <w:b/>
          <w:bCs/>
        </w:rPr>
        <w:t>What Anukul Built</w:t>
      </w:r>
    </w:p>
    <w:p w14:paraId="6711B536" w14:textId="77777777" w:rsidR="00071CB5" w:rsidRPr="00071CB5" w:rsidRDefault="00071CB5" w:rsidP="00071CB5">
      <w:r w:rsidRPr="00071CB5">
        <w:t>————————————————————————————————————————</w:t>
      </w:r>
    </w:p>
    <w:p w14:paraId="2D61C6EA" w14:textId="77777777" w:rsidR="00071CB5" w:rsidRPr="00071CB5" w:rsidRDefault="00071CB5" w:rsidP="00071CB5"/>
    <w:p w14:paraId="1B18C0DF" w14:textId="77777777" w:rsidR="00071CB5" w:rsidRPr="00071CB5" w:rsidRDefault="00071CB5" w:rsidP="00071CB5">
      <w:r w:rsidRPr="00071CB5">
        <w:t>Anukul delivered a fully automated, end-to-end data pipeline on Databricks that converts a static contract archive into a governed, amendment-aware data platform. The pipeline discovers, digitizes, codifies, and validates every document in the corpus and produces interconnected data assets that now serve as BSC’s operational foundation for contract intelligence.</w:t>
      </w:r>
    </w:p>
    <w:p w14:paraId="1FABF7E4" w14:textId="77777777" w:rsidR="00071CB5" w:rsidRPr="00071CB5" w:rsidRDefault="00071CB5" w:rsidP="00071CB5"/>
    <w:p w14:paraId="2351A73E" w14:textId="77777777" w:rsidR="00071CB5" w:rsidRPr="00071CB5" w:rsidRDefault="00071CB5" w:rsidP="00071CB5">
      <w:r w:rsidRPr="00071CB5">
        <w:t>These assets collectively address what was previously a manual, document-by-document research process. They include:</w:t>
      </w:r>
    </w:p>
    <w:p w14:paraId="0E89BEF5" w14:textId="77777777" w:rsidR="00071CB5" w:rsidRPr="00071CB5" w:rsidRDefault="00071CB5" w:rsidP="00071CB5"/>
    <w:p w14:paraId="556F70C7" w14:textId="77777777" w:rsidR="00071CB5" w:rsidRPr="00071CB5" w:rsidRDefault="00071CB5" w:rsidP="00071CB5">
      <w:r w:rsidRPr="00071CB5">
        <w:rPr>
          <w:b/>
          <w:bCs/>
        </w:rPr>
        <w:t>1.</w:t>
      </w:r>
      <w:r w:rsidRPr="00071CB5">
        <w:t xml:space="preserve"> A document master table covering every contract artifact across all provider facilities, with structured fields per document including agreement type, payment model, termination terms, audit rights, liability caps, and renewal structure — each traceable to its source PDF.</w:t>
      </w:r>
    </w:p>
    <w:p w14:paraId="2F466FD7" w14:textId="77777777" w:rsidR="00071CB5" w:rsidRPr="00071CB5" w:rsidRDefault="00071CB5" w:rsidP="00071CB5">
      <w:r w:rsidRPr="00071CB5">
        <w:rPr>
          <w:b/>
          <w:bCs/>
        </w:rPr>
        <w:t>2.</w:t>
      </w:r>
      <w:r w:rsidRPr="00071CB5">
        <w:t xml:space="preserve"> A canonical provider dimension that resolves multiple raw identifiers per facility into a single deduplicated profile, making cross-contract and cross-document analysis possible for the first time.</w:t>
      </w:r>
    </w:p>
    <w:p w14:paraId="3C3D5403" w14:textId="77777777" w:rsidR="00071CB5" w:rsidRPr="00071CB5" w:rsidRDefault="00071CB5" w:rsidP="00071CB5">
      <w:r w:rsidRPr="00071CB5">
        <w:rPr>
          <w:b/>
          <w:bCs/>
        </w:rPr>
        <w:t>3.</w:t>
      </w:r>
      <w:r w:rsidRPr="00071CB5">
        <w:t xml:space="preserve"> A complete rate history with current-effective and superseded rates maintained separately, broken out by rate category, service line, program, and network — enabling benchmarking and negotiation preparation from data that is already structured and ready to query.</w:t>
      </w:r>
    </w:p>
    <w:p w14:paraId="17CCC6D1" w14:textId="77777777" w:rsidR="00071CB5" w:rsidRPr="00071CB5" w:rsidRDefault="00071CB5" w:rsidP="00071CB5">
      <w:r w:rsidRPr="00071CB5">
        <w:rPr>
          <w:b/>
          <w:bCs/>
        </w:rPr>
        <w:t>4.</w:t>
      </w:r>
      <w:r w:rsidRPr="00071CB5">
        <w:t xml:space="preserve"> A financial protections table covering stop-loss thresholds, outlier provisions, and risk corridor terms with numeric thresholds and reimbursement percentages extracted and structured for direct use in financial analysis.</w:t>
      </w:r>
    </w:p>
    <w:p w14:paraId="25F3FD98" w14:textId="77777777" w:rsidR="00071CB5" w:rsidRPr="00071CB5" w:rsidRDefault="00071CB5" w:rsidP="00071CB5">
      <w:r w:rsidRPr="00071CB5">
        <w:rPr>
          <w:b/>
          <w:bCs/>
        </w:rPr>
        <w:t>5.</w:t>
      </w:r>
      <w:r w:rsidRPr="00071CB5">
        <w:t xml:space="preserve"> A clause and terms table preserving the verbatim text of every contract provision, indexed by topic, section, and effective date, with a current-document flag so operational questions draw from the governing version.</w:t>
      </w:r>
    </w:p>
    <w:p w14:paraId="1C547681" w14:textId="77777777" w:rsidR="00071CB5" w:rsidRPr="00071CB5" w:rsidRDefault="00071CB5" w:rsidP="00071CB5">
      <w:r w:rsidRPr="00071CB5">
        <w:rPr>
          <w:b/>
          <w:bCs/>
        </w:rPr>
        <w:lastRenderedPageBreak/>
        <w:t>6.</w:t>
      </w:r>
      <w:r w:rsidRPr="00071CB5">
        <w:t xml:space="preserve"> A medical codes catalogue linking CPT, HCPCS, ICD, and Revenue codes to the reimbursement and clause context in which they were referenced within each contract.</w:t>
      </w:r>
    </w:p>
    <w:p w14:paraId="6F52F4DF" w14:textId="77777777" w:rsidR="00071CB5" w:rsidRPr="00071CB5" w:rsidRDefault="00071CB5" w:rsidP="00071CB5">
      <w:r w:rsidRPr="00071CB5">
        <w:rPr>
          <w:b/>
          <w:bCs/>
        </w:rPr>
        <w:t>7.</w:t>
      </w:r>
      <w:r w:rsidRPr="00071CB5">
        <w:t xml:space="preserve"> A services and quality obligations table covering delegation arrangements, credentialing requirements, DOFR assignments, and program-specific service obligations in structured, </w:t>
      </w:r>
      <w:proofErr w:type="spellStart"/>
      <w:r w:rsidRPr="00071CB5">
        <w:t>queryable</w:t>
      </w:r>
      <w:proofErr w:type="spellEnd"/>
      <w:r w:rsidRPr="00071CB5">
        <w:t xml:space="preserve"> form.</w:t>
      </w:r>
    </w:p>
    <w:p w14:paraId="5C891030" w14:textId="77777777" w:rsidR="00071CB5" w:rsidRPr="00071CB5" w:rsidRDefault="00071CB5" w:rsidP="00071CB5">
      <w:r w:rsidRPr="00071CB5">
        <w:rPr>
          <w:b/>
          <w:bCs/>
        </w:rPr>
        <w:t>8.</w:t>
      </w:r>
      <w:r w:rsidRPr="00071CB5">
        <w:t xml:space="preserve"> A contract registry with computed lifecycle status — Active, Terminated, Expired, or Superseded — per provider relationship, with effective dates, amendment counts, and the latest governing document identified.</w:t>
      </w:r>
    </w:p>
    <w:p w14:paraId="113EE0F9" w14:textId="77777777" w:rsidR="00071CB5" w:rsidRPr="00071CB5" w:rsidRDefault="00071CB5" w:rsidP="00071CB5">
      <w:r w:rsidRPr="00071CB5">
        <w:rPr>
          <w:b/>
          <w:bCs/>
        </w:rPr>
        <w:t>9.</w:t>
      </w:r>
      <w:r w:rsidRPr="00071CB5">
        <w:t xml:space="preserve"> An amendment timeline table showing the full chronological chain for every provider, with structured fields covering what sections were modified, how many prior rates were superseded, and a summary of each amendment’s governing changes — making the version history navigable rather than buried in document stacks.</w:t>
      </w:r>
    </w:p>
    <w:p w14:paraId="34497AA3" w14:textId="77777777" w:rsidR="00071CB5" w:rsidRPr="00071CB5" w:rsidRDefault="00071CB5" w:rsidP="00071CB5">
      <w:r w:rsidRPr="00071CB5">
        <w:rPr>
          <w:b/>
          <w:bCs/>
        </w:rPr>
        <w:t>10.</w:t>
      </w:r>
      <w:r w:rsidRPr="00071CB5">
        <w:t xml:space="preserve"> An extraction confidence dimension per provider recording coverage percentage, tier classification, and serving-layer representation, providing transparent visibility into data completeness across the corpus.</w:t>
      </w:r>
    </w:p>
    <w:p w14:paraId="01F29250" w14:textId="77777777" w:rsidR="00071CB5" w:rsidRPr="00071CB5" w:rsidRDefault="00071CB5" w:rsidP="00071CB5">
      <w:r w:rsidRPr="00071CB5">
        <w:rPr>
          <w:b/>
          <w:bCs/>
        </w:rPr>
        <w:t>11.</w:t>
      </w:r>
      <w:r w:rsidRPr="00071CB5">
        <w:t xml:space="preserve"> A vector search index of 1,361,179 semantic chunks spanning the full contract corpus, enabling precise retrieval of relevant clause language, rate context, and contract terms by meaning rather than keyword — the foundation for any downstream contract question-answering workflow.</w:t>
      </w:r>
    </w:p>
    <w:p w14:paraId="51E3CB65" w14:textId="77777777" w:rsidR="00071CB5" w:rsidRPr="00071CB5" w:rsidRDefault="00071CB5" w:rsidP="00071CB5"/>
    <w:p w14:paraId="2AFED4B6" w14:textId="77777777" w:rsidR="00071CB5" w:rsidRPr="00071CB5" w:rsidRDefault="00071CB5" w:rsidP="00071CB5">
      <w:r w:rsidRPr="00071CB5">
        <w:t>Together, these replace what was a fragmented, time-intensive contract research process with a governed data layer that supports rate benchmarking, renewal preparation, financial risk analysis, and audit response.</w:t>
      </w:r>
    </w:p>
    <w:p w14:paraId="0D330DA2" w14:textId="77777777" w:rsidR="00071CB5" w:rsidRPr="00071CB5" w:rsidRDefault="00071CB5" w:rsidP="00071CB5"/>
    <w:p w14:paraId="7A9EA636" w14:textId="77777777" w:rsidR="00071CB5" w:rsidRPr="00071CB5" w:rsidRDefault="00071CB5" w:rsidP="00071CB5">
      <w:r w:rsidRPr="00071CB5">
        <w:rPr>
          <w:b/>
          <w:bCs/>
        </w:rPr>
        <w:t>What Distinguished Anukul’s Approach</w:t>
      </w:r>
    </w:p>
    <w:p w14:paraId="335B65D2" w14:textId="77777777" w:rsidR="00071CB5" w:rsidRPr="00071CB5" w:rsidRDefault="00071CB5" w:rsidP="00071CB5">
      <w:r w:rsidRPr="00071CB5">
        <w:t>————————————————————————————————————————</w:t>
      </w:r>
    </w:p>
    <w:p w14:paraId="545DFB09" w14:textId="77777777" w:rsidR="00071CB5" w:rsidRPr="00071CB5" w:rsidRDefault="00071CB5" w:rsidP="00071CB5"/>
    <w:p w14:paraId="347468A1" w14:textId="77777777" w:rsidR="00071CB5" w:rsidRPr="00071CB5" w:rsidRDefault="00071CB5" w:rsidP="00071CB5">
      <w:r w:rsidRPr="00071CB5">
        <w:t xml:space="preserve">What stood out throughout the engagement was Anukul’s ability to balance technical innovation with sound engineering judgment. He did not simply build what was asked. He thought carefully about the operational life of the platform: how it would scale, how it would be maintained, and how its </w:t>
      </w:r>
      <w:proofErr w:type="gramStart"/>
      <w:r w:rsidRPr="00071CB5">
        <w:t>outputs</w:t>
      </w:r>
      <w:proofErr w:type="gramEnd"/>
      <w:r w:rsidRPr="00071CB5">
        <w:t xml:space="preserve"> could be trusted. The validation frameworks, enrichment logic, quality audit loops, and extraction confidence scoring embedded in the </w:t>
      </w:r>
      <w:r w:rsidRPr="00071CB5">
        <w:lastRenderedPageBreak/>
        <w:t>platform are a direct result of that mindset. His engineering decisions are what moved this initiative from concept to a working production asset.</w:t>
      </w:r>
    </w:p>
    <w:p w14:paraId="70DEB297" w14:textId="77777777" w:rsidR="00071CB5" w:rsidRPr="00071CB5" w:rsidRDefault="00071CB5" w:rsidP="00071CB5"/>
    <w:p w14:paraId="2A763D59" w14:textId="77777777" w:rsidR="00071CB5" w:rsidRPr="00071CB5" w:rsidRDefault="00071CB5" w:rsidP="00071CB5">
      <w:r w:rsidRPr="00071CB5">
        <w:t>Anukul demonstrated strong ownership across the full scope of the work — from architecture and data modeling through pipeline execution, data quality, and serving layer design. He worked effectively across technical and business contexts, communicated clearly, and took responsibility for the hard problems without needing to be directed toward them. The prior engagement on this initiative had stalled. Anukul’s involvement is the reason it did not.</w:t>
      </w:r>
    </w:p>
    <w:p w14:paraId="151C47CA" w14:textId="77777777" w:rsidR="00071CB5" w:rsidRPr="00071CB5" w:rsidRDefault="00071CB5" w:rsidP="00071CB5"/>
    <w:p w14:paraId="78FADCA8" w14:textId="77777777" w:rsidR="00071CB5" w:rsidRPr="00071CB5" w:rsidRDefault="00071CB5" w:rsidP="00071CB5">
      <w:r w:rsidRPr="00071CB5">
        <w:rPr>
          <w:b/>
          <w:bCs/>
        </w:rPr>
        <w:t>The Savings Case</w:t>
      </w:r>
    </w:p>
    <w:p w14:paraId="4AF015C9" w14:textId="77777777" w:rsidR="00071CB5" w:rsidRPr="00071CB5" w:rsidRDefault="00071CB5" w:rsidP="00071CB5">
      <w:r w:rsidRPr="00071CB5">
        <w:t>————————————————————————————————————————</w:t>
      </w:r>
    </w:p>
    <w:p w14:paraId="7780AA7D" w14:textId="77777777" w:rsidR="00071CB5" w:rsidRPr="00071CB5" w:rsidRDefault="00071CB5" w:rsidP="00071CB5"/>
    <w:p w14:paraId="1E1981E3" w14:textId="77777777" w:rsidR="00071CB5" w:rsidRPr="00071CB5" w:rsidRDefault="00071CB5" w:rsidP="00071CB5">
      <w:r w:rsidRPr="00071CB5">
        <w:t>Against an annual operating cost of approximately $5,200 to $10,400, the platform generates estimated annual savings of $540,000 to over $1 million through reduced contract research time, faster new contract onboarding, and avoided SaaS licensing that would otherwise cost $150,000 to $500,000 per year. There is also a pending corpus of approximately 20,000 additional files planned for future ingestion, which will extend these benefits at marginal incremental cost on the same shared infrastructure — the platform build is already done.</w:t>
      </w:r>
    </w:p>
    <w:p w14:paraId="53989A56" w14:textId="77777777" w:rsidR="00071CB5" w:rsidRPr="00071CB5" w:rsidRDefault="00071CB5" w:rsidP="00071CB5"/>
    <w:p w14:paraId="2065A9EA" w14:textId="77777777" w:rsidR="00071CB5" w:rsidRPr="00071CB5" w:rsidRDefault="00071CB5" w:rsidP="00071CB5">
      <w:r w:rsidRPr="00071CB5">
        <w:t>This is a production asset BSC will rely on for contract analytics, reimbursement review, and negotiation preparation going forward. Please ensure that Anukul’s individual contribution to this outcome is recognized at the appropriate level within your organization.</w:t>
      </w:r>
    </w:p>
    <w:p w14:paraId="77343339" w14:textId="77777777" w:rsidR="00071CB5" w:rsidRPr="00071CB5" w:rsidRDefault="00071CB5" w:rsidP="00071CB5"/>
    <w:p w14:paraId="289DFAE8" w14:textId="77777777" w:rsidR="00071CB5" w:rsidRPr="00071CB5" w:rsidRDefault="00071CB5" w:rsidP="00071CB5">
      <w:r w:rsidRPr="00071CB5">
        <w:t>Warm regards,</w:t>
      </w:r>
    </w:p>
    <w:p w14:paraId="4FAF7105" w14:textId="77777777" w:rsidR="00071CB5" w:rsidRPr="00071CB5" w:rsidRDefault="00071CB5" w:rsidP="00071CB5">
      <w:r w:rsidRPr="00071CB5">
        <w:t>[BSC Leader Name]</w:t>
      </w:r>
    </w:p>
    <w:p w14:paraId="188FA562" w14:textId="77777777" w:rsidR="00071CB5" w:rsidRPr="00071CB5" w:rsidRDefault="00071CB5" w:rsidP="00071CB5">
      <w:r w:rsidRPr="00071CB5">
        <w:t>[Title], Blue Shield of California</w:t>
      </w:r>
    </w:p>
    <w:p w14:paraId="59C86EE6" w14:textId="77777777" w:rsidR="00071CB5" w:rsidRPr="00071CB5" w:rsidRDefault="00071CB5" w:rsidP="00071CB5"/>
    <w:p w14:paraId="795366A3" w14:textId="77777777" w:rsidR="00071CB5" w:rsidRPr="00071CB5" w:rsidRDefault="00071CB5" w:rsidP="00071CB5">
      <w:r w:rsidRPr="00071CB5">
        <w:t>————————————————————————————————————————</w:t>
      </w:r>
    </w:p>
    <w:p w14:paraId="0F956970" w14:textId="77777777" w:rsidR="00071CB5" w:rsidRPr="00071CB5" w:rsidRDefault="00071CB5" w:rsidP="00071CB5">
      <w:r w:rsidRPr="00071CB5">
        <w:lastRenderedPageBreak/>
        <w:t>————————————————————————————————————————</w:t>
      </w:r>
    </w:p>
    <w:p w14:paraId="71FAA8A7" w14:textId="77777777" w:rsidR="00071CB5" w:rsidRPr="00071CB5" w:rsidRDefault="00071CB5" w:rsidP="00071CB5">
      <w:r w:rsidRPr="00071CB5">
        <w:rPr>
          <w:b/>
          <w:bCs/>
        </w:rPr>
        <w:t>APPENDIX — Cost and Savings Calculation Methodology</w:t>
      </w:r>
    </w:p>
    <w:p w14:paraId="38250CFF" w14:textId="77777777" w:rsidR="00071CB5" w:rsidRPr="00071CB5" w:rsidRDefault="00071CB5" w:rsidP="00071CB5">
      <w:r w:rsidRPr="00071CB5">
        <w:t>————————————————————————————————————————</w:t>
      </w:r>
    </w:p>
    <w:p w14:paraId="00707612" w14:textId="77777777" w:rsidR="00071CB5" w:rsidRPr="00071CB5" w:rsidRDefault="00071CB5" w:rsidP="00071CB5"/>
    <w:p w14:paraId="756E456F" w14:textId="77777777" w:rsidR="00071CB5" w:rsidRPr="00071CB5" w:rsidRDefault="00071CB5" w:rsidP="00071CB5">
      <w:r w:rsidRPr="00071CB5">
        <w:t>Every figure cited in the savings case above is derived from the calculation steps below. All assumptions are documented so they can be reviewed, challenged, or updated as actual usage data becomes available.</w:t>
      </w:r>
    </w:p>
    <w:p w14:paraId="226ABCAC" w14:textId="77777777" w:rsidR="00071CB5" w:rsidRPr="00071CB5" w:rsidRDefault="00071CB5" w:rsidP="00071CB5"/>
    <w:p w14:paraId="73D4CF8C" w14:textId="77777777" w:rsidR="00071CB5" w:rsidRPr="00071CB5" w:rsidRDefault="00071CB5" w:rsidP="00071CB5">
      <w:r w:rsidRPr="00071CB5">
        <w:rPr>
          <w:b/>
          <w:bCs/>
        </w:rPr>
        <w:t>A. Annual Operating Cost of PCIP</w:t>
      </w:r>
    </w:p>
    <w:p w14:paraId="462B2F7C" w14:textId="77777777" w:rsidR="00071CB5" w:rsidRPr="00071CB5" w:rsidRDefault="00071CB5" w:rsidP="00071CB5"/>
    <w:tbl>
      <w:tblPr>
        <w:tblW w:w="0" w:type="auto"/>
        <w:tblLayout w:type="fixed"/>
        <w:tblLook w:val="04A0" w:firstRow="1" w:lastRow="0" w:firstColumn="1" w:lastColumn="0" w:noHBand="0" w:noVBand="1"/>
      </w:tblPr>
      <w:tblGrid>
        <w:gridCol w:w="4428"/>
        <w:gridCol w:w="3240"/>
        <w:gridCol w:w="1800"/>
      </w:tblGrid>
      <w:tr w:rsidR="00071CB5" w:rsidRPr="00071CB5" w14:paraId="17A60D2F" w14:textId="77777777">
        <w:tc>
          <w:tcPr>
            <w:tcW w:w="4428" w:type="dxa"/>
            <w:tcBorders>
              <w:top w:val="single" w:sz="6" w:space="0" w:color="auto"/>
              <w:left w:val="single" w:sz="6" w:space="0" w:color="auto"/>
              <w:bottom w:val="single" w:sz="6" w:space="0" w:color="auto"/>
              <w:right w:val="single" w:sz="6" w:space="0" w:color="auto"/>
            </w:tcBorders>
            <w:hideMark/>
          </w:tcPr>
          <w:p w14:paraId="01C98B2E" w14:textId="77777777" w:rsidR="00071CB5" w:rsidRPr="00071CB5" w:rsidRDefault="00071CB5" w:rsidP="00071CB5">
            <w:r w:rsidRPr="00071CB5">
              <w:rPr>
                <w:b/>
                <w:bCs/>
              </w:rPr>
              <w:t>Cost Component</w:t>
            </w:r>
          </w:p>
        </w:tc>
        <w:tc>
          <w:tcPr>
            <w:tcW w:w="3240" w:type="dxa"/>
            <w:tcBorders>
              <w:top w:val="single" w:sz="6" w:space="0" w:color="auto"/>
              <w:left w:val="single" w:sz="6" w:space="0" w:color="auto"/>
              <w:bottom w:val="single" w:sz="6" w:space="0" w:color="auto"/>
              <w:right w:val="single" w:sz="6" w:space="0" w:color="auto"/>
            </w:tcBorders>
            <w:hideMark/>
          </w:tcPr>
          <w:p w14:paraId="2BED231A" w14:textId="77777777" w:rsidR="00071CB5" w:rsidRPr="00071CB5" w:rsidRDefault="00071CB5" w:rsidP="00071CB5">
            <w:r w:rsidRPr="00071CB5">
              <w:rPr>
                <w:b/>
                <w:bCs/>
              </w:rPr>
              <w:t>Basis</w:t>
            </w:r>
          </w:p>
        </w:tc>
        <w:tc>
          <w:tcPr>
            <w:tcW w:w="1800" w:type="dxa"/>
            <w:tcBorders>
              <w:top w:val="single" w:sz="6" w:space="0" w:color="auto"/>
              <w:left w:val="single" w:sz="6" w:space="0" w:color="auto"/>
              <w:bottom w:val="single" w:sz="6" w:space="0" w:color="auto"/>
              <w:right w:val="single" w:sz="6" w:space="0" w:color="auto"/>
            </w:tcBorders>
            <w:hideMark/>
          </w:tcPr>
          <w:p w14:paraId="4368698D" w14:textId="77777777" w:rsidR="00071CB5" w:rsidRPr="00071CB5" w:rsidRDefault="00071CB5" w:rsidP="00071CB5">
            <w:r w:rsidRPr="00071CB5">
              <w:rPr>
                <w:b/>
                <w:bCs/>
              </w:rPr>
              <w:t>Annual Range</w:t>
            </w:r>
          </w:p>
        </w:tc>
      </w:tr>
      <w:tr w:rsidR="00071CB5" w:rsidRPr="00071CB5" w14:paraId="4986EAC6" w14:textId="77777777">
        <w:tc>
          <w:tcPr>
            <w:tcW w:w="4428" w:type="dxa"/>
            <w:tcBorders>
              <w:top w:val="single" w:sz="6" w:space="0" w:color="auto"/>
              <w:left w:val="single" w:sz="6" w:space="0" w:color="auto"/>
              <w:bottom w:val="single" w:sz="6" w:space="0" w:color="auto"/>
              <w:right w:val="single" w:sz="6" w:space="0" w:color="auto"/>
            </w:tcBorders>
            <w:hideMark/>
          </w:tcPr>
          <w:p w14:paraId="58547813" w14:textId="77777777" w:rsidR="00071CB5" w:rsidRPr="00071CB5" w:rsidRDefault="00071CB5" w:rsidP="00071CB5">
            <w:r w:rsidRPr="00071CB5">
              <w:t>Databricks compute</w:t>
            </w:r>
          </w:p>
        </w:tc>
        <w:tc>
          <w:tcPr>
            <w:tcW w:w="3240" w:type="dxa"/>
            <w:tcBorders>
              <w:top w:val="single" w:sz="6" w:space="0" w:color="auto"/>
              <w:left w:val="single" w:sz="6" w:space="0" w:color="auto"/>
              <w:bottom w:val="single" w:sz="6" w:space="0" w:color="auto"/>
              <w:right w:val="single" w:sz="6" w:space="0" w:color="auto"/>
            </w:tcBorders>
            <w:hideMark/>
          </w:tcPr>
          <w:p w14:paraId="3B8F4CFD" w14:textId="77777777" w:rsidR="00071CB5" w:rsidRPr="00071CB5" w:rsidRDefault="00071CB5" w:rsidP="00071CB5">
            <w:r w:rsidRPr="00071CB5">
              <w:t>$50–$100/week x 52 weeks</w:t>
            </w:r>
          </w:p>
        </w:tc>
        <w:tc>
          <w:tcPr>
            <w:tcW w:w="1800" w:type="dxa"/>
            <w:tcBorders>
              <w:top w:val="single" w:sz="6" w:space="0" w:color="auto"/>
              <w:left w:val="single" w:sz="6" w:space="0" w:color="auto"/>
              <w:bottom w:val="single" w:sz="6" w:space="0" w:color="auto"/>
              <w:right w:val="single" w:sz="6" w:space="0" w:color="auto"/>
            </w:tcBorders>
            <w:hideMark/>
          </w:tcPr>
          <w:p w14:paraId="038968D2" w14:textId="77777777" w:rsidR="00071CB5" w:rsidRPr="00071CB5" w:rsidRDefault="00071CB5" w:rsidP="00071CB5">
            <w:r w:rsidRPr="00071CB5">
              <w:t>$2,600–$5,200</w:t>
            </w:r>
          </w:p>
        </w:tc>
      </w:tr>
      <w:tr w:rsidR="00071CB5" w:rsidRPr="00071CB5" w14:paraId="12B03970" w14:textId="77777777">
        <w:tc>
          <w:tcPr>
            <w:tcW w:w="4428" w:type="dxa"/>
            <w:tcBorders>
              <w:top w:val="single" w:sz="6" w:space="0" w:color="auto"/>
              <w:left w:val="single" w:sz="6" w:space="0" w:color="auto"/>
              <w:bottom w:val="single" w:sz="6" w:space="0" w:color="auto"/>
              <w:right w:val="single" w:sz="6" w:space="0" w:color="auto"/>
            </w:tcBorders>
            <w:hideMark/>
          </w:tcPr>
          <w:p w14:paraId="57E98765" w14:textId="77777777" w:rsidR="00071CB5" w:rsidRPr="00071CB5" w:rsidRDefault="00071CB5" w:rsidP="00071CB5">
            <w:r w:rsidRPr="00071CB5">
              <w:t>AI document parsing &amp; incremental LLM</w:t>
            </w:r>
          </w:p>
        </w:tc>
        <w:tc>
          <w:tcPr>
            <w:tcW w:w="3240" w:type="dxa"/>
            <w:tcBorders>
              <w:top w:val="single" w:sz="6" w:space="0" w:color="auto"/>
              <w:left w:val="single" w:sz="6" w:space="0" w:color="auto"/>
              <w:bottom w:val="single" w:sz="6" w:space="0" w:color="auto"/>
              <w:right w:val="single" w:sz="6" w:space="0" w:color="auto"/>
            </w:tcBorders>
            <w:hideMark/>
          </w:tcPr>
          <w:p w14:paraId="34FC02E3" w14:textId="77777777" w:rsidR="00071CB5" w:rsidRPr="00071CB5" w:rsidRDefault="00071CB5" w:rsidP="00071CB5">
            <w:r w:rsidRPr="00071CB5">
              <w:t>Variable; estimated on top of compute</w:t>
            </w:r>
          </w:p>
        </w:tc>
        <w:tc>
          <w:tcPr>
            <w:tcW w:w="1800" w:type="dxa"/>
            <w:tcBorders>
              <w:top w:val="single" w:sz="6" w:space="0" w:color="auto"/>
              <w:left w:val="single" w:sz="6" w:space="0" w:color="auto"/>
              <w:bottom w:val="single" w:sz="6" w:space="0" w:color="auto"/>
              <w:right w:val="single" w:sz="6" w:space="0" w:color="auto"/>
            </w:tcBorders>
            <w:hideMark/>
          </w:tcPr>
          <w:p w14:paraId="43078619" w14:textId="77777777" w:rsidR="00071CB5" w:rsidRPr="00071CB5" w:rsidRDefault="00071CB5" w:rsidP="00071CB5">
            <w:r w:rsidRPr="00071CB5">
              <w:t>~$2,600–$5,200</w:t>
            </w:r>
          </w:p>
        </w:tc>
      </w:tr>
      <w:tr w:rsidR="00071CB5" w:rsidRPr="00071CB5" w14:paraId="192FBAF4" w14:textId="77777777">
        <w:tc>
          <w:tcPr>
            <w:tcW w:w="4428" w:type="dxa"/>
            <w:tcBorders>
              <w:top w:val="single" w:sz="6" w:space="0" w:color="auto"/>
              <w:left w:val="single" w:sz="6" w:space="0" w:color="auto"/>
              <w:bottom w:val="single" w:sz="6" w:space="0" w:color="auto"/>
              <w:right w:val="single" w:sz="6" w:space="0" w:color="auto"/>
            </w:tcBorders>
            <w:hideMark/>
          </w:tcPr>
          <w:p w14:paraId="0D9834B0" w14:textId="77777777" w:rsidR="00071CB5" w:rsidRPr="00071CB5" w:rsidRDefault="00071CB5" w:rsidP="00071CB5">
            <w:r w:rsidRPr="00071CB5">
              <w:rPr>
                <w:b/>
                <w:bCs/>
              </w:rPr>
              <w:t>Total annual operating cost</w:t>
            </w:r>
          </w:p>
        </w:tc>
        <w:tc>
          <w:tcPr>
            <w:tcW w:w="3240" w:type="dxa"/>
            <w:tcBorders>
              <w:top w:val="single" w:sz="6" w:space="0" w:color="auto"/>
              <w:left w:val="single" w:sz="6" w:space="0" w:color="auto"/>
              <w:bottom w:val="single" w:sz="6" w:space="0" w:color="auto"/>
              <w:right w:val="single" w:sz="6" w:space="0" w:color="auto"/>
            </w:tcBorders>
          </w:tcPr>
          <w:p w14:paraId="232A03DA" w14:textId="77777777" w:rsidR="00071CB5" w:rsidRPr="00071CB5" w:rsidRDefault="00071CB5" w:rsidP="00071CB5"/>
        </w:tc>
        <w:tc>
          <w:tcPr>
            <w:tcW w:w="1800" w:type="dxa"/>
            <w:tcBorders>
              <w:top w:val="single" w:sz="6" w:space="0" w:color="auto"/>
              <w:left w:val="single" w:sz="6" w:space="0" w:color="auto"/>
              <w:bottom w:val="single" w:sz="6" w:space="0" w:color="auto"/>
              <w:right w:val="single" w:sz="6" w:space="0" w:color="auto"/>
            </w:tcBorders>
            <w:hideMark/>
          </w:tcPr>
          <w:p w14:paraId="1DE299B7" w14:textId="77777777" w:rsidR="00071CB5" w:rsidRPr="00071CB5" w:rsidRDefault="00071CB5" w:rsidP="00071CB5">
            <w:r w:rsidRPr="00071CB5">
              <w:rPr>
                <w:b/>
                <w:bCs/>
              </w:rPr>
              <w:t>~$5,200–$10,400</w:t>
            </w:r>
          </w:p>
        </w:tc>
      </w:tr>
    </w:tbl>
    <w:p w14:paraId="5723E254" w14:textId="77777777" w:rsidR="00071CB5" w:rsidRPr="00071CB5" w:rsidRDefault="00071CB5" w:rsidP="00071CB5"/>
    <w:p w14:paraId="16AE997E" w14:textId="77777777" w:rsidR="00071CB5" w:rsidRPr="00071CB5" w:rsidRDefault="00071CB5" w:rsidP="00071CB5">
      <w:r w:rsidRPr="00071CB5">
        <w:t>The pipeline runs on a shared cluster with no dedicated infrastructure. Incremental runs (for new or changed documents only) cost a fraction of a full corpus run.</w:t>
      </w:r>
    </w:p>
    <w:p w14:paraId="43433C9B" w14:textId="77777777" w:rsidR="00071CB5" w:rsidRPr="00071CB5" w:rsidRDefault="00071CB5" w:rsidP="00071CB5"/>
    <w:p w14:paraId="0578EB3E" w14:textId="77777777" w:rsidR="00071CB5" w:rsidRPr="00071CB5" w:rsidRDefault="00071CB5" w:rsidP="00071CB5">
      <w:r w:rsidRPr="00071CB5">
        <w:rPr>
          <w:b/>
          <w:bCs/>
        </w:rPr>
        <w:t>B. Analyst Time Savings — Contract Research</w:t>
      </w:r>
    </w:p>
    <w:p w14:paraId="0AE55057" w14:textId="77777777" w:rsidR="00071CB5" w:rsidRPr="00071CB5" w:rsidRDefault="00071CB5" w:rsidP="00071CB5"/>
    <w:p w14:paraId="1A47D088" w14:textId="77777777" w:rsidR="00071CB5" w:rsidRPr="00071CB5" w:rsidRDefault="00071CB5" w:rsidP="00071CB5">
      <w:r w:rsidRPr="00071CB5">
        <w:t>This model uses a conservative assumption: 25% of the provider base requires contract research in any given month, with 2 substantive questions per touched provider.</w:t>
      </w:r>
    </w:p>
    <w:p w14:paraId="5017AA5A" w14:textId="77777777" w:rsidR="00071CB5" w:rsidRPr="00071CB5" w:rsidRDefault="00071CB5" w:rsidP="00071CB5"/>
    <w:tbl>
      <w:tblPr>
        <w:tblW w:w="0" w:type="auto"/>
        <w:tblLayout w:type="fixed"/>
        <w:tblLook w:val="04A0" w:firstRow="1" w:lastRow="0" w:firstColumn="1" w:lastColumn="0" w:noHBand="0" w:noVBand="1"/>
      </w:tblPr>
      <w:tblGrid>
        <w:gridCol w:w="5148"/>
        <w:gridCol w:w="2520"/>
        <w:gridCol w:w="1800"/>
      </w:tblGrid>
      <w:tr w:rsidR="00071CB5" w:rsidRPr="00071CB5" w14:paraId="28164325" w14:textId="77777777">
        <w:tc>
          <w:tcPr>
            <w:tcW w:w="5148" w:type="dxa"/>
            <w:tcBorders>
              <w:top w:val="single" w:sz="6" w:space="0" w:color="auto"/>
              <w:left w:val="single" w:sz="6" w:space="0" w:color="auto"/>
              <w:bottom w:val="single" w:sz="6" w:space="0" w:color="auto"/>
              <w:right w:val="single" w:sz="6" w:space="0" w:color="auto"/>
            </w:tcBorders>
            <w:hideMark/>
          </w:tcPr>
          <w:p w14:paraId="36EF1A55" w14:textId="77777777" w:rsidR="00071CB5" w:rsidRPr="00071CB5" w:rsidRDefault="00071CB5" w:rsidP="00071CB5">
            <w:r w:rsidRPr="00071CB5">
              <w:rPr>
                <w:b/>
                <w:bCs/>
              </w:rPr>
              <w:t>Step</w:t>
            </w:r>
          </w:p>
        </w:tc>
        <w:tc>
          <w:tcPr>
            <w:tcW w:w="2520" w:type="dxa"/>
            <w:tcBorders>
              <w:top w:val="single" w:sz="6" w:space="0" w:color="auto"/>
              <w:left w:val="single" w:sz="6" w:space="0" w:color="auto"/>
              <w:bottom w:val="single" w:sz="6" w:space="0" w:color="auto"/>
              <w:right w:val="single" w:sz="6" w:space="0" w:color="auto"/>
            </w:tcBorders>
            <w:hideMark/>
          </w:tcPr>
          <w:p w14:paraId="0DD20E57" w14:textId="77777777" w:rsidR="00071CB5" w:rsidRPr="00071CB5" w:rsidRDefault="00071CB5" w:rsidP="00071CB5">
            <w:r w:rsidRPr="00071CB5">
              <w:rPr>
                <w:b/>
                <w:bCs/>
              </w:rPr>
              <w:t>Calculation</w:t>
            </w:r>
          </w:p>
        </w:tc>
        <w:tc>
          <w:tcPr>
            <w:tcW w:w="1800" w:type="dxa"/>
            <w:tcBorders>
              <w:top w:val="single" w:sz="6" w:space="0" w:color="auto"/>
              <w:left w:val="single" w:sz="6" w:space="0" w:color="auto"/>
              <w:bottom w:val="single" w:sz="6" w:space="0" w:color="auto"/>
              <w:right w:val="single" w:sz="6" w:space="0" w:color="auto"/>
            </w:tcBorders>
            <w:hideMark/>
          </w:tcPr>
          <w:p w14:paraId="4E7CE2D1" w14:textId="77777777" w:rsidR="00071CB5" w:rsidRPr="00071CB5" w:rsidRDefault="00071CB5" w:rsidP="00071CB5">
            <w:r w:rsidRPr="00071CB5">
              <w:rPr>
                <w:b/>
                <w:bCs/>
              </w:rPr>
              <w:t>Result</w:t>
            </w:r>
          </w:p>
        </w:tc>
      </w:tr>
      <w:tr w:rsidR="00071CB5" w:rsidRPr="00071CB5" w14:paraId="631D6D8A" w14:textId="77777777">
        <w:tc>
          <w:tcPr>
            <w:tcW w:w="5148" w:type="dxa"/>
            <w:tcBorders>
              <w:top w:val="single" w:sz="6" w:space="0" w:color="auto"/>
              <w:left w:val="single" w:sz="6" w:space="0" w:color="auto"/>
              <w:bottom w:val="single" w:sz="6" w:space="0" w:color="auto"/>
              <w:right w:val="single" w:sz="6" w:space="0" w:color="auto"/>
            </w:tcBorders>
            <w:hideMark/>
          </w:tcPr>
          <w:p w14:paraId="791AA666" w14:textId="77777777" w:rsidR="00071CB5" w:rsidRPr="00071CB5" w:rsidRDefault="00071CB5" w:rsidP="00071CB5">
            <w:r w:rsidRPr="00071CB5">
              <w:t>Providers touched/month</w:t>
            </w:r>
          </w:p>
        </w:tc>
        <w:tc>
          <w:tcPr>
            <w:tcW w:w="2520" w:type="dxa"/>
            <w:tcBorders>
              <w:top w:val="single" w:sz="6" w:space="0" w:color="auto"/>
              <w:left w:val="single" w:sz="6" w:space="0" w:color="auto"/>
              <w:bottom w:val="single" w:sz="6" w:space="0" w:color="auto"/>
              <w:right w:val="single" w:sz="6" w:space="0" w:color="auto"/>
            </w:tcBorders>
            <w:hideMark/>
          </w:tcPr>
          <w:p w14:paraId="0E6E8D98" w14:textId="77777777" w:rsidR="00071CB5" w:rsidRPr="00071CB5" w:rsidRDefault="00071CB5" w:rsidP="00071CB5">
            <w:r w:rsidRPr="00071CB5">
              <w:t>302 x 25%</w:t>
            </w:r>
          </w:p>
        </w:tc>
        <w:tc>
          <w:tcPr>
            <w:tcW w:w="1800" w:type="dxa"/>
            <w:tcBorders>
              <w:top w:val="single" w:sz="6" w:space="0" w:color="auto"/>
              <w:left w:val="single" w:sz="6" w:space="0" w:color="auto"/>
              <w:bottom w:val="single" w:sz="6" w:space="0" w:color="auto"/>
              <w:right w:val="single" w:sz="6" w:space="0" w:color="auto"/>
            </w:tcBorders>
            <w:hideMark/>
          </w:tcPr>
          <w:p w14:paraId="423AC17B" w14:textId="77777777" w:rsidR="00071CB5" w:rsidRPr="00071CB5" w:rsidRDefault="00071CB5" w:rsidP="00071CB5">
            <w:r w:rsidRPr="00071CB5">
              <w:t>~76 providers</w:t>
            </w:r>
          </w:p>
        </w:tc>
      </w:tr>
      <w:tr w:rsidR="00071CB5" w:rsidRPr="00071CB5" w14:paraId="28271F95" w14:textId="77777777">
        <w:tc>
          <w:tcPr>
            <w:tcW w:w="5148" w:type="dxa"/>
            <w:tcBorders>
              <w:top w:val="single" w:sz="6" w:space="0" w:color="auto"/>
              <w:left w:val="single" w:sz="6" w:space="0" w:color="auto"/>
              <w:bottom w:val="single" w:sz="6" w:space="0" w:color="auto"/>
              <w:right w:val="single" w:sz="6" w:space="0" w:color="auto"/>
            </w:tcBorders>
            <w:hideMark/>
          </w:tcPr>
          <w:p w14:paraId="7B002983" w14:textId="77777777" w:rsidR="00071CB5" w:rsidRPr="00071CB5" w:rsidRDefault="00071CB5" w:rsidP="00071CB5">
            <w:r w:rsidRPr="00071CB5">
              <w:lastRenderedPageBreak/>
              <w:t>Baseline hours/month (before PCIP)</w:t>
            </w:r>
          </w:p>
        </w:tc>
        <w:tc>
          <w:tcPr>
            <w:tcW w:w="2520" w:type="dxa"/>
            <w:tcBorders>
              <w:top w:val="single" w:sz="6" w:space="0" w:color="auto"/>
              <w:left w:val="single" w:sz="6" w:space="0" w:color="auto"/>
              <w:bottom w:val="single" w:sz="6" w:space="0" w:color="auto"/>
              <w:right w:val="single" w:sz="6" w:space="0" w:color="auto"/>
            </w:tcBorders>
            <w:hideMark/>
          </w:tcPr>
          <w:p w14:paraId="50457363" w14:textId="77777777" w:rsidR="00071CB5" w:rsidRPr="00071CB5" w:rsidRDefault="00071CB5" w:rsidP="00071CB5">
            <w:r w:rsidRPr="00071CB5">
              <w:t xml:space="preserve">76 x 2 questions x 2.5 </w:t>
            </w:r>
            <w:proofErr w:type="spellStart"/>
            <w:r w:rsidRPr="00071CB5">
              <w:t>hrs</w:t>
            </w:r>
            <w:proofErr w:type="spellEnd"/>
          </w:p>
        </w:tc>
        <w:tc>
          <w:tcPr>
            <w:tcW w:w="1800" w:type="dxa"/>
            <w:tcBorders>
              <w:top w:val="single" w:sz="6" w:space="0" w:color="auto"/>
              <w:left w:val="single" w:sz="6" w:space="0" w:color="auto"/>
              <w:bottom w:val="single" w:sz="6" w:space="0" w:color="auto"/>
              <w:right w:val="single" w:sz="6" w:space="0" w:color="auto"/>
            </w:tcBorders>
            <w:hideMark/>
          </w:tcPr>
          <w:p w14:paraId="13686CEB" w14:textId="77777777" w:rsidR="00071CB5" w:rsidRPr="00071CB5" w:rsidRDefault="00071CB5" w:rsidP="00071CB5">
            <w:r w:rsidRPr="00071CB5">
              <w:t xml:space="preserve">377.5 </w:t>
            </w:r>
            <w:proofErr w:type="spellStart"/>
            <w:r w:rsidRPr="00071CB5">
              <w:t>hrs</w:t>
            </w:r>
            <w:proofErr w:type="spellEnd"/>
            <w:r w:rsidRPr="00071CB5">
              <w:t>/month</w:t>
            </w:r>
          </w:p>
        </w:tc>
      </w:tr>
      <w:tr w:rsidR="00071CB5" w:rsidRPr="00071CB5" w14:paraId="459ABA11" w14:textId="77777777">
        <w:tc>
          <w:tcPr>
            <w:tcW w:w="5148" w:type="dxa"/>
            <w:tcBorders>
              <w:top w:val="single" w:sz="6" w:space="0" w:color="auto"/>
              <w:left w:val="single" w:sz="6" w:space="0" w:color="auto"/>
              <w:bottom w:val="single" w:sz="6" w:space="0" w:color="auto"/>
              <w:right w:val="single" w:sz="6" w:space="0" w:color="auto"/>
            </w:tcBorders>
            <w:hideMark/>
          </w:tcPr>
          <w:p w14:paraId="7FF3510B" w14:textId="77777777" w:rsidR="00071CB5" w:rsidRPr="00071CB5" w:rsidRDefault="00071CB5" w:rsidP="00071CB5">
            <w:r w:rsidRPr="00071CB5">
              <w:t>Baseline cost/year</w:t>
            </w:r>
          </w:p>
        </w:tc>
        <w:tc>
          <w:tcPr>
            <w:tcW w:w="2520" w:type="dxa"/>
            <w:tcBorders>
              <w:top w:val="single" w:sz="6" w:space="0" w:color="auto"/>
              <w:left w:val="single" w:sz="6" w:space="0" w:color="auto"/>
              <w:bottom w:val="single" w:sz="6" w:space="0" w:color="auto"/>
              <w:right w:val="single" w:sz="6" w:space="0" w:color="auto"/>
            </w:tcBorders>
            <w:hideMark/>
          </w:tcPr>
          <w:p w14:paraId="347922DC" w14:textId="77777777" w:rsidR="00071CB5" w:rsidRPr="00071CB5" w:rsidRDefault="00071CB5" w:rsidP="00071CB5">
            <w:r w:rsidRPr="00071CB5">
              <w:t>377.5 x $85 x 12</w:t>
            </w:r>
          </w:p>
        </w:tc>
        <w:tc>
          <w:tcPr>
            <w:tcW w:w="1800" w:type="dxa"/>
            <w:tcBorders>
              <w:top w:val="single" w:sz="6" w:space="0" w:color="auto"/>
              <w:left w:val="single" w:sz="6" w:space="0" w:color="auto"/>
              <w:bottom w:val="single" w:sz="6" w:space="0" w:color="auto"/>
              <w:right w:val="single" w:sz="6" w:space="0" w:color="auto"/>
            </w:tcBorders>
            <w:hideMark/>
          </w:tcPr>
          <w:p w14:paraId="263B222C" w14:textId="77777777" w:rsidR="00071CB5" w:rsidRPr="00071CB5" w:rsidRDefault="00071CB5" w:rsidP="00071CB5">
            <w:r w:rsidRPr="00071CB5">
              <w:t>$385,050/year</w:t>
            </w:r>
          </w:p>
        </w:tc>
      </w:tr>
      <w:tr w:rsidR="00071CB5" w:rsidRPr="00071CB5" w14:paraId="44AF3882" w14:textId="77777777">
        <w:tc>
          <w:tcPr>
            <w:tcW w:w="5148" w:type="dxa"/>
            <w:tcBorders>
              <w:top w:val="single" w:sz="6" w:space="0" w:color="auto"/>
              <w:left w:val="single" w:sz="6" w:space="0" w:color="auto"/>
              <w:bottom w:val="single" w:sz="6" w:space="0" w:color="auto"/>
              <w:right w:val="single" w:sz="6" w:space="0" w:color="auto"/>
            </w:tcBorders>
            <w:hideMark/>
          </w:tcPr>
          <w:p w14:paraId="5BE0EDF9" w14:textId="77777777" w:rsidR="00071CB5" w:rsidRPr="00071CB5" w:rsidRDefault="00071CB5" w:rsidP="00071CB5">
            <w:r w:rsidRPr="00071CB5">
              <w:t>Hours/month with PCIP</w:t>
            </w:r>
          </w:p>
        </w:tc>
        <w:tc>
          <w:tcPr>
            <w:tcW w:w="2520" w:type="dxa"/>
            <w:tcBorders>
              <w:top w:val="single" w:sz="6" w:space="0" w:color="auto"/>
              <w:left w:val="single" w:sz="6" w:space="0" w:color="auto"/>
              <w:bottom w:val="single" w:sz="6" w:space="0" w:color="auto"/>
              <w:right w:val="single" w:sz="6" w:space="0" w:color="auto"/>
            </w:tcBorders>
            <w:hideMark/>
          </w:tcPr>
          <w:p w14:paraId="5F165474" w14:textId="77777777" w:rsidR="00071CB5" w:rsidRPr="00071CB5" w:rsidRDefault="00071CB5" w:rsidP="00071CB5">
            <w:r w:rsidRPr="00071CB5">
              <w:t xml:space="preserve">76 x 2 questions x 0.5 </w:t>
            </w:r>
            <w:proofErr w:type="spellStart"/>
            <w:r w:rsidRPr="00071CB5">
              <w:t>hrs</w:t>
            </w:r>
            <w:proofErr w:type="spellEnd"/>
            <w:r w:rsidRPr="00071CB5">
              <w:t xml:space="preserve"> review</w:t>
            </w:r>
          </w:p>
        </w:tc>
        <w:tc>
          <w:tcPr>
            <w:tcW w:w="1800" w:type="dxa"/>
            <w:tcBorders>
              <w:top w:val="single" w:sz="6" w:space="0" w:color="auto"/>
              <w:left w:val="single" w:sz="6" w:space="0" w:color="auto"/>
              <w:bottom w:val="single" w:sz="6" w:space="0" w:color="auto"/>
              <w:right w:val="single" w:sz="6" w:space="0" w:color="auto"/>
            </w:tcBorders>
            <w:hideMark/>
          </w:tcPr>
          <w:p w14:paraId="76B2CEAA" w14:textId="77777777" w:rsidR="00071CB5" w:rsidRPr="00071CB5" w:rsidRDefault="00071CB5" w:rsidP="00071CB5">
            <w:r w:rsidRPr="00071CB5">
              <w:t xml:space="preserve">75.5 </w:t>
            </w:r>
            <w:proofErr w:type="spellStart"/>
            <w:r w:rsidRPr="00071CB5">
              <w:t>hrs</w:t>
            </w:r>
            <w:proofErr w:type="spellEnd"/>
            <w:r w:rsidRPr="00071CB5">
              <w:t>/month</w:t>
            </w:r>
          </w:p>
        </w:tc>
      </w:tr>
      <w:tr w:rsidR="00071CB5" w:rsidRPr="00071CB5" w14:paraId="3251DE72" w14:textId="77777777">
        <w:tc>
          <w:tcPr>
            <w:tcW w:w="5148" w:type="dxa"/>
            <w:tcBorders>
              <w:top w:val="single" w:sz="6" w:space="0" w:color="auto"/>
              <w:left w:val="single" w:sz="6" w:space="0" w:color="auto"/>
              <w:bottom w:val="single" w:sz="6" w:space="0" w:color="auto"/>
              <w:right w:val="single" w:sz="6" w:space="0" w:color="auto"/>
            </w:tcBorders>
            <w:hideMark/>
          </w:tcPr>
          <w:p w14:paraId="1117AAAC" w14:textId="77777777" w:rsidR="00071CB5" w:rsidRPr="00071CB5" w:rsidRDefault="00071CB5" w:rsidP="00071CB5">
            <w:r w:rsidRPr="00071CB5">
              <w:t>Cost/year with PCIP</w:t>
            </w:r>
          </w:p>
        </w:tc>
        <w:tc>
          <w:tcPr>
            <w:tcW w:w="2520" w:type="dxa"/>
            <w:tcBorders>
              <w:top w:val="single" w:sz="6" w:space="0" w:color="auto"/>
              <w:left w:val="single" w:sz="6" w:space="0" w:color="auto"/>
              <w:bottom w:val="single" w:sz="6" w:space="0" w:color="auto"/>
              <w:right w:val="single" w:sz="6" w:space="0" w:color="auto"/>
            </w:tcBorders>
            <w:hideMark/>
          </w:tcPr>
          <w:p w14:paraId="53FB3AFC" w14:textId="77777777" w:rsidR="00071CB5" w:rsidRPr="00071CB5" w:rsidRDefault="00071CB5" w:rsidP="00071CB5">
            <w:r w:rsidRPr="00071CB5">
              <w:t>75.5 x $85 x 12</w:t>
            </w:r>
          </w:p>
        </w:tc>
        <w:tc>
          <w:tcPr>
            <w:tcW w:w="1800" w:type="dxa"/>
            <w:tcBorders>
              <w:top w:val="single" w:sz="6" w:space="0" w:color="auto"/>
              <w:left w:val="single" w:sz="6" w:space="0" w:color="auto"/>
              <w:bottom w:val="single" w:sz="6" w:space="0" w:color="auto"/>
              <w:right w:val="single" w:sz="6" w:space="0" w:color="auto"/>
            </w:tcBorders>
            <w:hideMark/>
          </w:tcPr>
          <w:p w14:paraId="6812BFB8" w14:textId="77777777" w:rsidR="00071CB5" w:rsidRPr="00071CB5" w:rsidRDefault="00071CB5" w:rsidP="00071CB5">
            <w:r w:rsidRPr="00071CB5">
              <w:t>$77,010/year</w:t>
            </w:r>
          </w:p>
        </w:tc>
      </w:tr>
      <w:tr w:rsidR="00071CB5" w:rsidRPr="00071CB5" w14:paraId="6ED40155" w14:textId="77777777">
        <w:tc>
          <w:tcPr>
            <w:tcW w:w="5148" w:type="dxa"/>
            <w:tcBorders>
              <w:top w:val="single" w:sz="6" w:space="0" w:color="auto"/>
              <w:left w:val="single" w:sz="6" w:space="0" w:color="auto"/>
              <w:bottom w:val="single" w:sz="6" w:space="0" w:color="auto"/>
              <w:right w:val="single" w:sz="6" w:space="0" w:color="auto"/>
            </w:tcBorders>
            <w:hideMark/>
          </w:tcPr>
          <w:p w14:paraId="09CF84C6" w14:textId="77777777" w:rsidR="00071CB5" w:rsidRPr="00071CB5" w:rsidRDefault="00071CB5" w:rsidP="00071CB5">
            <w:r w:rsidRPr="00071CB5">
              <w:rPr>
                <w:b/>
                <w:bCs/>
              </w:rPr>
              <w:t>Annual savings — contract research</w:t>
            </w:r>
          </w:p>
        </w:tc>
        <w:tc>
          <w:tcPr>
            <w:tcW w:w="2520" w:type="dxa"/>
            <w:tcBorders>
              <w:top w:val="single" w:sz="6" w:space="0" w:color="auto"/>
              <w:left w:val="single" w:sz="6" w:space="0" w:color="auto"/>
              <w:bottom w:val="single" w:sz="6" w:space="0" w:color="auto"/>
              <w:right w:val="single" w:sz="6" w:space="0" w:color="auto"/>
            </w:tcBorders>
            <w:hideMark/>
          </w:tcPr>
          <w:p w14:paraId="79254CBC" w14:textId="77777777" w:rsidR="00071CB5" w:rsidRPr="00071CB5" w:rsidRDefault="00071CB5" w:rsidP="00071CB5">
            <w:r w:rsidRPr="00071CB5">
              <w:t>$385,050 – $77,010</w:t>
            </w:r>
          </w:p>
        </w:tc>
        <w:tc>
          <w:tcPr>
            <w:tcW w:w="1800" w:type="dxa"/>
            <w:tcBorders>
              <w:top w:val="single" w:sz="6" w:space="0" w:color="auto"/>
              <w:left w:val="single" w:sz="6" w:space="0" w:color="auto"/>
              <w:bottom w:val="single" w:sz="6" w:space="0" w:color="auto"/>
              <w:right w:val="single" w:sz="6" w:space="0" w:color="auto"/>
            </w:tcBorders>
            <w:hideMark/>
          </w:tcPr>
          <w:p w14:paraId="26FDB9F7" w14:textId="77777777" w:rsidR="00071CB5" w:rsidRPr="00071CB5" w:rsidRDefault="00071CB5" w:rsidP="00071CB5">
            <w:r w:rsidRPr="00071CB5">
              <w:rPr>
                <w:b/>
                <w:bCs/>
              </w:rPr>
              <w:t>$308,040</w:t>
            </w:r>
          </w:p>
        </w:tc>
      </w:tr>
    </w:tbl>
    <w:p w14:paraId="56441A74" w14:textId="77777777" w:rsidR="00071CB5" w:rsidRPr="00071CB5" w:rsidRDefault="00071CB5" w:rsidP="00071CB5"/>
    <w:p w14:paraId="0DB7C8A8" w14:textId="77777777" w:rsidR="00071CB5" w:rsidRPr="00071CB5" w:rsidRDefault="00071CB5" w:rsidP="00071CB5">
      <w:r w:rsidRPr="00071CB5">
        <w:rPr>
          <w:b/>
          <w:bCs/>
        </w:rPr>
        <w:t>C. New Contract Onboarding Savings</w:t>
      </w:r>
    </w:p>
    <w:p w14:paraId="5E9999D0" w14:textId="77777777" w:rsidR="00071CB5" w:rsidRPr="00071CB5" w:rsidRDefault="00071CB5" w:rsidP="00071CB5"/>
    <w:tbl>
      <w:tblPr>
        <w:tblW w:w="0" w:type="auto"/>
        <w:tblLayout w:type="fixed"/>
        <w:tblLook w:val="04A0" w:firstRow="1" w:lastRow="0" w:firstColumn="1" w:lastColumn="0" w:noHBand="0" w:noVBand="1"/>
      </w:tblPr>
      <w:tblGrid>
        <w:gridCol w:w="5148"/>
        <w:gridCol w:w="2520"/>
        <w:gridCol w:w="1800"/>
      </w:tblGrid>
      <w:tr w:rsidR="00071CB5" w:rsidRPr="00071CB5" w14:paraId="1DFB6512" w14:textId="77777777">
        <w:tc>
          <w:tcPr>
            <w:tcW w:w="5148" w:type="dxa"/>
            <w:tcBorders>
              <w:top w:val="single" w:sz="6" w:space="0" w:color="auto"/>
              <w:left w:val="single" w:sz="6" w:space="0" w:color="auto"/>
              <w:bottom w:val="single" w:sz="6" w:space="0" w:color="auto"/>
              <w:right w:val="single" w:sz="6" w:space="0" w:color="auto"/>
            </w:tcBorders>
            <w:hideMark/>
          </w:tcPr>
          <w:p w14:paraId="45AEB706" w14:textId="77777777" w:rsidR="00071CB5" w:rsidRPr="00071CB5" w:rsidRDefault="00071CB5" w:rsidP="00071CB5">
            <w:r w:rsidRPr="00071CB5">
              <w:rPr>
                <w:b/>
                <w:bCs/>
              </w:rPr>
              <w:t>Step</w:t>
            </w:r>
          </w:p>
        </w:tc>
        <w:tc>
          <w:tcPr>
            <w:tcW w:w="2520" w:type="dxa"/>
            <w:tcBorders>
              <w:top w:val="single" w:sz="6" w:space="0" w:color="auto"/>
              <w:left w:val="single" w:sz="6" w:space="0" w:color="auto"/>
              <w:bottom w:val="single" w:sz="6" w:space="0" w:color="auto"/>
              <w:right w:val="single" w:sz="6" w:space="0" w:color="auto"/>
            </w:tcBorders>
            <w:hideMark/>
          </w:tcPr>
          <w:p w14:paraId="5AB041B0" w14:textId="77777777" w:rsidR="00071CB5" w:rsidRPr="00071CB5" w:rsidRDefault="00071CB5" w:rsidP="00071CB5">
            <w:r w:rsidRPr="00071CB5">
              <w:rPr>
                <w:b/>
                <w:bCs/>
              </w:rPr>
              <w:t>Calculation</w:t>
            </w:r>
          </w:p>
        </w:tc>
        <w:tc>
          <w:tcPr>
            <w:tcW w:w="1800" w:type="dxa"/>
            <w:tcBorders>
              <w:top w:val="single" w:sz="6" w:space="0" w:color="auto"/>
              <w:left w:val="single" w:sz="6" w:space="0" w:color="auto"/>
              <w:bottom w:val="single" w:sz="6" w:space="0" w:color="auto"/>
              <w:right w:val="single" w:sz="6" w:space="0" w:color="auto"/>
            </w:tcBorders>
            <w:hideMark/>
          </w:tcPr>
          <w:p w14:paraId="36D4D4FB" w14:textId="77777777" w:rsidR="00071CB5" w:rsidRPr="00071CB5" w:rsidRDefault="00071CB5" w:rsidP="00071CB5">
            <w:r w:rsidRPr="00071CB5">
              <w:rPr>
                <w:b/>
                <w:bCs/>
              </w:rPr>
              <w:t>Result</w:t>
            </w:r>
          </w:p>
        </w:tc>
      </w:tr>
      <w:tr w:rsidR="00071CB5" w:rsidRPr="00071CB5" w14:paraId="26CCA97B" w14:textId="77777777">
        <w:tc>
          <w:tcPr>
            <w:tcW w:w="5148" w:type="dxa"/>
            <w:tcBorders>
              <w:top w:val="single" w:sz="6" w:space="0" w:color="auto"/>
              <w:left w:val="single" w:sz="6" w:space="0" w:color="auto"/>
              <w:bottom w:val="single" w:sz="6" w:space="0" w:color="auto"/>
              <w:right w:val="single" w:sz="6" w:space="0" w:color="auto"/>
            </w:tcBorders>
            <w:hideMark/>
          </w:tcPr>
          <w:p w14:paraId="50612CBE" w14:textId="77777777" w:rsidR="00071CB5" w:rsidRPr="00071CB5" w:rsidRDefault="00071CB5" w:rsidP="00071CB5">
            <w:r w:rsidRPr="00071CB5">
              <w:t>New contracts/year</w:t>
            </w:r>
          </w:p>
        </w:tc>
        <w:tc>
          <w:tcPr>
            <w:tcW w:w="2520" w:type="dxa"/>
            <w:tcBorders>
              <w:top w:val="single" w:sz="6" w:space="0" w:color="auto"/>
              <w:left w:val="single" w:sz="6" w:space="0" w:color="auto"/>
              <w:bottom w:val="single" w:sz="6" w:space="0" w:color="auto"/>
              <w:right w:val="single" w:sz="6" w:space="0" w:color="auto"/>
            </w:tcBorders>
            <w:hideMark/>
          </w:tcPr>
          <w:p w14:paraId="3AFE609F" w14:textId="77777777" w:rsidR="00071CB5" w:rsidRPr="00071CB5" w:rsidRDefault="00071CB5" w:rsidP="00071CB5">
            <w:r w:rsidRPr="00071CB5">
              <w:t>Estimate</w:t>
            </w:r>
          </w:p>
        </w:tc>
        <w:tc>
          <w:tcPr>
            <w:tcW w:w="1800" w:type="dxa"/>
            <w:tcBorders>
              <w:top w:val="single" w:sz="6" w:space="0" w:color="auto"/>
              <w:left w:val="single" w:sz="6" w:space="0" w:color="auto"/>
              <w:bottom w:val="single" w:sz="6" w:space="0" w:color="auto"/>
              <w:right w:val="single" w:sz="6" w:space="0" w:color="auto"/>
            </w:tcBorders>
            <w:hideMark/>
          </w:tcPr>
          <w:p w14:paraId="4BCD874E" w14:textId="77777777" w:rsidR="00071CB5" w:rsidRPr="00071CB5" w:rsidRDefault="00071CB5" w:rsidP="00071CB5">
            <w:r w:rsidRPr="00071CB5">
              <w:t>20 contracts</w:t>
            </w:r>
          </w:p>
        </w:tc>
      </w:tr>
      <w:tr w:rsidR="00071CB5" w:rsidRPr="00071CB5" w14:paraId="15C33070" w14:textId="77777777">
        <w:tc>
          <w:tcPr>
            <w:tcW w:w="5148" w:type="dxa"/>
            <w:tcBorders>
              <w:top w:val="single" w:sz="6" w:space="0" w:color="auto"/>
              <w:left w:val="single" w:sz="6" w:space="0" w:color="auto"/>
              <w:bottom w:val="single" w:sz="6" w:space="0" w:color="auto"/>
              <w:right w:val="single" w:sz="6" w:space="0" w:color="auto"/>
            </w:tcBorders>
            <w:hideMark/>
          </w:tcPr>
          <w:p w14:paraId="148EADFA" w14:textId="77777777" w:rsidR="00071CB5" w:rsidRPr="00071CB5" w:rsidRDefault="00071CB5" w:rsidP="00071CB5">
            <w:r w:rsidRPr="00071CB5">
              <w:t>Time before PCIP</w:t>
            </w:r>
          </w:p>
        </w:tc>
        <w:tc>
          <w:tcPr>
            <w:tcW w:w="2520" w:type="dxa"/>
            <w:tcBorders>
              <w:top w:val="single" w:sz="6" w:space="0" w:color="auto"/>
              <w:left w:val="single" w:sz="6" w:space="0" w:color="auto"/>
              <w:bottom w:val="single" w:sz="6" w:space="0" w:color="auto"/>
              <w:right w:val="single" w:sz="6" w:space="0" w:color="auto"/>
            </w:tcBorders>
            <w:hideMark/>
          </w:tcPr>
          <w:p w14:paraId="40B4FE93" w14:textId="77777777" w:rsidR="00071CB5" w:rsidRPr="00071CB5" w:rsidRDefault="00071CB5" w:rsidP="00071CB5">
            <w:r w:rsidRPr="00071CB5">
              <w:t>Reading, categorizing, extracting key terms</w:t>
            </w:r>
          </w:p>
        </w:tc>
        <w:tc>
          <w:tcPr>
            <w:tcW w:w="1800" w:type="dxa"/>
            <w:tcBorders>
              <w:top w:val="single" w:sz="6" w:space="0" w:color="auto"/>
              <w:left w:val="single" w:sz="6" w:space="0" w:color="auto"/>
              <w:bottom w:val="single" w:sz="6" w:space="0" w:color="auto"/>
              <w:right w:val="single" w:sz="6" w:space="0" w:color="auto"/>
            </w:tcBorders>
            <w:hideMark/>
          </w:tcPr>
          <w:p w14:paraId="7A97346D" w14:textId="77777777" w:rsidR="00071CB5" w:rsidRPr="00071CB5" w:rsidRDefault="00071CB5" w:rsidP="00071CB5">
            <w:r w:rsidRPr="00071CB5">
              <w:t xml:space="preserve">~35 </w:t>
            </w:r>
            <w:proofErr w:type="spellStart"/>
            <w:r w:rsidRPr="00071CB5">
              <w:t>hrs</w:t>
            </w:r>
            <w:proofErr w:type="spellEnd"/>
            <w:r w:rsidRPr="00071CB5">
              <w:t>/contract</w:t>
            </w:r>
          </w:p>
        </w:tc>
      </w:tr>
      <w:tr w:rsidR="00071CB5" w:rsidRPr="00071CB5" w14:paraId="132D3116" w14:textId="77777777">
        <w:tc>
          <w:tcPr>
            <w:tcW w:w="5148" w:type="dxa"/>
            <w:tcBorders>
              <w:top w:val="single" w:sz="6" w:space="0" w:color="auto"/>
              <w:left w:val="single" w:sz="6" w:space="0" w:color="auto"/>
              <w:bottom w:val="single" w:sz="6" w:space="0" w:color="auto"/>
              <w:right w:val="single" w:sz="6" w:space="0" w:color="auto"/>
            </w:tcBorders>
            <w:hideMark/>
          </w:tcPr>
          <w:p w14:paraId="7C25EF75" w14:textId="77777777" w:rsidR="00071CB5" w:rsidRPr="00071CB5" w:rsidRDefault="00071CB5" w:rsidP="00071CB5">
            <w:r w:rsidRPr="00071CB5">
              <w:t>Time with PCIP</w:t>
            </w:r>
          </w:p>
        </w:tc>
        <w:tc>
          <w:tcPr>
            <w:tcW w:w="2520" w:type="dxa"/>
            <w:tcBorders>
              <w:top w:val="single" w:sz="6" w:space="0" w:color="auto"/>
              <w:left w:val="single" w:sz="6" w:space="0" w:color="auto"/>
              <w:bottom w:val="single" w:sz="6" w:space="0" w:color="auto"/>
              <w:right w:val="single" w:sz="6" w:space="0" w:color="auto"/>
            </w:tcBorders>
            <w:hideMark/>
          </w:tcPr>
          <w:p w14:paraId="5660533D" w14:textId="77777777" w:rsidR="00071CB5" w:rsidRPr="00071CB5" w:rsidRDefault="00071CB5" w:rsidP="00071CB5">
            <w:r w:rsidRPr="00071CB5">
              <w:t>Automated extraction + analyst review</w:t>
            </w:r>
          </w:p>
        </w:tc>
        <w:tc>
          <w:tcPr>
            <w:tcW w:w="1800" w:type="dxa"/>
            <w:tcBorders>
              <w:top w:val="single" w:sz="6" w:space="0" w:color="auto"/>
              <w:left w:val="single" w:sz="6" w:space="0" w:color="auto"/>
              <w:bottom w:val="single" w:sz="6" w:space="0" w:color="auto"/>
              <w:right w:val="single" w:sz="6" w:space="0" w:color="auto"/>
            </w:tcBorders>
            <w:hideMark/>
          </w:tcPr>
          <w:p w14:paraId="48662F30" w14:textId="77777777" w:rsidR="00071CB5" w:rsidRPr="00071CB5" w:rsidRDefault="00071CB5" w:rsidP="00071CB5">
            <w:r w:rsidRPr="00071CB5">
              <w:t xml:space="preserve">~3 </w:t>
            </w:r>
            <w:proofErr w:type="spellStart"/>
            <w:r w:rsidRPr="00071CB5">
              <w:t>hrs</w:t>
            </w:r>
            <w:proofErr w:type="spellEnd"/>
            <w:r w:rsidRPr="00071CB5">
              <w:t>/contract</w:t>
            </w:r>
          </w:p>
        </w:tc>
      </w:tr>
      <w:tr w:rsidR="00071CB5" w:rsidRPr="00071CB5" w14:paraId="036BC149" w14:textId="77777777">
        <w:tc>
          <w:tcPr>
            <w:tcW w:w="5148" w:type="dxa"/>
            <w:tcBorders>
              <w:top w:val="single" w:sz="6" w:space="0" w:color="auto"/>
              <w:left w:val="single" w:sz="6" w:space="0" w:color="auto"/>
              <w:bottom w:val="single" w:sz="6" w:space="0" w:color="auto"/>
              <w:right w:val="single" w:sz="6" w:space="0" w:color="auto"/>
            </w:tcBorders>
            <w:hideMark/>
          </w:tcPr>
          <w:p w14:paraId="47C0DB01" w14:textId="77777777" w:rsidR="00071CB5" w:rsidRPr="00071CB5" w:rsidRDefault="00071CB5" w:rsidP="00071CB5">
            <w:r w:rsidRPr="00071CB5">
              <w:rPr>
                <w:b/>
                <w:bCs/>
              </w:rPr>
              <w:t>Annual savings</w:t>
            </w:r>
          </w:p>
        </w:tc>
        <w:tc>
          <w:tcPr>
            <w:tcW w:w="2520" w:type="dxa"/>
            <w:tcBorders>
              <w:top w:val="single" w:sz="6" w:space="0" w:color="auto"/>
              <w:left w:val="single" w:sz="6" w:space="0" w:color="auto"/>
              <w:bottom w:val="single" w:sz="6" w:space="0" w:color="auto"/>
              <w:right w:val="single" w:sz="6" w:space="0" w:color="auto"/>
            </w:tcBorders>
            <w:hideMark/>
          </w:tcPr>
          <w:p w14:paraId="4C9E902D" w14:textId="77777777" w:rsidR="00071CB5" w:rsidRPr="00071CB5" w:rsidRDefault="00071CB5" w:rsidP="00071CB5">
            <w:r w:rsidRPr="00071CB5">
              <w:t xml:space="preserve">20 x 32 </w:t>
            </w:r>
            <w:proofErr w:type="spellStart"/>
            <w:r w:rsidRPr="00071CB5">
              <w:t>hrs</w:t>
            </w:r>
            <w:proofErr w:type="spellEnd"/>
            <w:r w:rsidRPr="00071CB5">
              <w:t xml:space="preserve"> saved x $85</w:t>
            </w:r>
          </w:p>
        </w:tc>
        <w:tc>
          <w:tcPr>
            <w:tcW w:w="1800" w:type="dxa"/>
            <w:tcBorders>
              <w:top w:val="single" w:sz="6" w:space="0" w:color="auto"/>
              <w:left w:val="single" w:sz="6" w:space="0" w:color="auto"/>
              <w:bottom w:val="single" w:sz="6" w:space="0" w:color="auto"/>
              <w:right w:val="single" w:sz="6" w:space="0" w:color="auto"/>
            </w:tcBorders>
            <w:hideMark/>
          </w:tcPr>
          <w:p w14:paraId="7A0DEDE1" w14:textId="77777777" w:rsidR="00071CB5" w:rsidRPr="00071CB5" w:rsidRDefault="00071CB5" w:rsidP="00071CB5">
            <w:r w:rsidRPr="00071CB5">
              <w:rPr>
                <w:b/>
                <w:bCs/>
              </w:rPr>
              <w:t>$54,400</w:t>
            </w:r>
          </w:p>
        </w:tc>
      </w:tr>
    </w:tbl>
    <w:p w14:paraId="57E2BA67" w14:textId="77777777" w:rsidR="00071CB5" w:rsidRPr="00071CB5" w:rsidRDefault="00071CB5" w:rsidP="00071CB5"/>
    <w:p w14:paraId="3015D3B1" w14:textId="77777777" w:rsidR="00071CB5" w:rsidRPr="00071CB5" w:rsidRDefault="00071CB5" w:rsidP="00071CB5">
      <w:r w:rsidRPr="00071CB5">
        <w:rPr>
          <w:b/>
          <w:bCs/>
        </w:rPr>
        <w:t>D. Annual Renewal Review Savings</w:t>
      </w:r>
    </w:p>
    <w:p w14:paraId="5066F1B6" w14:textId="77777777" w:rsidR="00071CB5" w:rsidRPr="00071CB5" w:rsidRDefault="00071CB5" w:rsidP="00071CB5"/>
    <w:tbl>
      <w:tblPr>
        <w:tblW w:w="0" w:type="auto"/>
        <w:tblLayout w:type="fixed"/>
        <w:tblLook w:val="04A0" w:firstRow="1" w:lastRow="0" w:firstColumn="1" w:lastColumn="0" w:noHBand="0" w:noVBand="1"/>
      </w:tblPr>
      <w:tblGrid>
        <w:gridCol w:w="5148"/>
        <w:gridCol w:w="2520"/>
        <w:gridCol w:w="1800"/>
      </w:tblGrid>
      <w:tr w:rsidR="00071CB5" w:rsidRPr="00071CB5" w14:paraId="2720038F" w14:textId="77777777">
        <w:tc>
          <w:tcPr>
            <w:tcW w:w="5148" w:type="dxa"/>
            <w:tcBorders>
              <w:top w:val="single" w:sz="6" w:space="0" w:color="auto"/>
              <w:left w:val="single" w:sz="6" w:space="0" w:color="auto"/>
              <w:bottom w:val="single" w:sz="6" w:space="0" w:color="auto"/>
              <w:right w:val="single" w:sz="6" w:space="0" w:color="auto"/>
            </w:tcBorders>
            <w:hideMark/>
          </w:tcPr>
          <w:p w14:paraId="1853A6BD" w14:textId="77777777" w:rsidR="00071CB5" w:rsidRPr="00071CB5" w:rsidRDefault="00071CB5" w:rsidP="00071CB5">
            <w:r w:rsidRPr="00071CB5">
              <w:rPr>
                <w:b/>
                <w:bCs/>
              </w:rPr>
              <w:t>Step</w:t>
            </w:r>
          </w:p>
        </w:tc>
        <w:tc>
          <w:tcPr>
            <w:tcW w:w="2520" w:type="dxa"/>
            <w:tcBorders>
              <w:top w:val="single" w:sz="6" w:space="0" w:color="auto"/>
              <w:left w:val="single" w:sz="6" w:space="0" w:color="auto"/>
              <w:bottom w:val="single" w:sz="6" w:space="0" w:color="auto"/>
              <w:right w:val="single" w:sz="6" w:space="0" w:color="auto"/>
            </w:tcBorders>
            <w:hideMark/>
          </w:tcPr>
          <w:p w14:paraId="5C306F69" w14:textId="77777777" w:rsidR="00071CB5" w:rsidRPr="00071CB5" w:rsidRDefault="00071CB5" w:rsidP="00071CB5">
            <w:r w:rsidRPr="00071CB5">
              <w:rPr>
                <w:b/>
                <w:bCs/>
              </w:rPr>
              <w:t>Calculation</w:t>
            </w:r>
          </w:p>
        </w:tc>
        <w:tc>
          <w:tcPr>
            <w:tcW w:w="1800" w:type="dxa"/>
            <w:tcBorders>
              <w:top w:val="single" w:sz="6" w:space="0" w:color="auto"/>
              <w:left w:val="single" w:sz="6" w:space="0" w:color="auto"/>
              <w:bottom w:val="single" w:sz="6" w:space="0" w:color="auto"/>
              <w:right w:val="single" w:sz="6" w:space="0" w:color="auto"/>
            </w:tcBorders>
            <w:hideMark/>
          </w:tcPr>
          <w:p w14:paraId="492EE550" w14:textId="77777777" w:rsidR="00071CB5" w:rsidRPr="00071CB5" w:rsidRDefault="00071CB5" w:rsidP="00071CB5">
            <w:r w:rsidRPr="00071CB5">
              <w:rPr>
                <w:b/>
                <w:bCs/>
              </w:rPr>
              <w:t>Result</w:t>
            </w:r>
          </w:p>
        </w:tc>
      </w:tr>
      <w:tr w:rsidR="00071CB5" w:rsidRPr="00071CB5" w14:paraId="0C97E7E4" w14:textId="77777777">
        <w:tc>
          <w:tcPr>
            <w:tcW w:w="5148" w:type="dxa"/>
            <w:tcBorders>
              <w:top w:val="single" w:sz="6" w:space="0" w:color="auto"/>
              <w:left w:val="single" w:sz="6" w:space="0" w:color="auto"/>
              <w:bottom w:val="single" w:sz="6" w:space="0" w:color="auto"/>
              <w:right w:val="single" w:sz="6" w:space="0" w:color="auto"/>
            </w:tcBorders>
            <w:hideMark/>
          </w:tcPr>
          <w:p w14:paraId="12354218" w14:textId="77777777" w:rsidR="00071CB5" w:rsidRPr="00071CB5" w:rsidRDefault="00071CB5" w:rsidP="00071CB5">
            <w:r w:rsidRPr="00071CB5">
              <w:t>Providers reviewed annually</w:t>
            </w:r>
          </w:p>
        </w:tc>
        <w:tc>
          <w:tcPr>
            <w:tcW w:w="2520" w:type="dxa"/>
            <w:tcBorders>
              <w:top w:val="single" w:sz="6" w:space="0" w:color="auto"/>
              <w:left w:val="single" w:sz="6" w:space="0" w:color="auto"/>
              <w:bottom w:val="single" w:sz="6" w:space="0" w:color="auto"/>
              <w:right w:val="single" w:sz="6" w:space="0" w:color="auto"/>
            </w:tcBorders>
          </w:tcPr>
          <w:p w14:paraId="20354E97" w14:textId="77777777" w:rsidR="00071CB5" w:rsidRPr="00071CB5" w:rsidRDefault="00071CB5" w:rsidP="00071CB5"/>
        </w:tc>
        <w:tc>
          <w:tcPr>
            <w:tcW w:w="1800" w:type="dxa"/>
            <w:tcBorders>
              <w:top w:val="single" w:sz="6" w:space="0" w:color="auto"/>
              <w:left w:val="single" w:sz="6" w:space="0" w:color="auto"/>
              <w:bottom w:val="single" w:sz="6" w:space="0" w:color="auto"/>
              <w:right w:val="single" w:sz="6" w:space="0" w:color="auto"/>
            </w:tcBorders>
            <w:hideMark/>
          </w:tcPr>
          <w:p w14:paraId="3814AF5A" w14:textId="77777777" w:rsidR="00071CB5" w:rsidRPr="00071CB5" w:rsidRDefault="00071CB5" w:rsidP="00071CB5">
            <w:r w:rsidRPr="00071CB5">
              <w:t>302</w:t>
            </w:r>
          </w:p>
        </w:tc>
      </w:tr>
      <w:tr w:rsidR="00071CB5" w:rsidRPr="00071CB5" w14:paraId="431D946D" w14:textId="77777777">
        <w:tc>
          <w:tcPr>
            <w:tcW w:w="5148" w:type="dxa"/>
            <w:tcBorders>
              <w:top w:val="single" w:sz="6" w:space="0" w:color="auto"/>
              <w:left w:val="single" w:sz="6" w:space="0" w:color="auto"/>
              <w:bottom w:val="single" w:sz="6" w:space="0" w:color="auto"/>
              <w:right w:val="single" w:sz="6" w:space="0" w:color="auto"/>
            </w:tcBorders>
            <w:hideMark/>
          </w:tcPr>
          <w:p w14:paraId="3AA7C14A" w14:textId="77777777" w:rsidR="00071CB5" w:rsidRPr="00071CB5" w:rsidRDefault="00071CB5" w:rsidP="00071CB5">
            <w:r w:rsidRPr="00071CB5">
              <w:t>Time before PCIP</w:t>
            </w:r>
          </w:p>
        </w:tc>
        <w:tc>
          <w:tcPr>
            <w:tcW w:w="2520" w:type="dxa"/>
            <w:tcBorders>
              <w:top w:val="single" w:sz="6" w:space="0" w:color="auto"/>
              <w:left w:val="single" w:sz="6" w:space="0" w:color="auto"/>
              <w:bottom w:val="single" w:sz="6" w:space="0" w:color="auto"/>
              <w:right w:val="single" w:sz="6" w:space="0" w:color="auto"/>
            </w:tcBorders>
            <w:hideMark/>
          </w:tcPr>
          <w:p w14:paraId="50AEF4D8" w14:textId="77777777" w:rsidR="00071CB5" w:rsidRPr="00071CB5" w:rsidRDefault="00071CB5" w:rsidP="00071CB5">
            <w:r w:rsidRPr="00071CB5">
              <w:t>Re-reading amendments for rate prep</w:t>
            </w:r>
          </w:p>
        </w:tc>
        <w:tc>
          <w:tcPr>
            <w:tcW w:w="1800" w:type="dxa"/>
            <w:tcBorders>
              <w:top w:val="single" w:sz="6" w:space="0" w:color="auto"/>
              <w:left w:val="single" w:sz="6" w:space="0" w:color="auto"/>
              <w:bottom w:val="single" w:sz="6" w:space="0" w:color="auto"/>
              <w:right w:val="single" w:sz="6" w:space="0" w:color="auto"/>
            </w:tcBorders>
            <w:hideMark/>
          </w:tcPr>
          <w:p w14:paraId="62F3EED0" w14:textId="77777777" w:rsidR="00071CB5" w:rsidRPr="00071CB5" w:rsidRDefault="00071CB5" w:rsidP="00071CB5">
            <w:r w:rsidRPr="00071CB5">
              <w:t xml:space="preserve">8 </w:t>
            </w:r>
            <w:proofErr w:type="spellStart"/>
            <w:r w:rsidRPr="00071CB5">
              <w:t>hrs</w:t>
            </w:r>
            <w:proofErr w:type="spellEnd"/>
            <w:r w:rsidRPr="00071CB5">
              <w:t>/provider</w:t>
            </w:r>
          </w:p>
        </w:tc>
      </w:tr>
      <w:tr w:rsidR="00071CB5" w:rsidRPr="00071CB5" w14:paraId="36457C08" w14:textId="77777777">
        <w:tc>
          <w:tcPr>
            <w:tcW w:w="5148" w:type="dxa"/>
            <w:tcBorders>
              <w:top w:val="single" w:sz="6" w:space="0" w:color="auto"/>
              <w:left w:val="single" w:sz="6" w:space="0" w:color="auto"/>
              <w:bottom w:val="single" w:sz="6" w:space="0" w:color="auto"/>
              <w:right w:val="single" w:sz="6" w:space="0" w:color="auto"/>
            </w:tcBorders>
            <w:hideMark/>
          </w:tcPr>
          <w:p w14:paraId="60D404E5" w14:textId="77777777" w:rsidR="00071CB5" w:rsidRPr="00071CB5" w:rsidRDefault="00071CB5" w:rsidP="00071CB5">
            <w:r w:rsidRPr="00071CB5">
              <w:t>Time with PCIP</w:t>
            </w:r>
          </w:p>
        </w:tc>
        <w:tc>
          <w:tcPr>
            <w:tcW w:w="2520" w:type="dxa"/>
            <w:tcBorders>
              <w:top w:val="single" w:sz="6" w:space="0" w:color="auto"/>
              <w:left w:val="single" w:sz="6" w:space="0" w:color="auto"/>
              <w:bottom w:val="single" w:sz="6" w:space="0" w:color="auto"/>
              <w:right w:val="single" w:sz="6" w:space="0" w:color="auto"/>
            </w:tcBorders>
            <w:hideMark/>
          </w:tcPr>
          <w:p w14:paraId="40CCA33A" w14:textId="77777777" w:rsidR="00071CB5" w:rsidRPr="00071CB5" w:rsidRDefault="00071CB5" w:rsidP="00071CB5">
            <w:r w:rsidRPr="00071CB5">
              <w:t>Reviewing pre-built rate &amp; clause tables</w:t>
            </w:r>
          </w:p>
        </w:tc>
        <w:tc>
          <w:tcPr>
            <w:tcW w:w="1800" w:type="dxa"/>
            <w:tcBorders>
              <w:top w:val="single" w:sz="6" w:space="0" w:color="auto"/>
              <w:left w:val="single" w:sz="6" w:space="0" w:color="auto"/>
              <w:bottom w:val="single" w:sz="6" w:space="0" w:color="auto"/>
              <w:right w:val="single" w:sz="6" w:space="0" w:color="auto"/>
            </w:tcBorders>
            <w:hideMark/>
          </w:tcPr>
          <w:p w14:paraId="059EC057" w14:textId="77777777" w:rsidR="00071CB5" w:rsidRPr="00071CB5" w:rsidRDefault="00071CB5" w:rsidP="00071CB5">
            <w:r w:rsidRPr="00071CB5">
              <w:t xml:space="preserve">1 </w:t>
            </w:r>
            <w:proofErr w:type="spellStart"/>
            <w:r w:rsidRPr="00071CB5">
              <w:t>hr</w:t>
            </w:r>
            <w:proofErr w:type="spellEnd"/>
            <w:r w:rsidRPr="00071CB5">
              <w:t>/provider</w:t>
            </w:r>
          </w:p>
        </w:tc>
      </w:tr>
      <w:tr w:rsidR="00071CB5" w:rsidRPr="00071CB5" w14:paraId="2CB718D4" w14:textId="77777777">
        <w:tc>
          <w:tcPr>
            <w:tcW w:w="5148" w:type="dxa"/>
            <w:tcBorders>
              <w:top w:val="single" w:sz="6" w:space="0" w:color="auto"/>
              <w:left w:val="single" w:sz="6" w:space="0" w:color="auto"/>
              <w:bottom w:val="single" w:sz="6" w:space="0" w:color="auto"/>
              <w:right w:val="single" w:sz="6" w:space="0" w:color="auto"/>
            </w:tcBorders>
            <w:hideMark/>
          </w:tcPr>
          <w:p w14:paraId="22B4221D" w14:textId="77777777" w:rsidR="00071CB5" w:rsidRPr="00071CB5" w:rsidRDefault="00071CB5" w:rsidP="00071CB5">
            <w:r w:rsidRPr="00071CB5">
              <w:rPr>
                <w:b/>
                <w:bCs/>
              </w:rPr>
              <w:lastRenderedPageBreak/>
              <w:t>Annual savings</w:t>
            </w:r>
          </w:p>
        </w:tc>
        <w:tc>
          <w:tcPr>
            <w:tcW w:w="2520" w:type="dxa"/>
            <w:tcBorders>
              <w:top w:val="single" w:sz="6" w:space="0" w:color="auto"/>
              <w:left w:val="single" w:sz="6" w:space="0" w:color="auto"/>
              <w:bottom w:val="single" w:sz="6" w:space="0" w:color="auto"/>
              <w:right w:val="single" w:sz="6" w:space="0" w:color="auto"/>
            </w:tcBorders>
            <w:hideMark/>
          </w:tcPr>
          <w:p w14:paraId="738D78E4" w14:textId="77777777" w:rsidR="00071CB5" w:rsidRPr="00071CB5" w:rsidRDefault="00071CB5" w:rsidP="00071CB5">
            <w:r w:rsidRPr="00071CB5">
              <w:t xml:space="preserve">302 x 7 </w:t>
            </w:r>
            <w:proofErr w:type="spellStart"/>
            <w:r w:rsidRPr="00071CB5">
              <w:t>hrs</w:t>
            </w:r>
            <w:proofErr w:type="spellEnd"/>
            <w:r w:rsidRPr="00071CB5">
              <w:t xml:space="preserve"> saved x $85</w:t>
            </w:r>
          </w:p>
        </w:tc>
        <w:tc>
          <w:tcPr>
            <w:tcW w:w="1800" w:type="dxa"/>
            <w:tcBorders>
              <w:top w:val="single" w:sz="6" w:space="0" w:color="auto"/>
              <w:left w:val="single" w:sz="6" w:space="0" w:color="auto"/>
              <w:bottom w:val="single" w:sz="6" w:space="0" w:color="auto"/>
              <w:right w:val="single" w:sz="6" w:space="0" w:color="auto"/>
            </w:tcBorders>
            <w:hideMark/>
          </w:tcPr>
          <w:p w14:paraId="1563B22D" w14:textId="77777777" w:rsidR="00071CB5" w:rsidRPr="00071CB5" w:rsidRDefault="00071CB5" w:rsidP="00071CB5">
            <w:r w:rsidRPr="00071CB5">
              <w:rPr>
                <w:b/>
                <w:bCs/>
              </w:rPr>
              <w:t>$179,390</w:t>
            </w:r>
          </w:p>
        </w:tc>
      </w:tr>
    </w:tbl>
    <w:p w14:paraId="07404480" w14:textId="77777777" w:rsidR="00071CB5" w:rsidRPr="00071CB5" w:rsidRDefault="00071CB5" w:rsidP="00071CB5"/>
    <w:p w14:paraId="4790A0EA" w14:textId="77777777" w:rsidR="00071CB5" w:rsidRPr="00071CB5" w:rsidRDefault="00071CB5" w:rsidP="00071CB5">
      <w:r w:rsidRPr="00071CB5">
        <w:rPr>
          <w:b/>
          <w:bCs/>
        </w:rPr>
        <w:t>E. SaaS License Avoidance</w:t>
      </w:r>
    </w:p>
    <w:p w14:paraId="127A169D" w14:textId="77777777" w:rsidR="00071CB5" w:rsidRPr="00071CB5" w:rsidRDefault="00071CB5" w:rsidP="00071CB5"/>
    <w:p w14:paraId="70C24432" w14:textId="77777777" w:rsidR="00071CB5" w:rsidRPr="00071CB5" w:rsidRDefault="00071CB5" w:rsidP="00071CB5">
      <w:r w:rsidRPr="00071CB5">
        <w:t xml:space="preserve">PCIP replaces the need for a third-party contract intelligence platform. Enterprise SaaS offerings at BSC’s scale (Icertis, </w:t>
      </w:r>
      <w:proofErr w:type="spellStart"/>
      <w:r w:rsidRPr="00071CB5">
        <w:t>Evisort</w:t>
      </w:r>
      <w:proofErr w:type="spellEnd"/>
      <w:r w:rsidRPr="00071CB5">
        <w:t xml:space="preserve">, </w:t>
      </w:r>
      <w:proofErr w:type="spellStart"/>
      <w:r w:rsidRPr="00071CB5">
        <w:t>LinkSquares</w:t>
      </w:r>
      <w:proofErr w:type="spellEnd"/>
      <w:r w:rsidRPr="00071CB5">
        <w:t>, Ironclad) are typically priced as follows:</w:t>
      </w:r>
    </w:p>
    <w:p w14:paraId="67BF3716" w14:textId="77777777" w:rsidR="00071CB5" w:rsidRPr="00071CB5" w:rsidRDefault="00071CB5" w:rsidP="00071CB5"/>
    <w:tbl>
      <w:tblPr>
        <w:tblW w:w="0" w:type="auto"/>
        <w:tblLayout w:type="fixed"/>
        <w:tblLook w:val="04A0" w:firstRow="1" w:lastRow="0" w:firstColumn="1" w:lastColumn="0" w:noHBand="0" w:noVBand="1"/>
      </w:tblPr>
      <w:tblGrid>
        <w:gridCol w:w="5868"/>
        <w:gridCol w:w="3600"/>
      </w:tblGrid>
      <w:tr w:rsidR="00071CB5" w:rsidRPr="00071CB5" w14:paraId="541137FE" w14:textId="77777777">
        <w:tc>
          <w:tcPr>
            <w:tcW w:w="5868" w:type="dxa"/>
            <w:tcBorders>
              <w:top w:val="single" w:sz="6" w:space="0" w:color="auto"/>
              <w:left w:val="single" w:sz="6" w:space="0" w:color="auto"/>
              <w:bottom w:val="single" w:sz="6" w:space="0" w:color="auto"/>
              <w:right w:val="single" w:sz="6" w:space="0" w:color="auto"/>
            </w:tcBorders>
            <w:hideMark/>
          </w:tcPr>
          <w:p w14:paraId="2DB129D3" w14:textId="77777777" w:rsidR="00071CB5" w:rsidRPr="00071CB5" w:rsidRDefault="00071CB5" w:rsidP="00071CB5">
            <w:r w:rsidRPr="00071CB5">
              <w:rPr>
                <w:b/>
                <w:bCs/>
              </w:rPr>
              <w:t>Component</w:t>
            </w:r>
          </w:p>
        </w:tc>
        <w:tc>
          <w:tcPr>
            <w:tcW w:w="3600" w:type="dxa"/>
            <w:tcBorders>
              <w:top w:val="single" w:sz="6" w:space="0" w:color="auto"/>
              <w:left w:val="single" w:sz="6" w:space="0" w:color="auto"/>
              <w:bottom w:val="single" w:sz="6" w:space="0" w:color="auto"/>
              <w:right w:val="single" w:sz="6" w:space="0" w:color="auto"/>
            </w:tcBorders>
            <w:hideMark/>
          </w:tcPr>
          <w:p w14:paraId="009E4D89" w14:textId="77777777" w:rsidR="00071CB5" w:rsidRPr="00071CB5" w:rsidRDefault="00071CB5" w:rsidP="00071CB5">
            <w:r w:rsidRPr="00071CB5">
              <w:rPr>
                <w:b/>
                <w:bCs/>
              </w:rPr>
              <w:t>Market Range</w:t>
            </w:r>
          </w:p>
        </w:tc>
      </w:tr>
      <w:tr w:rsidR="00071CB5" w:rsidRPr="00071CB5" w14:paraId="15E0EF2F" w14:textId="77777777">
        <w:tc>
          <w:tcPr>
            <w:tcW w:w="5868" w:type="dxa"/>
            <w:tcBorders>
              <w:top w:val="single" w:sz="6" w:space="0" w:color="auto"/>
              <w:left w:val="single" w:sz="6" w:space="0" w:color="auto"/>
              <w:bottom w:val="single" w:sz="6" w:space="0" w:color="auto"/>
              <w:right w:val="single" w:sz="6" w:space="0" w:color="auto"/>
            </w:tcBorders>
            <w:hideMark/>
          </w:tcPr>
          <w:p w14:paraId="339DE018" w14:textId="77777777" w:rsidR="00071CB5" w:rsidRPr="00071CB5" w:rsidRDefault="00071CB5" w:rsidP="00071CB5">
            <w:r w:rsidRPr="00071CB5">
              <w:t>Annual SaaS license</w:t>
            </w:r>
          </w:p>
        </w:tc>
        <w:tc>
          <w:tcPr>
            <w:tcW w:w="3600" w:type="dxa"/>
            <w:tcBorders>
              <w:top w:val="single" w:sz="6" w:space="0" w:color="auto"/>
              <w:left w:val="single" w:sz="6" w:space="0" w:color="auto"/>
              <w:bottom w:val="single" w:sz="6" w:space="0" w:color="auto"/>
              <w:right w:val="single" w:sz="6" w:space="0" w:color="auto"/>
            </w:tcBorders>
            <w:hideMark/>
          </w:tcPr>
          <w:p w14:paraId="4AAACF56" w14:textId="77777777" w:rsidR="00071CB5" w:rsidRPr="00071CB5" w:rsidRDefault="00071CB5" w:rsidP="00071CB5">
            <w:r w:rsidRPr="00071CB5">
              <w:t>$150,000–$500,000/year</w:t>
            </w:r>
          </w:p>
        </w:tc>
      </w:tr>
      <w:tr w:rsidR="00071CB5" w:rsidRPr="00071CB5" w14:paraId="34DD91A7" w14:textId="77777777">
        <w:tc>
          <w:tcPr>
            <w:tcW w:w="5868" w:type="dxa"/>
            <w:tcBorders>
              <w:top w:val="single" w:sz="6" w:space="0" w:color="auto"/>
              <w:left w:val="single" w:sz="6" w:space="0" w:color="auto"/>
              <w:bottom w:val="single" w:sz="6" w:space="0" w:color="auto"/>
              <w:right w:val="single" w:sz="6" w:space="0" w:color="auto"/>
            </w:tcBorders>
            <w:hideMark/>
          </w:tcPr>
          <w:p w14:paraId="7144A8DA" w14:textId="77777777" w:rsidR="00071CB5" w:rsidRPr="00071CB5" w:rsidRDefault="00071CB5" w:rsidP="00071CB5">
            <w:r w:rsidRPr="00071CB5">
              <w:t>One-time implementation &amp; onboarding</w:t>
            </w:r>
          </w:p>
        </w:tc>
        <w:tc>
          <w:tcPr>
            <w:tcW w:w="3600" w:type="dxa"/>
            <w:tcBorders>
              <w:top w:val="single" w:sz="6" w:space="0" w:color="auto"/>
              <w:left w:val="single" w:sz="6" w:space="0" w:color="auto"/>
              <w:bottom w:val="single" w:sz="6" w:space="0" w:color="auto"/>
              <w:right w:val="single" w:sz="6" w:space="0" w:color="auto"/>
            </w:tcBorders>
            <w:hideMark/>
          </w:tcPr>
          <w:p w14:paraId="720E97AC" w14:textId="77777777" w:rsidR="00071CB5" w:rsidRPr="00071CB5" w:rsidRDefault="00071CB5" w:rsidP="00071CB5">
            <w:r w:rsidRPr="00071CB5">
              <w:t>$50,000–$200,000 (one-time, excluded from annual)</w:t>
            </w:r>
          </w:p>
        </w:tc>
      </w:tr>
    </w:tbl>
    <w:p w14:paraId="33298A5C" w14:textId="77777777" w:rsidR="00071CB5" w:rsidRPr="00071CB5" w:rsidRDefault="00071CB5" w:rsidP="00071CB5"/>
    <w:p w14:paraId="5BADCB54" w14:textId="77777777" w:rsidR="00071CB5" w:rsidRPr="00071CB5" w:rsidRDefault="00071CB5" w:rsidP="00071CB5">
      <w:r w:rsidRPr="00071CB5">
        <w:rPr>
          <w:b/>
          <w:bCs/>
        </w:rPr>
        <w:t>Annual SaaS avoidance: $150,000–$500,000</w:t>
      </w:r>
    </w:p>
    <w:p w14:paraId="355E428A" w14:textId="77777777" w:rsidR="00071CB5" w:rsidRPr="00071CB5" w:rsidRDefault="00071CB5" w:rsidP="00071CB5"/>
    <w:p w14:paraId="7C2B669F" w14:textId="77777777" w:rsidR="00071CB5" w:rsidRPr="00071CB5" w:rsidRDefault="00071CB5" w:rsidP="00071CB5">
      <w:r w:rsidRPr="00071CB5">
        <w:t>These platforms do not deliver a BSC-specific reimbursement data model, amendment-resolution logic, or program-level normalization — so the functional comparison understates the advantage of PCIP.</w:t>
      </w:r>
    </w:p>
    <w:p w14:paraId="280CCE56" w14:textId="77777777" w:rsidR="00071CB5" w:rsidRPr="00071CB5" w:rsidRDefault="00071CB5" w:rsidP="00071CB5"/>
    <w:p w14:paraId="0E54745D" w14:textId="77777777" w:rsidR="00071CB5" w:rsidRPr="00071CB5" w:rsidRDefault="00071CB5" w:rsidP="00071CB5">
      <w:r w:rsidRPr="00071CB5">
        <w:rPr>
          <w:b/>
          <w:bCs/>
        </w:rPr>
        <w:t>F. Total Annual Savings Summary</w:t>
      </w:r>
    </w:p>
    <w:p w14:paraId="5900D353" w14:textId="77777777" w:rsidR="00071CB5" w:rsidRPr="00071CB5" w:rsidRDefault="00071CB5" w:rsidP="00071CB5"/>
    <w:tbl>
      <w:tblPr>
        <w:tblW w:w="0" w:type="auto"/>
        <w:tblLayout w:type="fixed"/>
        <w:tblLook w:val="04A0" w:firstRow="1" w:lastRow="0" w:firstColumn="1" w:lastColumn="0" w:noHBand="0" w:noVBand="1"/>
      </w:tblPr>
      <w:tblGrid>
        <w:gridCol w:w="6588"/>
        <w:gridCol w:w="2880"/>
      </w:tblGrid>
      <w:tr w:rsidR="00071CB5" w:rsidRPr="00071CB5" w14:paraId="2214E88E" w14:textId="77777777">
        <w:tc>
          <w:tcPr>
            <w:tcW w:w="6588" w:type="dxa"/>
            <w:tcBorders>
              <w:top w:val="single" w:sz="6" w:space="0" w:color="auto"/>
              <w:left w:val="single" w:sz="6" w:space="0" w:color="auto"/>
              <w:bottom w:val="single" w:sz="6" w:space="0" w:color="auto"/>
              <w:right w:val="single" w:sz="6" w:space="0" w:color="auto"/>
            </w:tcBorders>
            <w:hideMark/>
          </w:tcPr>
          <w:p w14:paraId="0FB7F232" w14:textId="77777777" w:rsidR="00071CB5" w:rsidRPr="00071CB5" w:rsidRDefault="00071CB5" w:rsidP="00071CB5">
            <w:r w:rsidRPr="00071CB5">
              <w:rPr>
                <w:b/>
                <w:bCs/>
              </w:rPr>
              <w:t>Category</w:t>
            </w:r>
          </w:p>
        </w:tc>
        <w:tc>
          <w:tcPr>
            <w:tcW w:w="2880" w:type="dxa"/>
            <w:tcBorders>
              <w:top w:val="single" w:sz="6" w:space="0" w:color="auto"/>
              <w:left w:val="single" w:sz="6" w:space="0" w:color="auto"/>
              <w:bottom w:val="single" w:sz="6" w:space="0" w:color="auto"/>
              <w:right w:val="single" w:sz="6" w:space="0" w:color="auto"/>
            </w:tcBorders>
            <w:hideMark/>
          </w:tcPr>
          <w:p w14:paraId="1ED30FE1" w14:textId="77777777" w:rsidR="00071CB5" w:rsidRPr="00071CB5" w:rsidRDefault="00071CB5" w:rsidP="00071CB5">
            <w:r w:rsidRPr="00071CB5">
              <w:rPr>
                <w:b/>
                <w:bCs/>
              </w:rPr>
              <w:t>Annual Savings</w:t>
            </w:r>
          </w:p>
        </w:tc>
      </w:tr>
      <w:tr w:rsidR="00071CB5" w:rsidRPr="00071CB5" w14:paraId="50A8C6A8" w14:textId="77777777">
        <w:tc>
          <w:tcPr>
            <w:tcW w:w="6588" w:type="dxa"/>
            <w:tcBorders>
              <w:top w:val="single" w:sz="6" w:space="0" w:color="auto"/>
              <w:left w:val="single" w:sz="6" w:space="0" w:color="auto"/>
              <w:bottom w:val="single" w:sz="6" w:space="0" w:color="auto"/>
              <w:right w:val="single" w:sz="6" w:space="0" w:color="auto"/>
            </w:tcBorders>
            <w:hideMark/>
          </w:tcPr>
          <w:p w14:paraId="172A63CF" w14:textId="77777777" w:rsidR="00071CB5" w:rsidRPr="00071CB5" w:rsidRDefault="00071CB5" w:rsidP="00071CB5">
            <w:r w:rsidRPr="00071CB5">
              <w:t>Analyst time — contract research (conservative)</w:t>
            </w:r>
          </w:p>
        </w:tc>
        <w:tc>
          <w:tcPr>
            <w:tcW w:w="2880" w:type="dxa"/>
            <w:tcBorders>
              <w:top w:val="single" w:sz="6" w:space="0" w:color="auto"/>
              <w:left w:val="single" w:sz="6" w:space="0" w:color="auto"/>
              <w:bottom w:val="single" w:sz="6" w:space="0" w:color="auto"/>
              <w:right w:val="single" w:sz="6" w:space="0" w:color="auto"/>
            </w:tcBorders>
            <w:hideMark/>
          </w:tcPr>
          <w:p w14:paraId="5043B5F8" w14:textId="77777777" w:rsidR="00071CB5" w:rsidRPr="00071CB5" w:rsidRDefault="00071CB5" w:rsidP="00071CB5">
            <w:r w:rsidRPr="00071CB5">
              <w:t>$308,040</w:t>
            </w:r>
          </w:p>
        </w:tc>
      </w:tr>
      <w:tr w:rsidR="00071CB5" w:rsidRPr="00071CB5" w14:paraId="142C00EF" w14:textId="77777777">
        <w:tc>
          <w:tcPr>
            <w:tcW w:w="6588" w:type="dxa"/>
            <w:tcBorders>
              <w:top w:val="single" w:sz="6" w:space="0" w:color="auto"/>
              <w:left w:val="single" w:sz="6" w:space="0" w:color="auto"/>
              <w:bottom w:val="single" w:sz="6" w:space="0" w:color="auto"/>
              <w:right w:val="single" w:sz="6" w:space="0" w:color="auto"/>
            </w:tcBorders>
            <w:hideMark/>
          </w:tcPr>
          <w:p w14:paraId="75D9F385" w14:textId="77777777" w:rsidR="00071CB5" w:rsidRPr="00071CB5" w:rsidRDefault="00071CB5" w:rsidP="00071CB5">
            <w:r w:rsidRPr="00071CB5">
              <w:t>New contract onboarding (20/yr)</w:t>
            </w:r>
          </w:p>
        </w:tc>
        <w:tc>
          <w:tcPr>
            <w:tcW w:w="2880" w:type="dxa"/>
            <w:tcBorders>
              <w:top w:val="single" w:sz="6" w:space="0" w:color="auto"/>
              <w:left w:val="single" w:sz="6" w:space="0" w:color="auto"/>
              <w:bottom w:val="single" w:sz="6" w:space="0" w:color="auto"/>
              <w:right w:val="single" w:sz="6" w:space="0" w:color="auto"/>
            </w:tcBorders>
            <w:hideMark/>
          </w:tcPr>
          <w:p w14:paraId="45602303" w14:textId="77777777" w:rsidR="00071CB5" w:rsidRPr="00071CB5" w:rsidRDefault="00071CB5" w:rsidP="00071CB5">
            <w:r w:rsidRPr="00071CB5">
              <w:t>$54,400</w:t>
            </w:r>
          </w:p>
        </w:tc>
      </w:tr>
      <w:tr w:rsidR="00071CB5" w:rsidRPr="00071CB5" w14:paraId="7F58B736" w14:textId="77777777">
        <w:tc>
          <w:tcPr>
            <w:tcW w:w="6588" w:type="dxa"/>
            <w:tcBorders>
              <w:top w:val="single" w:sz="6" w:space="0" w:color="auto"/>
              <w:left w:val="single" w:sz="6" w:space="0" w:color="auto"/>
              <w:bottom w:val="single" w:sz="6" w:space="0" w:color="auto"/>
              <w:right w:val="single" w:sz="6" w:space="0" w:color="auto"/>
            </w:tcBorders>
            <w:hideMark/>
          </w:tcPr>
          <w:p w14:paraId="772C984E" w14:textId="77777777" w:rsidR="00071CB5" w:rsidRPr="00071CB5" w:rsidRDefault="00071CB5" w:rsidP="00071CB5">
            <w:r w:rsidRPr="00071CB5">
              <w:t>Annual renewal review</w:t>
            </w:r>
          </w:p>
        </w:tc>
        <w:tc>
          <w:tcPr>
            <w:tcW w:w="2880" w:type="dxa"/>
            <w:tcBorders>
              <w:top w:val="single" w:sz="6" w:space="0" w:color="auto"/>
              <w:left w:val="single" w:sz="6" w:space="0" w:color="auto"/>
              <w:bottom w:val="single" w:sz="6" w:space="0" w:color="auto"/>
              <w:right w:val="single" w:sz="6" w:space="0" w:color="auto"/>
            </w:tcBorders>
            <w:hideMark/>
          </w:tcPr>
          <w:p w14:paraId="04DBCD1E" w14:textId="77777777" w:rsidR="00071CB5" w:rsidRPr="00071CB5" w:rsidRDefault="00071CB5" w:rsidP="00071CB5">
            <w:r w:rsidRPr="00071CB5">
              <w:t>$179,390</w:t>
            </w:r>
          </w:p>
        </w:tc>
      </w:tr>
      <w:tr w:rsidR="00071CB5" w:rsidRPr="00071CB5" w14:paraId="62051483" w14:textId="77777777">
        <w:tc>
          <w:tcPr>
            <w:tcW w:w="6588" w:type="dxa"/>
            <w:tcBorders>
              <w:top w:val="single" w:sz="6" w:space="0" w:color="auto"/>
              <w:left w:val="single" w:sz="6" w:space="0" w:color="auto"/>
              <w:bottom w:val="single" w:sz="6" w:space="0" w:color="auto"/>
              <w:right w:val="single" w:sz="6" w:space="0" w:color="auto"/>
            </w:tcBorders>
            <w:hideMark/>
          </w:tcPr>
          <w:p w14:paraId="09797F1E" w14:textId="77777777" w:rsidR="00071CB5" w:rsidRPr="00071CB5" w:rsidRDefault="00071CB5" w:rsidP="00071CB5">
            <w:r w:rsidRPr="00071CB5">
              <w:t>SaaS license avoidance</w:t>
            </w:r>
          </w:p>
        </w:tc>
        <w:tc>
          <w:tcPr>
            <w:tcW w:w="2880" w:type="dxa"/>
            <w:tcBorders>
              <w:top w:val="single" w:sz="6" w:space="0" w:color="auto"/>
              <w:left w:val="single" w:sz="6" w:space="0" w:color="auto"/>
              <w:bottom w:val="single" w:sz="6" w:space="0" w:color="auto"/>
              <w:right w:val="single" w:sz="6" w:space="0" w:color="auto"/>
            </w:tcBorders>
            <w:hideMark/>
          </w:tcPr>
          <w:p w14:paraId="150E55FA" w14:textId="77777777" w:rsidR="00071CB5" w:rsidRPr="00071CB5" w:rsidRDefault="00071CB5" w:rsidP="00071CB5">
            <w:r w:rsidRPr="00071CB5">
              <w:t>$150,000–$500,000</w:t>
            </w:r>
          </w:p>
        </w:tc>
      </w:tr>
      <w:tr w:rsidR="00071CB5" w:rsidRPr="00071CB5" w14:paraId="26685D07" w14:textId="77777777">
        <w:tc>
          <w:tcPr>
            <w:tcW w:w="6588" w:type="dxa"/>
            <w:tcBorders>
              <w:top w:val="single" w:sz="6" w:space="0" w:color="auto"/>
              <w:left w:val="single" w:sz="6" w:space="0" w:color="auto"/>
              <w:bottom w:val="single" w:sz="6" w:space="0" w:color="auto"/>
              <w:right w:val="single" w:sz="6" w:space="0" w:color="auto"/>
            </w:tcBorders>
            <w:hideMark/>
          </w:tcPr>
          <w:p w14:paraId="77F0C45F" w14:textId="77777777" w:rsidR="00071CB5" w:rsidRPr="00071CB5" w:rsidRDefault="00071CB5" w:rsidP="00071CB5">
            <w:r w:rsidRPr="00071CB5">
              <w:rPr>
                <w:b/>
                <w:bCs/>
              </w:rPr>
              <w:lastRenderedPageBreak/>
              <w:t>Total annual value</w:t>
            </w:r>
          </w:p>
        </w:tc>
        <w:tc>
          <w:tcPr>
            <w:tcW w:w="2880" w:type="dxa"/>
            <w:tcBorders>
              <w:top w:val="single" w:sz="6" w:space="0" w:color="auto"/>
              <w:left w:val="single" w:sz="6" w:space="0" w:color="auto"/>
              <w:bottom w:val="single" w:sz="6" w:space="0" w:color="auto"/>
              <w:right w:val="single" w:sz="6" w:space="0" w:color="auto"/>
            </w:tcBorders>
            <w:hideMark/>
          </w:tcPr>
          <w:p w14:paraId="6AAA6818" w14:textId="77777777" w:rsidR="00071CB5" w:rsidRPr="00071CB5" w:rsidRDefault="00071CB5" w:rsidP="00071CB5">
            <w:r w:rsidRPr="00071CB5">
              <w:rPr>
                <w:b/>
                <w:bCs/>
              </w:rPr>
              <w:t>$691,830–$1,041,830</w:t>
            </w:r>
          </w:p>
        </w:tc>
      </w:tr>
    </w:tbl>
    <w:p w14:paraId="0CC59622" w14:textId="77777777" w:rsidR="00071CB5" w:rsidRPr="00071CB5" w:rsidRDefault="00071CB5" w:rsidP="00071CB5"/>
    <w:p w14:paraId="131D5FDC" w14:textId="77777777" w:rsidR="00071CB5" w:rsidRPr="00071CB5" w:rsidRDefault="00071CB5" w:rsidP="00071CB5">
      <w:r w:rsidRPr="00071CB5">
        <w:rPr>
          <w:b/>
          <w:bCs/>
        </w:rPr>
        <w:t>G. Return on Investment</w:t>
      </w:r>
    </w:p>
    <w:p w14:paraId="68F335AA" w14:textId="77777777" w:rsidR="00071CB5" w:rsidRPr="00071CB5" w:rsidRDefault="00071CB5" w:rsidP="00071CB5"/>
    <w:tbl>
      <w:tblPr>
        <w:tblW w:w="0" w:type="auto"/>
        <w:tblLayout w:type="fixed"/>
        <w:tblLook w:val="04A0" w:firstRow="1" w:lastRow="0" w:firstColumn="1" w:lastColumn="0" w:noHBand="0" w:noVBand="1"/>
      </w:tblPr>
      <w:tblGrid>
        <w:gridCol w:w="3348"/>
        <w:gridCol w:w="2520"/>
        <w:gridCol w:w="2160"/>
        <w:gridCol w:w="1440"/>
      </w:tblGrid>
      <w:tr w:rsidR="00071CB5" w:rsidRPr="00071CB5" w14:paraId="7AA42B5B" w14:textId="77777777">
        <w:tc>
          <w:tcPr>
            <w:tcW w:w="3348" w:type="dxa"/>
            <w:tcBorders>
              <w:top w:val="single" w:sz="6" w:space="0" w:color="auto"/>
              <w:left w:val="single" w:sz="6" w:space="0" w:color="auto"/>
              <w:bottom w:val="single" w:sz="6" w:space="0" w:color="auto"/>
              <w:right w:val="single" w:sz="6" w:space="0" w:color="auto"/>
            </w:tcBorders>
            <w:hideMark/>
          </w:tcPr>
          <w:p w14:paraId="555EA42E" w14:textId="77777777" w:rsidR="00071CB5" w:rsidRPr="00071CB5" w:rsidRDefault="00071CB5" w:rsidP="00071CB5">
            <w:r w:rsidRPr="00071CB5">
              <w:rPr>
                <w:b/>
                <w:bCs/>
              </w:rPr>
              <w:t>Scenario</w:t>
            </w:r>
          </w:p>
        </w:tc>
        <w:tc>
          <w:tcPr>
            <w:tcW w:w="2520" w:type="dxa"/>
            <w:tcBorders>
              <w:top w:val="single" w:sz="6" w:space="0" w:color="auto"/>
              <w:left w:val="single" w:sz="6" w:space="0" w:color="auto"/>
              <w:bottom w:val="single" w:sz="6" w:space="0" w:color="auto"/>
              <w:right w:val="single" w:sz="6" w:space="0" w:color="auto"/>
            </w:tcBorders>
            <w:hideMark/>
          </w:tcPr>
          <w:p w14:paraId="2ACD685B" w14:textId="77777777" w:rsidR="00071CB5" w:rsidRPr="00071CB5" w:rsidRDefault="00071CB5" w:rsidP="00071CB5">
            <w:r w:rsidRPr="00071CB5">
              <w:rPr>
                <w:b/>
                <w:bCs/>
              </w:rPr>
              <w:t>Annual Savings</w:t>
            </w:r>
          </w:p>
        </w:tc>
        <w:tc>
          <w:tcPr>
            <w:tcW w:w="2160" w:type="dxa"/>
            <w:tcBorders>
              <w:top w:val="single" w:sz="6" w:space="0" w:color="auto"/>
              <w:left w:val="single" w:sz="6" w:space="0" w:color="auto"/>
              <w:bottom w:val="single" w:sz="6" w:space="0" w:color="auto"/>
              <w:right w:val="single" w:sz="6" w:space="0" w:color="auto"/>
            </w:tcBorders>
            <w:hideMark/>
          </w:tcPr>
          <w:p w14:paraId="25293743" w14:textId="77777777" w:rsidR="00071CB5" w:rsidRPr="00071CB5" w:rsidRDefault="00071CB5" w:rsidP="00071CB5">
            <w:r w:rsidRPr="00071CB5">
              <w:rPr>
                <w:b/>
                <w:bCs/>
              </w:rPr>
              <w:t>Annual Ops Cost</w:t>
            </w:r>
          </w:p>
        </w:tc>
        <w:tc>
          <w:tcPr>
            <w:tcW w:w="1440" w:type="dxa"/>
            <w:tcBorders>
              <w:top w:val="single" w:sz="6" w:space="0" w:color="auto"/>
              <w:left w:val="single" w:sz="6" w:space="0" w:color="auto"/>
              <w:bottom w:val="single" w:sz="6" w:space="0" w:color="auto"/>
              <w:right w:val="single" w:sz="6" w:space="0" w:color="auto"/>
            </w:tcBorders>
            <w:hideMark/>
          </w:tcPr>
          <w:p w14:paraId="3939D4C4" w14:textId="77777777" w:rsidR="00071CB5" w:rsidRPr="00071CB5" w:rsidRDefault="00071CB5" w:rsidP="00071CB5">
            <w:r w:rsidRPr="00071CB5">
              <w:rPr>
                <w:b/>
                <w:bCs/>
              </w:rPr>
              <w:t>ROI Multiple</w:t>
            </w:r>
          </w:p>
        </w:tc>
      </w:tr>
      <w:tr w:rsidR="00071CB5" w:rsidRPr="00071CB5" w14:paraId="150F3E6B" w14:textId="77777777">
        <w:tc>
          <w:tcPr>
            <w:tcW w:w="3348" w:type="dxa"/>
            <w:tcBorders>
              <w:top w:val="single" w:sz="6" w:space="0" w:color="auto"/>
              <w:left w:val="single" w:sz="6" w:space="0" w:color="auto"/>
              <w:bottom w:val="single" w:sz="6" w:space="0" w:color="auto"/>
              <w:right w:val="single" w:sz="6" w:space="0" w:color="auto"/>
            </w:tcBorders>
            <w:hideMark/>
          </w:tcPr>
          <w:p w14:paraId="07203F31" w14:textId="77777777" w:rsidR="00071CB5" w:rsidRPr="00071CB5" w:rsidRDefault="00071CB5" w:rsidP="00071CB5">
            <w:r w:rsidRPr="00071CB5">
              <w:t>Conservative</w:t>
            </w:r>
          </w:p>
        </w:tc>
        <w:tc>
          <w:tcPr>
            <w:tcW w:w="2520" w:type="dxa"/>
            <w:tcBorders>
              <w:top w:val="single" w:sz="6" w:space="0" w:color="auto"/>
              <w:left w:val="single" w:sz="6" w:space="0" w:color="auto"/>
              <w:bottom w:val="single" w:sz="6" w:space="0" w:color="auto"/>
              <w:right w:val="single" w:sz="6" w:space="0" w:color="auto"/>
            </w:tcBorders>
            <w:hideMark/>
          </w:tcPr>
          <w:p w14:paraId="7B24FB76" w14:textId="77777777" w:rsidR="00071CB5" w:rsidRPr="00071CB5" w:rsidRDefault="00071CB5" w:rsidP="00071CB5">
            <w:r w:rsidRPr="00071CB5">
              <w:t>$691,830</w:t>
            </w:r>
          </w:p>
        </w:tc>
        <w:tc>
          <w:tcPr>
            <w:tcW w:w="2160" w:type="dxa"/>
            <w:tcBorders>
              <w:top w:val="single" w:sz="6" w:space="0" w:color="auto"/>
              <w:left w:val="single" w:sz="6" w:space="0" w:color="auto"/>
              <w:bottom w:val="single" w:sz="6" w:space="0" w:color="auto"/>
              <w:right w:val="single" w:sz="6" w:space="0" w:color="auto"/>
            </w:tcBorders>
            <w:hideMark/>
          </w:tcPr>
          <w:p w14:paraId="54CFD4B4" w14:textId="77777777" w:rsidR="00071CB5" w:rsidRPr="00071CB5" w:rsidRDefault="00071CB5" w:rsidP="00071CB5">
            <w:r w:rsidRPr="00071CB5">
              <w:t>$10,400</w:t>
            </w:r>
          </w:p>
        </w:tc>
        <w:tc>
          <w:tcPr>
            <w:tcW w:w="1440" w:type="dxa"/>
            <w:tcBorders>
              <w:top w:val="single" w:sz="6" w:space="0" w:color="auto"/>
              <w:left w:val="single" w:sz="6" w:space="0" w:color="auto"/>
              <w:bottom w:val="single" w:sz="6" w:space="0" w:color="auto"/>
              <w:right w:val="single" w:sz="6" w:space="0" w:color="auto"/>
            </w:tcBorders>
            <w:hideMark/>
          </w:tcPr>
          <w:p w14:paraId="441FDA87" w14:textId="77777777" w:rsidR="00071CB5" w:rsidRPr="00071CB5" w:rsidRDefault="00071CB5" w:rsidP="00071CB5">
            <w:r w:rsidRPr="00071CB5">
              <w:t>~66x</w:t>
            </w:r>
          </w:p>
        </w:tc>
      </w:tr>
      <w:tr w:rsidR="00071CB5" w:rsidRPr="00071CB5" w14:paraId="2F0703CE" w14:textId="77777777">
        <w:tc>
          <w:tcPr>
            <w:tcW w:w="3348" w:type="dxa"/>
            <w:tcBorders>
              <w:top w:val="single" w:sz="6" w:space="0" w:color="auto"/>
              <w:left w:val="single" w:sz="6" w:space="0" w:color="auto"/>
              <w:bottom w:val="single" w:sz="6" w:space="0" w:color="auto"/>
              <w:right w:val="single" w:sz="6" w:space="0" w:color="auto"/>
            </w:tcBorders>
            <w:hideMark/>
          </w:tcPr>
          <w:p w14:paraId="04DA4C64" w14:textId="77777777" w:rsidR="00071CB5" w:rsidRPr="00071CB5" w:rsidRDefault="00071CB5" w:rsidP="00071CB5">
            <w:r w:rsidRPr="00071CB5">
              <w:t>Mid-case</w:t>
            </w:r>
          </w:p>
        </w:tc>
        <w:tc>
          <w:tcPr>
            <w:tcW w:w="2520" w:type="dxa"/>
            <w:tcBorders>
              <w:top w:val="single" w:sz="6" w:space="0" w:color="auto"/>
              <w:left w:val="single" w:sz="6" w:space="0" w:color="auto"/>
              <w:bottom w:val="single" w:sz="6" w:space="0" w:color="auto"/>
              <w:right w:val="single" w:sz="6" w:space="0" w:color="auto"/>
            </w:tcBorders>
            <w:hideMark/>
          </w:tcPr>
          <w:p w14:paraId="45B150AD" w14:textId="77777777" w:rsidR="00071CB5" w:rsidRPr="00071CB5" w:rsidRDefault="00071CB5" w:rsidP="00071CB5">
            <w:r w:rsidRPr="00071CB5">
              <w:t>$866,830</w:t>
            </w:r>
          </w:p>
        </w:tc>
        <w:tc>
          <w:tcPr>
            <w:tcW w:w="2160" w:type="dxa"/>
            <w:tcBorders>
              <w:top w:val="single" w:sz="6" w:space="0" w:color="auto"/>
              <w:left w:val="single" w:sz="6" w:space="0" w:color="auto"/>
              <w:bottom w:val="single" w:sz="6" w:space="0" w:color="auto"/>
              <w:right w:val="single" w:sz="6" w:space="0" w:color="auto"/>
            </w:tcBorders>
            <w:hideMark/>
          </w:tcPr>
          <w:p w14:paraId="3E70C71A" w14:textId="77777777" w:rsidR="00071CB5" w:rsidRPr="00071CB5" w:rsidRDefault="00071CB5" w:rsidP="00071CB5">
            <w:r w:rsidRPr="00071CB5">
              <w:t>$7,800</w:t>
            </w:r>
          </w:p>
        </w:tc>
        <w:tc>
          <w:tcPr>
            <w:tcW w:w="1440" w:type="dxa"/>
            <w:tcBorders>
              <w:top w:val="single" w:sz="6" w:space="0" w:color="auto"/>
              <w:left w:val="single" w:sz="6" w:space="0" w:color="auto"/>
              <w:bottom w:val="single" w:sz="6" w:space="0" w:color="auto"/>
              <w:right w:val="single" w:sz="6" w:space="0" w:color="auto"/>
            </w:tcBorders>
            <w:hideMark/>
          </w:tcPr>
          <w:p w14:paraId="07930A83" w14:textId="77777777" w:rsidR="00071CB5" w:rsidRPr="00071CB5" w:rsidRDefault="00071CB5" w:rsidP="00071CB5">
            <w:r w:rsidRPr="00071CB5">
              <w:t>~111x</w:t>
            </w:r>
          </w:p>
        </w:tc>
      </w:tr>
      <w:tr w:rsidR="00071CB5" w:rsidRPr="00071CB5" w14:paraId="56B599D6" w14:textId="77777777">
        <w:tc>
          <w:tcPr>
            <w:tcW w:w="3348" w:type="dxa"/>
            <w:tcBorders>
              <w:top w:val="single" w:sz="6" w:space="0" w:color="auto"/>
              <w:left w:val="single" w:sz="6" w:space="0" w:color="auto"/>
              <w:bottom w:val="single" w:sz="6" w:space="0" w:color="auto"/>
              <w:right w:val="single" w:sz="6" w:space="0" w:color="auto"/>
            </w:tcBorders>
            <w:hideMark/>
          </w:tcPr>
          <w:p w14:paraId="3B29C2DD" w14:textId="77777777" w:rsidR="00071CB5" w:rsidRPr="00071CB5" w:rsidRDefault="00071CB5" w:rsidP="00071CB5">
            <w:r w:rsidRPr="00071CB5">
              <w:t>Optimistic</w:t>
            </w:r>
          </w:p>
        </w:tc>
        <w:tc>
          <w:tcPr>
            <w:tcW w:w="2520" w:type="dxa"/>
            <w:tcBorders>
              <w:top w:val="single" w:sz="6" w:space="0" w:color="auto"/>
              <w:left w:val="single" w:sz="6" w:space="0" w:color="auto"/>
              <w:bottom w:val="single" w:sz="6" w:space="0" w:color="auto"/>
              <w:right w:val="single" w:sz="6" w:space="0" w:color="auto"/>
            </w:tcBorders>
            <w:hideMark/>
          </w:tcPr>
          <w:p w14:paraId="4C2567A2" w14:textId="77777777" w:rsidR="00071CB5" w:rsidRPr="00071CB5" w:rsidRDefault="00071CB5" w:rsidP="00071CB5">
            <w:r w:rsidRPr="00071CB5">
              <w:t>$1,041,830</w:t>
            </w:r>
          </w:p>
        </w:tc>
        <w:tc>
          <w:tcPr>
            <w:tcW w:w="2160" w:type="dxa"/>
            <w:tcBorders>
              <w:top w:val="single" w:sz="6" w:space="0" w:color="auto"/>
              <w:left w:val="single" w:sz="6" w:space="0" w:color="auto"/>
              <w:bottom w:val="nil"/>
              <w:right w:val="single" w:sz="6" w:space="0" w:color="auto"/>
            </w:tcBorders>
            <w:hideMark/>
          </w:tcPr>
          <w:p w14:paraId="52059967" w14:textId="77777777" w:rsidR="00071CB5" w:rsidRPr="00071CB5" w:rsidRDefault="00071CB5" w:rsidP="00071CB5">
            <w:r w:rsidRPr="00071CB5">
              <w:t>$5,200</w:t>
            </w:r>
          </w:p>
        </w:tc>
        <w:tc>
          <w:tcPr>
            <w:tcW w:w="1440" w:type="dxa"/>
            <w:tcBorders>
              <w:top w:val="single" w:sz="6" w:space="0" w:color="auto"/>
              <w:left w:val="single" w:sz="6" w:space="0" w:color="auto"/>
              <w:bottom w:val="single" w:sz="6" w:space="0" w:color="auto"/>
              <w:right w:val="single" w:sz="6" w:space="0" w:color="auto"/>
            </w:tcBorders>
            <w:hideMark/>
          </w:tcPr>
          <w:p w14:paraId="3BDADF4E" w14:textId="77777777" w:rsidR="00071CB5" w:rsidRPr="00071CB5" w:rsidRDefault="00071CB5" w:rsidP="00071CB5">
            <w:r w:rsidRPr="00071CB5">
              <w:t>~200x</w:t>
            </w:r>
          </w:p>
        </w:tc>
      </w:tr>
    </w:tbl>
    <w:p w14:paraId="0FDB932B" w14:textId="77777777" w:rsidR="00071CB5" w:rsidRPr="00071CB5" w:rsidRDefault="00071CB5" w:rsidP="00071CB5"/>
    <w:p w14:paraId="75A985BA" w14:textId="77777777" w:rsidR="00071CB5" w:rsidRPr="00071CB5" w:rsidRDefault="00071CB5" w:rsidP="00071CB5">
      <w:r w:rsidRPr="00071CB5">
        <w:t xml:space="preserve">At the conservative end, the platform recovers its full annual operating cost in approximately </w:t>
      </w:r>
      <w:r w:rsidRPr="00071CB5">
        <w:rPr>
          <w:b/>
          <w:bCs/>
        </w:rPr>
        <w:t>6 business days</w:t>
      </w:r>
      <w:r w:rsidRPr="00071CB5">
        <w:t>.</w:t>
      </w:r>
    </w:p>
    <w:p w14:paraId="037C17C0" w14:textId="77777777" w:rsidR="00071CB5" w:rsidRPr="00071CB5" w:rsidRDefault="00071CB5" w:rsidP="00071CB5"/>
    <w:p w14:paraId="4AA7D8DF" w14:textId="77777777" w:rsidR="00071CB5" w:rsidRPr="00071CB5" w:rsidRDefault="00071CB5" w:rsidP="00071CB5">
      <w:r w:rsidRPr="00071CB5">
        <w:rPr>
          <w:b/>
          <w:bCs/>
        </w:rPr>
        <w:t>H. One-Time Extraction Cost (Already Incurred)</w:t>
      </w:r>
    </w:p>
    <w:p w14:paraId="2437BEBA" w14:textId="77777777" w:rsidR="00071CB5" w:rsidRPr="00071CB5" w:rsidRDefault="00071CB5" w:rsidP="00071CB5"/>
    <w:tbl>
      <w:tblPr>
        <w:tblW w:w="0" w:type="auto"/>
        <w:tblLayout w:type="fixed"/>
        <w:tblLook w:val="04A0" w:firstRow="1" w:lastRow="0" w:firstColumn="1" w:lastColumn="0" w:noHBand="0" w:noVBand="1"/>
      </w:tblPr>
      <w:tblGrid>
        <w:gridCol w:w="3708"/>
        <w:gridCol w:w="2160"/>
        <w:gridCol w:w="3600"/>
      </w:tblGrid>
      <w:tr w:rsidR="00071CB5" w:rsidRPr="00071CB5" w14:paraId="3CC63AE6" w14:textId="77777777">
        <w:tc>
          <w:tcPr>
            <w:tcW w:w="3708" w:type="dxa"/>
            <w:tcBorders>
              <w:top w:val="single" w:sz="6" w:space="0" w:color="auto"/>
              <w:left w:val="single" w:sz="6" w:space="0" w:color="auto"/>
              <w:bottom w:val="single" w:sz="6" w:space="0" w:color="auto"/>
              <w:right w:val="single" w:sz="6" w:space="0" w:color="auto"/>
            </w:tcBorders>
            <w:hideMark/>
          </w:tcPr>
          <w:p w14:paraId="099CA5A3" w14:textId="77777777" w:rsidR="00071CB5" w:rsidRPr="00071CB5" w:rsidRDefault="00071CB5" w:rsidP="00071CB5">
            <w:r w:rsidRPr="00071CB5">
              <w:rPr>
                <w:b/>
                <w:bCs/>
              </w:rPr>
              <w:t>Component</w:t>
            </w:r>
          </w:p>
        </w:tc>
        <w:tc>
          <w:tcPr>
            <w:tcW w:w="2160" w:type="dxa"/>
            <w:tcBorders>
              <w:top w:val="single" w:sz="6" w:space="0" w:color="auto"/>
              <w:left w:val="single" w:sz="6" w:space="0" w:color="auto"/>
              <w:bottom w:val="single" w:sz="6" w:space="0" w:color="auto"/>
              <w:right w:val="single" w:sz="6" w:space="0" w:color="auto"/>
            </w:tcBorders>
            <w:hideMark/>
          </w:tcPr>
          <w:p w14:paraId="598B1D4E" w14:textId="77777777" w:rsidR="00071CB5" w:rsidRPr="00071CB5" w:rsidRDefault="00071CB5" w:rsidP="00071CB5">
            <w:r w:rsidRPr="00071CB5">
              <w:rPr>
                <w:b/>
                <w:bCs/>
              </w:rPr>
              <w:t>Cost</w:t>
            </w:r>
          </w:p>
        </w:tc>
        <w:tc>
          <w:tcPr>
            <w:tcW w:w="3600" w:type="dxa"/>
            <w:tcBorders>
              <w:top w:val="single" w:sz="6" w:space="0" w:color="auto"/>
              <w:left w:val="single" w:sz="6" w:space="0" w:color="auto"/>
              <w:bottom w:val="single" w:sz="6" w:space="0" w:color="auto"/>
              <w:right w:val="single" w:sz="6" w:space="0" w:color="auto"/>
            </w:tcBorders>
            <w:hideMark/>
          </w:tcPr>
          <w:p w14:paraId="48F010ED" w14:textId="77777777" w:rsidR="00071CB5" w:rsidRPr="00071CB5" w:rsidRDefault="00071CB5" w:rsidP="00071CB5">
            <w:r w:rsidRPr="00071CB5">
              <w:rPr>
                <w:b/>
                <w:bCs/>
              </w:rPr>
              <w:t>Notes</w:t>
            </w:r>
          </w:p>
        </w:tc>
      </w:tr>
      <w:tr w:rsidR="00071CB5" w:rsidRPr="00071CB5" w14:paraId="2B4CEA79" w14:textId="77777777">
        <w:tc>
          <w:tcPr>
            <w:tcW w:w="3708" w:type="dxa"/>
            <w:tcBorders>
              <w:top w:val="single" w:sz="6" w:space="0" w:color="auto"/>
              <w:left w:val="single" w:sz="6" w:space="0" w:color="auto"/>
              <w:bottom w:val="single" w:sz="6" w:space="0" w:color="auto"/>
              <w:right w:val="single" w:sz="6" w:space="0" w:color="auto"/>
            </w:tcBorders>
            <w:hideMark/>
          </w:tcPr>
          <w:p w14:paraId="1BCE6B7D" w14:textId="77777777" w:rsidR="00071CB5" w:rsidRPr="00071CB5" w:rsidRDefault="00071CB5" w:rsidP="00071CB5">
            <w:r w:rsidRPr="00071CB5">
              <w:t>LLM semantic extraction (Claude API)</w:t>
            </w:r>
          </w:p>
        </w:tc>
        <w:tc>
          <w:tcPr>
            <w:tcW w:w="2160" w:type="dxa"/>
            <w:tcBorders>
              <w:top w:val="single" w:sz="6" w:space="0" w:color="auto"/>
              <w:left w:val="single" w:sz="6" w:space="0" w:color="auto"/>
              <w:bottom w:val="single" w:sz="6" w:space="0" w:color="auto"/>
              <w:right w:val="single" w:sz="6" w:space="0" w:color="auto"/>
            </w:tcBorders>
            <w:hideMark/>
          </w:tcPr>
          <w:p w14:paraId="58FE5D65" w14:textId="77777777" w:rsidR="00071CB5" w:rsidRPr="00071CB5" w:rsidRDefault="00071CB5" w:rsidP="00071CB5">
            <w:r w:rsidRPr="00071CB5">
              <w:t>~$1,500</w:t>
            </w:r>
          </w:p>
        </w:tc>
        <w:tc>
          <w:tcPr>
            <w:tcW w:w="3600" w:type="dxa"/>
            <w:tcBorders>
              <w:top w:val="single" w:sz="6" w:space="0" w:color="auto"/>
              <w:left w:val="single" w:sz="6" w:space="0" w:color="auto"/>
              <w:bottom w:val="single" w:sz="6" w:space="0" w:color="auto"/>
              <w:right w:val="single" w:sz="6" w:space="0" w:color="auto"/>
            </w:tcBorders>
            <w:hideMark/>
          </w:tcPr>
          <w:p w14:paraId="3151D45E" w14:textId="77777777" w:rsidR="00071CB5" w:rsidRPr="00071CB5" w:rsidRDefault="00071CB5" w:rsidP="00071CB5">
            <w:r w:rsidRPr="00071CB5">
              <w:t>All 10,348 PDFs — one-time, already spent</w:t>
            </w:r>
          </w:p>
        </w:tc>
      </w:tr>
      <w:tr w:rsidR="00071CB5" w:rsidRPr="00071CB5" w14:paraId="5CA77376" w14:textId="77777777">
        <w:tc>
          <w:tcPr>
            <w:tcW w:w="3708" w:type="dxa"/>
            <w:tcBorders>
              <w:top w:val="single" w:sz="6" w:space="0" w:color="auto"/>
              <w:left w:val="single" w:sz="6" w:space="0" w:color="auto"/>
              <w:bottom w:val="single" w:sz="6" w:space="0" w:color="auto"/>
              <w:right w:val="single" w:sz="6" w:space="0" w:color="auto"/>
            </w:tcBorders>
            <w:hideMark/>
          </w:tcPr>
          <w:p w14:paraId="40CBF302" w14:textId="77777777" w:rsidR="00071CB5" w:rsidRPr="00071CB5" w:rsidRDefault="00071CB5" w:rsidP="00071CB5">
            <w:r w:rsidRPr="00071CB5">
              <w:t>Databricks compute (build &amp; first run)</w:t>
            </w:r>
          </w:p>
        </w:tc>
        <w:tc>
          <w:tcPr>
            <w:tcW w:w="2160" w:type="dxa"/>
            <w:tcBorders>
              <w:top w:val="single" w:sz="6" w:space="0" w:color="auto"/>
              <w:left w:val="single" w:sz="6" w:space="0" w:color="auto"/>
              <w:bottom w:val="single" w:sz="6" w:space="0" w:color="auto"/>
              <w:right w:val="single" w:sz="6" w:space="0" w:color="auto"/>
            </w:tcBorders>
            <w:hideMark/>
          </w:tcPr>
          <w:p w14:paraId="6B365F67" w14:textId="77777777" w:rsidR="00071CB5" w:rsidRPr="00071CB5" w:rsidRDefault="00071CB5" w:rsidP="00071CB5">
            <w:r w:rsidRPr="00071CB5">
              <w:t>To be confirmed</w:t>
            </w:r>
          </w:p>
        </w:tc>
        <w:tc>
          <w:tcPr>
            <w:tcW w:w="3600" w:type="dxa"/>
            <w:tcBorders>
              <w:top w:val="single" w:sz="6" w:space="0" w:color="auto"/>
              <w:left w:val="single" w:sz="6" w:space="0" w:color="auto"/>
              <w:bottom w:val="single" w:sz="6" w:space="0" w:color="auto"/>
              <w:right w:val="single" w:sz="6" w:space="0" w:color="auto"/>
            </w:tcBorders>
            <w:hideMark/>
          </w:tcPr>
          <w:p w14:paraId="1FF6DDCB" w14:textId="77777777" w:rsidR="00071CB5" w:rsidRPr="00071CB5" w:rsidRDefault="00071CB5" w:rsidP="00071CB5">
            <w:r w:rsidRPr="00071CB5">
              <w:t>Shared cluster; no dedicated infra</w:t>
            </w:r>
          </w:p>
        </w:tc>
      </w:tr>
      <w:tr w:rsidR="00071CB5" w:rsidRPr="00071CB5" w14:paraId="7DCD8594" w14:textId="77777777">
        <w:tc>
          <w:tcPr>
            <w:tcW w:w="3708" w:type="dxa"/>
            <w:tcBorders>
              <w:top w:val="single" w:sz="6" w:space="0" w:color="auto"/>
              <w:left w:val="single" w:sz="6" w:space="0" w:color="auto"/>
              <w:bottom w:val="single" w:sz="6" w:space="0" w:color="auto"/>
              <w:right w:val="single" w:sz="6" w:space="0" w:color="auto"/>
            </w:tcBorders>
            <w:hideMark/>
          </w:tcPr>
          <w:p w14:paraId="1F0550FB" w14:textId="77777777" w:rsidR="00071CB5" w:rsidRPr="00071CB5" w:rsidRDefault="00071CB5" w:rsidP="00071CB5">
            <w:r w:rsidRPr="00071CB5">
              <w:t>AI document parsing fallback</w:t>
            </w:r>
          </w:p>
        </w:tc>
        <w:tc>
          <w:tcPr>
            <w:tcW w:w="2160" w:type="dxa"/>
            <w:tcBorders>
              <w:top w:val="single" w:sz="6" w:space="0" w:color="auto"/>
              <w:left w:val="single" w:sz="6" w:space="0" w:color="auto"/>
              <w:bottom w:val="single" w:sz="6" w:space="0" w:color="auto"/>
              <w:right w:val="single" w:sz="6" w:space="0" w:color="auto"/>
            </w:tcBorders>
            <w:hideMark/>
          </w:tcPr>
          <w:p w14:paraId="2A00823B" w14:textId="77777777" w:rsidR="00071CB5" w:rsidRPr="00071CB5" w:rsidRDefault="00071CB5" w:rsidP="00071CB5">
            <w:r w:rsidRPr="00071CB5">
              <w:t>To be confirmed</w:t>
            </w:r>
          </w:p>
        </w:tc>
        <w:tc>
          <w:tcPr>
            <w:tcW w:w="3600" w:type="dxa"/>
            <w:tcBorders>
              <w:top w:val="single" w:sz="6" w:space="0" w:color="auto"/>
              <w:left w:val="single" w:sz="6" w:space="0" w:color="auto"/>
              <w:bottom w:val="single" w:sz="6" w:space="0" w:color="auto"/>
              <w:right w:val="single" w:sz="6" w:space="0" w:color="auto"/>
            </w:tcBorders>
            <w:hideMark/>
          </w:tcPr>
          <w:p w14:paraId="7090CB20" w14:textId="77777777" w:rsidR="00071CB5" w:rsidRPr="00071CB5" w:rsidRDefault="00071CB5" w:rsidP="00071CB5">
            <w:r w:rsidRPr="00071CB5">
              <w:t>Applied to ~18% of scanned PDFs only</w:t>
            </w:r>
          </w:p>
        </w:tc>
      </w:tr>
    </w:tbl>
    <w:p w14:paraId="508A81D1" w14:textId="77777777" w:rsidR="00071CB5" w:rsidRPr="00071CB5" w:rsidRDefault="00071CB5" w:rsidP="00071CB5"/>
    <w:p w14:paraId="6CA2FCEC" w14:textId="77777777" w:rsidR="00071CB5" w:rsidRPr="00071CB5" w:rsidRDefault="00071CB5" w:rsidP="00071CB5">
      <w:r w:rsidRPr="00071CB5">
        <w:t>For comparison: processing the same files through Azure Document Intelligence alone would have cost $150–$3,100 per full corpus run — and would have produced raw OCR text only, with no structured tables, no amendment logic, and no data model.</w:t>
      </w:r>
    </w:p>
    <w:p w14:paraId="43CDED4F" w14:textId="77777777" w:rsidR="00071CB5" w:rsidRPr="00071CB5" w:rsidRDefault="00071CB5" w:rsidP="00071CB5"/>
    <w:p w14:paraId="4E15C80A" w14:textId="77777777" w:rsidR="00071CB5" w:rsidRPr="00071CB5" w:rsidRDefault="00071CB5" w:rsidP="00071CB5">
      <w:r w:rsidRPr="00071CB5">
        <w:rPr>
          <w:b/>
          <w:bCs/>
        </w:rPr>
        <w:t>I. Future Corpus — 20,000 Additional Files</w:t>
      </w:r>
    </w:p>
    <w:p w14:paraId="34A80764" w14:textId="77777777" w:rsidR="00071CB5" w:rsidRPr="00071CB5" w:rsidRDefault="00071CB5" w:rsidP="00071CB5"/>
    <w:tbl>
      <w:tblPr>
        <w:tblW w:w="0" w:type="auto"/>
        <w:tblLayout w:type="fixed"/>
        <w:tblLook w:val="04A0" w:firstRow="1" w:lastRow="0" w:firstColumn="1" w:lastColumn="0" w:noHBand="0" w:noVBand="1"/>
      </w:tblPr>
      <w:tblGrid>
        <w:gridCol w:w="5868"/>
        <w:gridCol w:w="3600"/>
      </w:tblGrid>
      <w:tr w:rsidR="00071CB5" w:rsidRPr="00071CB5" w14:paraId="05E38AFC" w14:textId="77777777">
        <w:tc>
          <w:tcPr>
            <w:tcW w:w="5868" w:type="dxa"/>
            <w:tcBorders>
              <w:top w:val="single" w:sz="6" w:space="0" w:color="auto"/>
              <w:left w:val="single" w:sz="6" w:space="0" w:color="auto"/>
              <w:bottom w:val="single" w:sz="6" w:space="0" w:color="auto"/>
              <w:right w:val="single" w:sz="6" w:space="0" w:color="auto"/>
            </w:tcBorders>
            <w:hideMark/>
          </w:tcPr>
          <w:p w14:paraId="2D30666A" w14:textId="77777777" w:rsidR="00071CB5" w:rsidRPr="00071CB5" w:rsidRDefault="00071CB5" w:rsidP="00071CB5">
            <w:r w:rsidRPr="00071CB5">
              <w:rPr>
                <w:b/>
                <w:bCs/>
              </w:rPr>
              <w:t>Component</w:t>
            </w:r>
          </w:p>
        </w:tc>
        <w:tc>
          <w:tcPr>
            <w:tcW w:w="3600" w:type="dxa"/>
            <w:tcBorders>
              <w:top w:val="single" w:sz="6" w:space="0" w:color="auto"/>
              <w:left w:val="single" w:sz="6" w:space="0" w:color="auto"/>
              <w:bottom w:val="single" w:sz="6" w:space="0" w:color="auto"/>
              <w:right w:val="single" w:sz="6" w:space="0" w:color="auto"/>
            </w:tcBorders>
            <w:hideMark/>
          </w:tcPr>
          <w:p w14:paraId="34D5B73E" w14:textId="77777777" w:rsidR="00071CB5" w:rsidRPr="00071CB5" w:rsidRDefault="00071CB5" w:rsidP="00071CB5">
            <w:r w:rsidRPr="00071CB5">
              <w:rPr>
                <w:b/>
                <w:bCs/>
              </w:rPr>
              <w:t>Estimate</w:t>
            </w:r>
          </w:p>
        </w:tc>
      </w:tr>
      <w:tr w:rsidR="00071CB5" w:rsidRPr="00071CB5" w14:paraId="7CB1C943" w14:textId="77777777">
        <w:tc>
          <w:tcPr>
            <w:tcW w:w="5868" w:type="dxa"/>
            <w:tcBorders>
              <w:top w:val="single" w:sz="6" w:space="0" w:color="auto"/>
              <w:left w:val="single" w:sz="6" w:space="0" w:color="auto"/>
              <w:bottom w:val="single" w:sz="6" w:space="0" w:color="auto"/>
              <w:right w:val="single" w:sz="6" w:space="0" w:color="auto"/>
            </w:tcBorders>
            <w:hideMark/>
          </w:tcPr>
          <w:p w14:paraId="0557A7A3" w14:textId="77777777" w:rsidR="00071CB5" w:rsidRPr="00071CB5" w:rsidRDefault="00071CB5" w:rsidP="00071CB5">
            <w:r w:rsidRPr="00071CB5">
              <w:t>LLM extraction (proportional)</w:t>
            </w:r>
          </w:p>
        </w:tc>
        <w:tc>
          <w:tcPr>
            <w:tcW w:w="3600" w:type="dxa"/>
            <w:tcBorders>
              <w:top w:val="single" w:sz="6" w:space="0" w:color="auto"/>
              <w:left w:val="single" w:sz="6" w:space="0" w:color="auto"/>
              <w:bottom w:val="single" w:sz="6" w:space="0" w:color="auto"/>
              <w:right w:val="single" w:sz="6" w:space="0" w:color="auto"/>
            </w:tcBorders>
            <w:hideMark/>
          </w:tcPr>
          <w:p w14:paraId="0EC6D3A3" w14:textId="77777777" w:rsidR="00071CB5" w:rsidRPr="00071CB5" w:rsidRDefault="00071CB5" w:rsidP="00071CB5">
            <w:r w:rsidRPr="00071CB5">
              <w:t>~$2,900 (20,000 / 10,348 x $1,500)</w:t>
            </w:r>
          </w:p>
        </w:tc>
      </w:tr>
      <w:tr w:rsidR="00071CB5" w:rsidRPr="00071CB5" w14:paraId="51D0DE2F" w14:textId="77777777">
        <w:tc>
          <w:tcPr>
            <w:tcW w:w="5868" w:type="dxa"/>
            <w:tcBorders>
              <w:top w:val="single" w:sz="6" w:space="0" w:color="auto"/>
              <w:left w:val="single" w:sz="6" w:space="0" w:color="auto"/>
              <w:bottom w:val="single" w:sz="6" w:space="0" w:color="auto"/>
              <w:right w:val="single" w:sz="6" w:space="0" w:color="auto"/>
            </w:tcBorders>
            <w:hideMark/>
          </w:tcPr>
          <w:p w14:paraId="4B830042" w14:textId="77777777" w:rsidR="00071CB5" w:rsidRPr="00071CB5" w:rsidRDefault="00071CB5" w:rsidP="00071CB5">
            <w:r w:rsidRPr="00071CB5">
              <w:t>Additional compute &amp; AI parsing</w:t>
            </w:r>
          </w:p>
        </w:tc>
        <w:tc>
          <w:tcPr>
            <w:tcW w:w="3600" w:type="dxa"/>
            <w:tcBorders>
              <w:top w:val="single" w:sz="6" w:space="0" w:color="auto"/>
              <w:left w:val="single" w:sz="6" w:space="0" w:color="auto"/>
              <w:bottom w:val="single" w:sz="6" w:space="0" w:color="auto"/>
              <w:right w:val="single" w:sz="6" w:space="0" w:color="auto"/>
            </w:tcBorders>
            <w:hideMark/>
          </w:tcPr>
          <w:p w14:paraId="7BADB39F" w14:textId="77777777" w:rsidR="00071CB5" w:rsidRPr="00071CB5" w:rsidRDefault="00071CB5" w:rsidP="00071CB5">
            <w:r w:rsidRPr="00071CB5">
              <w:t>Marginal cost on existing shared cluster</w:t>
            </w:r>
          </w:p>
        </w:tc>
      </w:tr>
      <w:tr w:rsidR="00071CB5" w:rsidRPr="00071CB5" w14:paraId="1245C6EE" w14:textId="77777777">
        <w:tc>
          <w:tcPr>
            <w:tcW w:w="5868" w:type="dxa"/>
            <w:tcBorders>
              <w:top w:val="single" w:sz="6" w:space="0" w:color="auto"/>
              <w:left w:val="single" w:sz="6" w:space="0" w:color="auto"/>
              <w:bottom w:val="single" w:sz="6" w:space="0" w:color="auto"/>
              <w:right w:val="single" w:sz="6" w:space="0" w:color="auto"/>
            </w:tcBorders>
            <w:hideMark/>
          </w:tcPr>
          <w:p w14:paraId="54E8A1FD" w14:textId="77777777" w:rsidR="00071CB5" w:rsidRPr="00071CB5" w:rsidRDefault="00071CB5" w:rsidP="00071CB5">
            <w:r w:rsidRPr="00071CB5">
              <w:t>Incremental annual savings (conservative, proportional)</w:t>
            </w:r>
          </w:p>
        </w:tc>
        <w:tc>
          <w:tcPr>
            <w:tcW w:w="3600" w:type="dxa"/>
            <w:tcBorders>
              <w:top w:val="single" w:sz="6" w:space="0" w:color="auto"/>
              <w:left w:val="single" w:sz="6" w:space="0" w:color="auto"/>
              <w:bottom w:val="single" w:sz="6" w:space="0" w:color="auto"/>
              <w:right w:val="single" w:sz="6" w:space="0" w:color="auto"/>
            </w:tcBorders>
            <w:hideMark/>
          </w:tcPr>
          <w:p w14:paraId="7B9B5CD8" w14:textId="77777777" w:rsidR="00071CB5" w:rsidRPr="00071CB5" w:rsidRDefault="00071CB5" w:rsidP="00071CB5">
            <w:r w:rsidRPr="00071CB5">
              <w:t>~$1,047,000–$1,547,000/year</w:t>
            </w:r>
          </w:p>
        </w:tc>
      </w:tr>
    </w:tbl>
    <w:p w14:paraId="19ED40B3" w14:textId="77777777" w:rsidR="00071CB5" w:rsidRPr="00071CB5" w:rsidRDefault="00071CB5" w:rsidP="00071CB5"/>
    <w:p w14:paraId="3DD7DB42" w14:textId="77777777" w:rsidR="00071CB5" w:rsidRPr="00071CB5" w:rsidRDefault="00071CB5" w:rsidP="00071CB5">
      <w:r w:rsidRPr="00071CB5">
        <w:t>The platform build is already done. The next 20,000 files benefit from the full fixed investment already made in pipeline architecture, schema design, validation logic, and serving layer infrastructure.</w:t>
      </w:r>
    </w:p>
    <w:p w14:paraId="1D0350B7" w14:textId="77777777" w:rsidR="00071CB5" w:rsidRPr="00071CB5" w:rsidRDefault="00071CB5" w:rsidP="00071CB5"/>
    <w:p w14:paraId="15B2CCFC" w14:textId="77777777" w:rsidR="00071CB5" w:rsidRPr="00071CB5" w:rsidRDefault="00071CB5" w:rsidP="00071CB5">
      <w:r w:rsidRPr="00071CB5">
        <w:rPr>
          <w:b/>
          <w:bCs/>
        </w:rPr>
        <w:t>The separation principle</w:t>
      </w:r>
    </w:p>
    <w:p w14:paraId="076EA84E" w14:textId="77777777" w:rsidR="00071CB5" w:rsidRPr="00071CB5" w:rsidRDefault="00071CB5" w:rsidP="00071CB5">
      <w:r w:rsidRPr="00071CB5">
        <w:t>The pipeline email (already sent) claims savings from </w:t>
      </w:r>
      <w:r w:rsidRPr="00071CB5">
        <w:rPr>
          <w:i/>
          <w:iCs/>
        </w:rPr>
        <w:t>analysts doing structured data work</w:t>
      </w:r>
      <w:r w:rsidRPr="00071CB5">
        <w:t> — renewal prep, onboarding, SQL-driven benchmarking. The AI application email should claim savings from a completely different population: </w:t>
      </w:r>
      <w:r w:rsidRPr="00071CB5">
        <w:rPr>
          <w:i/>
          <w:iCs/>
        </w:rPr>
        <w:t>non-technical users who have contract questions but cannot or do not access data tables</w:t>
      </w:r>
      <w:r w:rsidRPr="00071CB5">
        <w:t> — contract managers, legal, compliance officers, executives, and finance teams.</w:t>
      </w:r>
    </w:p>
    <w:p w14:paraId="3B3B7A20" w14:textId="77777777" w:rsidR="00071CB5" w:rsidRPr="00071CB5" w:rsidRDefault="00071CB5" w:rsidP="00071CB5">
      <w:r w:rsidRPr="00071CB5">
        <w:rPr>
          <w:b/>
          <w:bCs/>
        </w:rPr>
        <w:t>The new savings lines to build</w:t>
      </w:r>
    </w:p>
    <w:p w14:paraId="73C8E388" w14:textId="77777777" w:rsidR="00071CB5" w:rsidRPr="00071CB5" w:rsidRDefault="00071CB5" w:rsidP="00071CB5">
      <w:pPr>
        <w:numPr>
          <w:ilvl w:val="0"/>
          <w:numId w:val="2"/>
        </w:numPr>
      </w:pPr>
      <w:r w:rsidRPr="00071CB5">
        <w:rPr>
          <w:b/>
          <w:bCs/>
        </w:rPr>
        <w:t>Non-analyst self-service</w:t>
      </w:r>
      <w:r w:rsidRPr="00071CB5">
        <w:t> — Contract questions that today get routed to the data or analytics team as ad-hoc requests. These never showed up in the first savings model because they bypass the analyst entirely and land on the data team's queue. Estimate how many requests/</w:t>
      </w:r>
      <w:proofErr w:type="gramStart"/>
      <w:r w:rsidRPr="00071CB5">
        <w:t>week</w:t>
      </w:r>
      <w:proofErr w:type="gramEnd"/>
      <w:r w:rsidRPr="00071CB5">
        <w:t xml:space="preserve"> come in from non-technical stakeholders, the turnaround time (hours to days), and the fully loaded cost of the data team member handling them.</w:t>
      </w:r>
    </w:p>
    <w:p w14:paraId="7CCDC44D" w14:textId="77777777" w:rsidR="00071CB5" w:rsidRPr="00071CB5" w:rsidRDefault="00071CB5" w:rsidP="00071CB5">
      <w:pPr>
        <w:numPr>
          <w:ilvl w:val="0"/>
          <w:numId w:val="2"/>
        </w:numPr>
      </w:pPr>
      <w:r w:rsidRPr="00071CB5">
        <w:rPr>
          <w:b/>
          <w:bCs/>
        </w:rPr>
        <w:t>Escalation to legal counsel avoided</w:t>
      </w:r>
      <w:r w:rsidRPr="00071CB5">
        <w:t> — Any contract question that currently gets escalated to in-house or outside counsel because it requires document interpretation rather than data lookup. Even 2–3 outside counsel queries per month avoided at $400–$800/hour generates a material line item.</w:t>
      </w:r>
    </w:p>
    <w:p w14:paraId="7CF0AD63" w14:textId="77777777" w:rsidR="00071CB5" w:rsidRPr="00071CB5" w:rsidRDefault="00071CB5" w:rsidP="00071CB5">
      <w:pPr>
        <w:numPr>
          <w:ilvl w:val="0"/>
          <w:numId w:val="2"/>
        </w:numPr>
      </w:pPr>
      <w:r w:rsidRPr="00071CB5">
        <w:rPr>
          <w:b/>
          <w:bCs/>
        </w:rPr>
        <w:lastRenderedPageBreak/>
        <w:t>Regulatory and audit response time</w:t>
      </w:r>
      <w:r w:rsidRPr="00071CB5">
        <w:t> — When DMHC or CMS asks a question about a specific provision, the current process is a multi-day research effort. The AI app with source citations answers in seconds. Frame this as risk reduction and compliance cost avoidance, not just time savings.</w:t>
      </w:r>
    </w:p>
    <w:p w14:paraId="3838B310" w14:textId="77777777" w:rsidR="00071CB5" w:rsidRPr="00071CB5" w:rsidRDefault="00071CB5" w:rsidP="00071CB5">
      <w:pPr>
        <w:numPr>
          <w:ilvl w:val="0"/>
          <w:numId w:val="2"/>
        </w:numPr>
      </w:pPr>
      <w:r w:rsidRPr="00071CB5">
        <w:rPr>
          <w:b/>
          <w:bCs/>
        </w:rPr>
        <w:t>Dispute resolution speed</w:t>
      </w:r>
      <w:r w:rsidRPr="00071CB5">
        <w:t> — When a provider disputes a reimbursement, finding the governing clause with a verbatim citation instantly vs. days of document research. Frame this as both cost and risk reduction — faster resolution, defensible documentation.</w:t>
      </w:r>
    </w:p>
    <w:p w14:paraId="723A4FA4" w14:textId="77777777" w:rsidR="00071CB5" w:rsidRPr="00071CB5" w:rsidRDefault="00071CB5" w:rsidP="00071CB5">
      <w:pPr>
        <w:numPr>
          <w:ilvl w:val="0"/>
          <w:numId w:val="2"/>
        </w:numPr>
      </w:pPr>
      <w:r w:rsidRPr="00071CB5">
        <w:rPr>
          <w:b/>
          <w:bCs/>
        </w:rPr>
        <w:t>24/7 availability</w:t>
      </w:r>
      <w:r w:rsidRPr="00071CB5">
        <w:t> — Analysts are not available nights and weekends. The AI app is. For time-sensitive contract questions during rate negotiations or provider disputes, this has a real dollar value.</w:t>
      </w:r>
    </w:p>
    <w:p w14:paraId="420E36D2" w14:textId="77777777" w:rsidR="00071CB5" w:rsidRPr="00071CB5" w:rsidRDefault="00071CB5" w:rsidP="00071CB5">
      <w:r w:rsidRPr="00071CB5">
        <w:rPr>
          <w:b/>
          <w:bCs/>
        </w:rPr>
        <w:t>How to keep the two emails clean</w:t>
      </w:r>
    </w:p>
    <w:p w14:paraId="3659F406" w14:textId="77777777" w:rsidR="00071CB5" w:rsidRPr="00071CB5" w:rsidRDefault="00071CB5" w:rsidP="00071CB5">
      <w:r w:rsidRPr="00071CB5">
        <w:t xml:space="preserve">In the AI app email, explicitly acknowledge that Phase 1 (the pipeline) delivered the data </w:t>
      </w:r>
      <w:proofErr w:type="gramStart"/>
      <w:r w:rsidRPr="00071CB5">
        <w:t>foundation</w:t>
      </w:r>
      <w:proofErr w:type="gramEnd"/>
      <w:r w:rsidRPr="00071CB5">
        <w:t xml:space="preserve"> and those savings are already realized. Frame Phase 2 as </w:t>
      </w:r>
      <w:r w:rsidRPr="00071CB5">
        <w:rPr>
          <w:i/>
          <w:iCs/>
        </w:rPr>
        <w:t>unlocking a second layer of value from the same asset</w:t>
      </w:r>
      <w:r w:rsidRPr="00071CB5">
        <w:t> — the data is now accessible not just to analysts with SQL access but to every stakeholder in the organization with a contract question. The infrastructure cost was already paid in Phase 1. Phase 2 rides on top of it at near-zero marginal infrastructure cost.</w:t>
      </w:r>
    </w:p>
    <w:p w14:paraId="33F36CF0" w14:textId="77777777" w:rsidR="00071CB5" w:rsidRPr="00071CB5" w:rsidRDefault="00071CB5" w:rsidP="00071CB5">
      <w:r w:rsidRPr="00071CB5">
        <w:rPr>
          <w:b/>
          <w:bCs/>
        </w:rPr>
        <w:t>The ROI hook for the AI app email</w:t>
      </w:r>
    </w:p>
    <w:p w14:paraId="1CA6F61A" w14:textId="77777777" w:rsidR="00071CB5" w:rsidRPr="00071CB5" w:rsidRDefault="00071CB5" w:rsidP="00071CB5">
      <w:r w:rsidRPr="00071CB5">
        <w:t>The operating cost of the AI app is essentially the query cost (~$0.25/query) and the serving infrastructure already shared with the pipeline. If the app handles even 50 non-analyst queries per month that would otherwise take 1 hour of senior staff time, that is 600 hours/year at a blended rate north of $100/hour — $60,000/year — against a query cost of roughly $150/year. The ROI multiple on the AI layer alone is defensible in the hundreds.</w:t>
      </w:r>
    </w:p>
    <w:p w14:paraId="4C3BFECA" w14:textId="77777777" w:rsidR="00071CB5" w:rsidRPr="00071CB5" w:rsidRDefault="00071CB5" w:rsidP="00071CB5">
      <w:r w:rsidRPr="00071CB5">
        <w:rPr>
          <w:b/>
          <w:bCs/>
        </w:rPr>
        <w:t>What to track now while it is still in testing</w:t>
      </w:r>
    </w:p>
    <w:p w14:paraId="34AA5FD4" w14:textId="77777777" w:rsidR="00071CB5" w:rsidRPr="00071CB5" w:rsidRDefault="00071CB5" w:rsidP="00071CB5">
      <w:r w:rsidRPr="00071CB5">
        <w:t>Start logging who is asking what — query categories, user types, turnaround time comparisons. By the time the app goes to production, you will have real usage data to replace the estimates with actuals, which makes the second email significantly stronger than the first.</w:t>
      </w:r>
    </w:p>
    <w:p w14:paraId="64036E13" w14:textId="0EF181FF" w:rsidR="008263C2" w:rsidRPr="00071CB5" w:rsidRDefault="008263C2" w:rsidP="00071CB5"/>
    <w:sectPr w:rsidR="008263C2" w:rsidRPr="00071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B09B8"/>
    <w:multiLevelType w:val="multilevel"/>
    <w:tmpl w:val="EC3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E33F6"/>
    <w:multiLevelType w:val="multilevel"/>
    <w:tmpl w:val="27E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540650">
    <w:abstractNumId w:val="0"/>
  </w:num>
  <w:num w:numId="2" w16cid:durableId="1517618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22"/>
    <w:rsid w:val="00071CB5"/>
    <w:rsid w:val="001E5F78"/>
    <w:rsid w:val="004D1822"/>
    <w:rsid w:val="00642CAE"/>
    <w:rsid w:val="007E0377"/>
    <w:rsid w:val="00826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25CD"/>
  <w15:chartTrackingRefBased/>
  <w15:docId w15:val="{43BA1CCB-78AE-47DD-8244-71E0D1C4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822"/>
    <w:rPr>
      <w:rFonts w:eastAsiaTheme="majorEastAsia" w:cstheme="majorBidi"/>
      <w:color w:val="272727" w:themeColor="text1" w:themeTint="D8"/>
    </w:rPr>
  </w:style>
  <w:style w:type="paragraph" w:styleId="Title">
    <w:name w:val="Title"/>
    <w:basedOn w:val="Normal"/>
    <w:next w:val="Normal"/>
    <w:link w:val="TitleChar"/>
    <w:uiPriority w:val="10"/>
    <w:qFormat/>
    <w:rsid w:val="004D1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822"/>
    <w:pPr>
      <w:spacing w:before="160"/>
      <w:jc w:val="center"/>
    </w:pPr>
    <w:rPr>
      <w:i/>
      <w:iCs/>
      <w:color w:val="404040" w:themeColor="text1" w:themeTint="BF"/>
    </w:rPr>
  </w:style>
  <w:style w:type="character" w:customStyle="1" w:styleId="QuoteChar">
    <w:name w:val="Quote Char"/>
    <w:basedOn w:val="DefaultParagraphFont"/>
    <w:link w:val="Quote"/>
    <w:uiPriority w:val="29"/>
    <w:rsid w:val="004D1822"/>
    <w:rPr>
      <w:i/>
      <w:iCs/>
      <w:color w:val="404040" w:themeColor="text1" w:themeTint="BF"/>
    </w:rPr>
  </w:style>
  <w:style w:type="paragraph" w:styleId="ListParagraph">
    <w:name w:val="List Paragraph"/>
    <w:basedOn w:val="Normal"/>
    <w:uiPriority w:val="34"/>
    <w:qFormat/>
    <w:rsid w:val="004D1822"/>
    <w:pPr>
      <w:ind w:left="720"/>
      <w:contextualSpacing/>
    </w:pPr>
  </w:style>
  <w:style w:type="character" w:styleId="IntenseEmphasis">
    <w:name w:val="Intense Emphasis"/>
    <w:basedOn w:val="DefaultParagraphFont"/>
    <w:uiPriority w:val="21"/>
    <w:qFormat/>
    <w:rsid w:val="004D1822"/>
    <w:rPr>
      <w:i/>
      <w:iCs/>
      <w:color w:val="0F4761" w:themeColor="accent1" w:themeShade="BF"/>
    </w:rPr>
  </w:style>
  <w:style w:type="paragraph" w:styleId="IntenseQuote">
    <w:name w:val="Intense Quote"/>
    <w:basedOn w:val="Normal"/>
    <w:next w:val="Normal"/>
    <w:link w:val="IntenseQuoteChar"/>
    <w:uiPriority w:val="30"/>
    <w:qFormat/>
    <w:rsid w:val="004D1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822"/>
    <w:rPr>
      <w:i/>
      <w:iCs/>
      <w:color w:val="0F4761" w:themeColor="accent1" w:themeShade="BF"/>
    </w:rPr>
  </w:style>
  <w:style w:type="character" w:styleId="IntenseReference">
    <w:name w:val="Intense Reference"/>
    <w:basedOn w:val="DefaultParagraphFont"/>
    <w:uiPriority w:val="32"/>
    <w:qFormat/>
    <w:rsid w:val="004D1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10</Pages>
  <Words>2125</Words>
  <Characters>12117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Dixit, Anukul</dc:creator>
  <cp:keywords/>
  <dc:description/>
  <cp:lastModifiedBy>Dixit, Anukul</cp:lastModifiedBy>
  <cp:revision>1</cp:revision>
  <dcterms:created xsi:type="dcterms:W3CDTF">2026-06-18T12:01:00Z</dcterms:created>
  <dcterms:modified xsi:type="dcterms:W3CDTF">2026-06-18T12:40:00Z</dcterms:modified>
</cp:coreProperties>
</file>