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1C073" w14:textId="77777777" w:rsidR="00F50AAB" w:rsidRDefault="00000000">
      <w:pPr>
        <w:pStyle w:val="Title"/>
        <w:jc w:val="left"/>
      </w:pPr>
      <w:r>
        <w:t>Contract Intelligence Platform</w:t>
      </w:r>
    </w:p>
    <w:p w14:paraId="22B0BD57" w14:textId="77777777" w:rsidR="00F50AAB" w:rsidRDefault="00000000">
      <w:pPr>
        <w:pStyle w:val="AwardSubtitle"/>
        <w:pBdr>
          <w:bottom w:val="single" w:sz="10" w:space="8" w:color="2E74B5"/>
        </w:pBdr>
      </w:pPr>
      <w:r>
        <w:t>AWARD ABSTRACT</w:t>
      </w:r>
    </w:p>
    <w:p w14:paraId="715C89F8" w14:textId="77777777" w:rsidR="00F50AAB" w:rsidRDefault="00000000">
      <w:pPr>
        <w:keepLines/>
      </w:pPr>
      <w:r>
        <w:t>Provider contracts are among the most complex and financially significant documents managed by a health plan. They define reimbursement rates, capitation arrangements, stop-loss provisions, delegation responsibilities, compliance obligations, renewal conditions, and several other terms that influence provider payments and network operations.</w:t>
      </w:r>
    </w:p>
    <w:p w14:paraId="0625E75C" w14:textId="77777777" w:rsidR="00F50AAB" w:rsidRDefault="00000000">
      <w:pPr>
        <w:keepLines/>
      </w:pPr>
      <w:r>
        <w:t>This information is typically distributed across thousands of lengthy PDF documents, contract versions, amendments, spreadsheets, and manually maintained references. Answering a contract-related question can require locating the correct documents, reviewing multiple pages, identifying the applicable amendment, interpreting complex contractual language, and reconciling information across several sources. This creates an opportunity to make contract analysis faster, more consistent, and more accessible through technology.</w:t>
      </w:r>
    </w:p>
    <w:p w14:paraId="77295610" w14:textId="77777777" w:rsidR="00F50AAB" w:rsidRDefault="00000000">
      <w:pPr>
        <w:keepLines/>
      </w:pPr>
      <w:r>
        <w:t>The Contract Intelligence Platform is an AI-powered solution being developed to transform provider contracts into structured, searchable, and accessible business knowledge. It is designed to provide a unified interface through which users can ask contract-related questions in natural language and receive answers supported by relevant contract information, structured data, and source references.</w:t>
      </w:r>
    </w:p>
    <w:p w14:paraId="07D79303" w14:textId="77777777" w:rsidR="00F50AAB" w:rsidRDefault="00000000">
      <w:pPr>
        <w:keepLines/>
      </w:pPr>
      <w:r>
        <w:t>The platform combines Generative AI, Optical Character Recognition, large language models, vector search, natural-language-to-SQL, structured data modelling, Databricks Lakehouse capabilities, React, and FastAPI. Instead of limiting the solution to document search or summarisation, the platform brings together searchable contract text and structured contract data to support a wide range of analytical and operational questions.</w:t>
      </w:r>
    </w:p>
    <w:p w14:paraId="742F7C7B" w14:textId="77777777" w:rsidR="00F50AAB" w:rsidRDefault="00000000">
      <w:pPr>
        <w:keepLines/>
      </w:pPr>
      <w:r>
        <w:t>Depending on the question, the platform can retrieve relevant contract passages, query structured tables, identify provider information, review contractual clauses, analyse reimbursement terms, trace amendment histories, compare contract information, and surface relevant compliance obligations, deadlines, risks, and financial considerations. This enables both detailed analysis of an individual contract and broader analysis across multiple providers and contractual arrangements.</w:t>
      </w:r>
    </w:p>
    <w:p w14:paraId="5CC762D5" w14:textId="77777777" w:rsidR="00F50AAB" w:rsidRDefault="00000000">
      <w:pPr>
        <w:keepLines/>
      </w:pPr>
      <w:r>
        <w:lastRenderedPageBreak/>
        <w:t>A major focus of the platform is the trustworthiness of AI-generated responses. The solution includes validation components designed to assess whether answers are grounded in available evidence, whether numerical statements are supported by retrieved data, whether citations are relevant, and whether conclusions are consistent with the underlying information. Answers can also include confidence indicators and references to source documents, allowing users to understand and verify how a response was generated.</w:t>
      </w:r>
    </w:p>
    <w:p w14:paraId="682771CC" w14:textId="77777777" w:rsidR="00F50AAB" w:rsidRDefault="00000000">
      <w:pPr>
        <w:keepLines/>
      </w:pPr>
      <w:r>
        <w:t>The platform is being implemented across a large collection of provider contract documents and is supported by a comprehensive data model covering key areas such as reimbursement terms, legal clauses, provider identities, contract amendments, compliance requirements, delegation arrangements, deadlines, financial scenarios, and operational risks. This structure converts fragmented contractual information into connected intelligence that can be queried and analysed through a common platform.</w:t>
      </w:r>
    </w:p>
    <w:p w14:paraId="4C4598F1" w14:textId="77777777" w:rsidR="00F50AAB" w:rsidRDefault="00000000">
      <w:pPr>
        <w:keepLines/>
      </w:pPr>
      <w:r>
        <w:t>The innovation transforms contract review from a largely manual and document-centric activity into a structured and AI-assisted process. Finance users can evaluate reimbursement terms, rate changes, and financial considerations. Contract Operations users can review amendment histories, contractual obligations, and important deadlines. Compliance users can assess regulatory and notification requirements, while Network Strategy users can compare provider arrangements, contract terms, and network-level patterns.</w:t>
      </w:r>
    </w:p>
    <w:p w14:paraId="25093CBB" w14:textId="77777777" w:rsidR="00F50AAB" w:rsidRDefault="00000000">
      <w:pPr>
        <w:keepLines/>
      </w:pPr>
      <w:r>
        <w:t>The platform is currently progressing through development and evaluation, with the core application, data model, AI capabilities, analytical tools, and validation framework already established. The next stage will focus on completing the end-to-end document-processing flow, strengthening statistical and functional evaluation, conducting structured user testing, refining answer quality, and preparing the platform for wider enterprise adoption following budget approval.</w:t>
      </w:r>
    </w:p>
    <w:p w14:paraId="6E6B89FA" w14:textId="77777777" w:rsidR="00F50AAB" w:rsidRDefault="00000000">
      <w:pPr>
        <w:keepLines/>
      </w:pPr>
      <w:r>
        <w:t>The project also establishes an architectural foundation that can support future document-intelligence initiatives. While the current implementation is purpose-built for provider contracts, the underlying approach of document ingestion, structured extraction, semantic retrieval, natural-language querying, confidence assessment, validation, and source traceability can be applied when designing solutions for other complex contractual and document-based use cases.</w:t>
      </w:r>
    </w:p>
    <w:p w14:paraId="2E9936EE" w14:textId="77777777" w:rsidR="00F50AAB" w:rsidRDefault="00000000">
      <w:pPr>
        <w:keepLines/>
      </w:pPr>
      <w:r>
        <w:t>The Contract Intelligence Platform demonstrates how advanced AI and data technologies can address a significant client pain point by making complex contractual information easier to search, analyse, compare, and verify. It provides a strong foundation for a future contract-intelligence capability that can improve access to information, strengthen decision-making, reduce manual effort, and support multiple business functions through a single integrated platform.</w:t>
      </w:r>
    </w:p>
    <w:sectPr w:rsidR="00F50AAB"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39CC7" w14:textId="77777777" w:rsidR="006D4A14" w:rsidRDefault="006D4A14">
      <w:pPr>
        <w:spacing w:after="0" w:line="240" w:lineRule="auto"/>
      </w:pPr>
      <w:r>
        <w:separator/>
      </w:r>
    </w:p>
  </w:endnote>
  <w:endnote w:type="continuationSeparator" w:id="0">
    <w:p w14:paraId="7B193E37" w14:textId="77777777" w:rsidR="006D4A14" w:rsidRDefault="006D4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3FA4A" w14:textId="77777777" w:rsidR="00410EEB" w:rsidRDefault="00410E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7DDE" w14:textId="6AF2EF0C" w:rsidR="00F50AAB" w:rsidRDefault="00000000">
    <w:pPr>
      <w:pStyle w:val="Footer"/>
      <w:spacing w:before="60"/>
      <w:jc w:val="right"/>
    </w:pPr>
    <w:r>
      <w:rPr>
        <w:rFonts w:eastAsia="Calibri"/>
        <w:color w:val="6B7280"/>
        <w:sz w:val="17"/>
      </w:rPr>
      <w:t xml:space="preserve">Technology &amp; </w:t>
    </w:r>
    <w:r w:rsidR="00410EEB">
      <w:rPr>
        <w:rFonts w:eastAsia="Calibri"/>
        <w:color w:val="6B7280"/>
        <w:sz w:val="17"/>
      </w:rPr>
      <w:t>Innovation | Page</w:t>
    </w:r>
    <w:r>
      <w:rPr>
        <w:rFonts w:eastAsia="Calibri"/>
        <w:color w:val="6B7280"/>
        <w:sz w:val="17"/>
      </w:rPr>
      <w:t xml:space="preserve"> </w:t>
    </w:r>
    <w:r>
      <w:rPr>
        <w:rFonts w:eastAsia="Calibri"/>
        <w:color w:val="6B7280"/>
        <w:sz w:val="17"/>
      </w:rPr>
      <w:fldChar w:fldCharType="begin"/>
    </w:r>
    <w:r>
      <w:rPr>
        <w:rFonts w:eastAsia="Calibri"/>
        <w:color w:val="6B7280"/>
        <w:sz w:val="17"/>
      </w:rPr>
      <w:instrText>PAGE</w:instrText>
    </w:r>
    <w:r w:rsidR="001B235B">
      <w:rPr>
        <w:rFonts w:eastAsia="Calibri"/>
        <w:color w:val="6B7280"/>
        <w:sz w:val="17"/>
      </w:rPr>
      <w:fldChar w:fldCharType="separate"/>
    </w:r>
    <w:r w:rsidR="001B235B">
      <w:rPr>
        <w:rFonts w:eastAsia="Calibri"/>
        <w:noProof/>
        <w:color w:val="6B7280"/>
        <w:sz w:val="17"/>
      </w:rPr>
      <w:t>1</w:t>
    </w:r>
    <w:r>
      <w:rPr>
        <w:rFonts w:eastAsia="Calibri"/>
        <w:color w:val="6B7280"/>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3807A" w14:textId="77777777" w:rsidR="00410EEB" w:rsidRDefault="00410E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A01A2" w14:textId="77777777" w:rsidR="006D4A14" w:rsidRDefault="006D4A14">
      <w:pPr>
        <w:spacing w:after="0" w:line="240" w:lineRule="auto"/>
      </w:pPr>
      <w:r>
        <w:separator/>
      </w:r>
    </w:p>
  </w:footnote>
  <w:footnote w:type="continuationSeparator" w:id="0">
    <w:p w14:paraId="134DA817" w14:textId="77777777" w:rsidR="006D4A14" w:rsidRDefault="006D4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86D4E" w14:textId="77777777" w:rsidR="00410EEB" w:rsidRDefault="00410E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EC36F" w14:textId="02C2A89A" w:rsidR="00F50AAB" w:rsidRDefault="00000000">
    <w:pPr>
      <w:pStyle w:val="Header"/>
      <w:pBdr>
        <w:bottom w:val="single" w:sz="6" w:space="5" w:color="D9E2F0"/>
      </w:pBdr>
      <w:spacing w:after="80"/>
      <w:jc w:val="left"/>
    </w:pPr>
    <w:r>
      <w:rPr>
        <w:rFonts w:eastAsia="Calibri"/>
        <w:b/>
        <w:color w:val="6B7280"/>
        <w:sz w:val="17"/>
      </w:rPr>
      <w:t xml:space="preserve">CONTRACT INTELLIGENCE </w:t>
    </w:r>
    <w:r w:rsidR="00410EEB">
      <w:rPr>
        <w:rFonts w:eastAsia="Calibri"/>
        <w:b/>
        <w:color w:val="6B7280"/>
        <w:sz w:val="17"/>
      </w:rPr>
      <w:t>PLATFORM</w:t>
    </w:r>
    <w:r w:rsidR="00410EEB">
      <w:rPr>
        <w:rFonts w:eastAsia="Calibri"/>
        <w:color w:val="6B7280"/>
        <w:sz w:val="17"/>
      </w:rPr>
      <w:t xml:space="preserve"> | TECHNOLOGY</w:t>
    </w:r>
    <w:r>
      <w:rPr>
        <w:rFonts w:eastAsia="Calibri"/>
        <w:color w:val="6B7280"/>
        <w:sz w:val="17"/>
      </w:rPr>
      <w:t xml:space="preserve"> &amp; INNOVATION AWARD SUBMISSION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36544" w14:textId="77777777" w:rsidR="00410EEB" w:rsidRDefault="00410E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9786614">
    <w:abstractNumId w:val="8"/>
  </w:num>
  <w:num w:numId="2" w16cid:durableId="589434935">
    <w:abstractNumId w:val="6"/>
  </w:num>
  <w:num w:numId="3" w16cid:durableId="1304964005">
    <w:abstractNumId w:val="5"/>
  </w:num>
  <w:num w:numId="4" w16cid:durableId="744228523">
    <w:abstractNumId w:val="4"/>
  </w:num>
  <w:num w:numId="5" w16cid:durableId="1969891615">
    <w:abstractNumId w:val="7"/>
  </w:num>
  <w:num w:numId="6" w16cid:durableId="1317537260">
    <w:abstractNumId w:val="3"/>
  </w:num>
  <w:num w:numId="7" w16cid:durableId="682825404">
    <w:abstractNumId w:val="2"/>
  </w:num>
  <w:num w:numId="8" w16cid:durableId="478889075">
    <w:abstractNumId w:val="1"/>
  </w:num>
  <w:num w:numId="9" w16cid:durableId="494146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235B"/>
    <w:rsid w:val="0029639D"/>
    <w:rsid w:val="00326F90"/>
    <w:rsid w:val="003E110E"/>
    <w:rsid w:val="00410EEB"/>
    <w:rsid w:val="006D4A14"/>
    <w:rsid w:val="00AA1D8D"/>
    <w:rsid w:val="00B47730"/>
    <w:rsid w:val="00CB0664"/>
    <w:rsid w:val="00F50A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EB4CD"/>
  <w14:defaultImageDpi w14:val="300"/>
  <w15:docId w15:val="{23F115DE-43F2-4653-BE61-40D0E6464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360" w:after="100" w:line="240" w:lineRule="auto"/>
      <w:contextualSpacing/>
    </w:pPr>
    <w:rPr>
      <w:rFonts w:asciiTheme="majorHAnsi" w:eastAsiaTheme="majorEastAsia" w:hAnsiTheme="majorHAnsi" w:cstheme="majorBid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wardSubtitle">
    <w:name w:val="Award Subtitle"/>
    <w:pPr>
      <w:spacing w:after="340" w:line="240" w:lineRule="auto"/>
    </w:pPr>
    <w:rPr>
      <w:rFonts w:ascii="Calibri" w:hAnsi="Calibri"/>
      <w:b/>
      <w:color w:val="6B728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769</Words>
  <Characters>4388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Intelligence Platform - Award Abstract</dc:title>
  <dc:subject>Technology &amp; Innovation Award Submission</dc:subject>
  <dc:creator>Anukul Dixit</dc:creator>
  <cp:keywords>Contract Intelligence, Award Abstract, Technology and Innovation</cp:keywords>
  <dc:description>generated by python-docx</dc:description>
  <cp:lastModifiedBy>Anukul Dixit</cp:lastModifiedBy>
  <cp:revision>3</cp:revision>
  <dcterms:created xsi:type="dcterms:W3CDTF">2026-07-28T12:56:00Z</dcterms:created>
  <dcterms:modified xsi:type="dcterms:W3CDTF">2026-07-28T12:56:00Z</dcterms:modified>
  <cp:category/>
</cp:coreProperties>
</file>