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4BCF1" w14:textId="6562707F" w:rsidR="000F0EE6" w:rsidRDefault="00425B75">
      <w:pPr>
        <w:rPr>
          <w:rFonts w:ascii="Times New Roman" w:hAnsi="Times New Roman" w:cs="Times New Roman"/>
          <w:lang w:val="en-US"/>
        </w:rPr>
      </w:pPr>
      <w:r w:rsidRPr="00425B75">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0561C61" wp14:editId="4DFC3A73">
                <wp:simplePos x="0" y="0"/>
                <wp:positionH relativeFrom="margin">
                  <wp:align>center</wp:align>
                </wp:positionH>
                <wp:positionV relativeFrom="margin">
                  <wp:align>center</wp:align>
                </wp:positionV>
                <wp:extent cx="5715000" cy="8839200"/>
                <wp:effectExtent l="0" t="0" r="19050" b="19050"/>
                <wp:wrapNone/>
                <wp:docPr id="366343397" name="Text Box 1"/>
                <wp:cNvGraphicFramePr/>
                <a:graphic xmlns:a="http://schemas.openxmlformats.org/drawingml/2006/main">
                  <a:graphicData uri="http://schemas.microsoft.com/office/word/2010/wordprocessingShape">
                    <wps:wsp>
                      <wps:cNvSpPr txBox="1"/>
                      <wps:spPr>
                        <a:xfrm>
                          <a:off x="0" y="0"/>
                          <a:ext cx="5715000" cy="8839200"/>
                        </a:xfrm>
                        <a:prstGeom prst="rect">
                          <a:avLst/>
                        </a:prstGeom>
                        <a:solidFill>
                          <a:schemeClr val="lt1"/>
                        </a:solidFill>
                        <a:ln w="6350">
                          <a:solidFill>
                            <a:prstClr val="black"/>
                          </a:solidFill>
                        </a:ln>
                      </wps:spPr>
                      <wps:txbx>
                        <w:txbxContent>
                          <w:p w14:paraId="3F2BA96C" w14:textId="77777777" w:rsidR="00425B75" w:rsidRPr="003B5ABA" w:rsidRDefault="00425B75" w:rsidP="00425B75">
                            <w:r w:rsidRPr="003B5ABA">
                              <w:rPr>
                                <w:noProof/>
                              </w:rPr>
                              <w:drawing>
                                <wp:inline distT="0" distB="0" distL="0" distR="0" wp14:anchorId="4526DFEC" wp14:editId="7F693CF8">
                                  <wp:extent cx="3305907" cy="1395095"/>
                                  <wp:effectExtent l="0" t="0" r="8890" b="0"/>
                                  <wp:docPr id="629404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544" cy="1405070"/>
                                          </a:xfrm>
                                          <a:prstGeom prst="rect">
                                            <a:avLst/>
                                          </a:prstGeom>
                                          <a:noFill/>
                                          <a:ln>
                                            <a:noFill/>
                                          </a:ln>
                                        </pic:spPr>
                                      </pic:pic>
                                    </a:graphicData>
                                  </a:graphic>
                                </wp:inline>
                              </w:drawing>
                            </w:r>
                            <w:r>
                              <w:t xml:space="preserve">                      </w:t>
                            </w:r>
                            <w:r>
                              <w:rPr>
                                <w:noProof/>
                              </w:rPr>
                              <w:drawing>
                                <wp:inline distT="0" distB="0" distL="0" distR="0" wp14:anchorId="0354E6F1" wp14:editId="6B2C4DF1">
                                  <wp:extent cx="1441337" cy="1383030"/>
                                  <wp:effectExtent l="0" t="0" r="6985" b="7620"/>
                                  <wp:docPr id="2053980558" name="Picture 6" descr="Dr. A. P. J. Abdul Kalam Technical University, Lucknow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 A. P. J. Abdul Kalam Technical University, Lucknow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2462" cy="1393705"/>
                                          </a:xfrm>
                                          <a:prstGeom prst="rect">
                                            <a:avLst/>
                                          </a:prstGeom>
                                          <a:noFill/>
                                          <a:ln>
                                            <a:noFill/>
                                          </a:ln>
                                        </pic:spPr>
                                      </pic:pic>
                                    </a:graphicData>
                                  </a:graphic>
                                </wp:inline>
                              </w:drawing>
                            </w:r>
                          </w:p>
                          <w:p w14:paraId="090F6516" w14:textId="77777777" w:rsidR="00425B75" w:rsidRPr="00425B75" w:rsidRDefault="00425B75" w:rsidP="00425B75">
                            <w:pPr>
                              <w:jc w:val="center"/>
                              <w:rPr>
                                <w:b/>
                                <w:bCs/>
                                <w:sz w:val="32"/>
                                <w:szCs w:val="32"/>
                              </w:rPr>
                            </w:pPr>
                            <w:r w:rsidRPr="00425B75">
                              <w:rPr>
                                <w:b/>
                                <w:bCs/>
                                <w:sz w:val="32"/>
                                <w:szCs w:val="32"/>
                              </w:rPr>
                              <w:t>A</w:t>
                            </w:r>
                          </w:p>
                          <w:p w14:paraId="2EA5B018" w14:textId="77777777" w:rsidR="00425B75" w:rsidRPr="00425B75" w:rsidRDefault="00425B75" w:rsidP="00425B75">
                            <w:pPr>
                              <w:jc w:val="center"/>
                              <w:rPr>
                                <w:b/>
                                <w:bCs/>
                                <w:sz w:val="32"/>
                                <w:szCs w:val="32"/>
                              </w:rPr>
                            </w:pPr>
                            <w:r w:rsidRPr="00425B75">
                              <w:rPr>
                                <w:b/>
                                <w:bCs/>
                                <w:sz w:val="32"/>
                                <w:szCs w:val="32"/>
                              </w:rPr>
                              <w:t>Project Report</w:t>
                            </w:r>
                          </w:p>
                          <w:p w14:paraId="25615DEA" w14:textId="77777777" w:rsidR="00425B75" w:rsidRPr="00425B75" w:rsidRDefault="00425B75" w:rsidP="00425B75">
                            <w:pPr>
                              <w:jc w:val="center"/>
                              <w:rPr>
                                <w:sz w:val="28"/>
                                <w:szCs w:val="28"/>
                              </w:rPr>
                            </w:pPr>
                            <w:r w:rsidRPr="00425B75">
                              <w:rPr>
                                <w:sz w:val="28"/>
                                <w:szCs w:val="28"/>
                              </w:rPr>
                              <w:t>on</w:t>
                            </w:r>
                          </w:p>
                          <w:p w14:paraId="235CA1A4" w14:textId="77777777" w:rsidR="00425B75" w:rsidRPr="00425B75" w:rsidRDefault="00425B75" w:rsidP="00425B75">
                            <w:pPr>
                              <w:jc w:val="center"/>
                              <w:rPr>
                                <w:b/>
                                <w:bCs/>
                                <w:sz w:val="36"/>
                                <w:szCs w:val="36"/>
                              </w:rPr>
                            </w:pPr>
                            <w:r w:rsidRPr="00425B75">
                              <w:rPr>
                                <w:b/>
                                <w:bCs/>
                                <w:sz w:val="36"/>
                                <w:szCs w:val="36"/>
                              </w:rPr>
                              <w:t>Startup-Centric Benchmarking of Free-Tier Cloud-Managed Databases</w:t>
                            </w:r>
                          </w:p>
                          <w:p w14:paraId="33B1DCEE" w14:textId="77777777" w:rsidR="00425B75" w:rsidRPr="00425B75" w:rsidRDefault="00425B75" w:rsidP="00425B75">
                            <w:pPr>
                              <w:jc w:val="center"/>
                              <w:rPr>
                                <w:sz w:val="28"/>
                                <w:szCs w:val="28"/>
                              </w:rPr>
                            </w:pPr>
                            <w:r w:rsidRPr="00425B75">
                              <w:rPr>
                                <w:sz w:val="28"/>
                                <w:szCs w:val="28"/>
                              </w:rPr>
                              <w:t>submitted as partial fulfilment for the award of</w:t>
                            </w:r>
                          </w:p>
                          <w:p w14:paraId="497573D2" w14:textId="77777777" w:rsidR="00425B75" w:rsidRPr="00425B75" w:rsidRDefault="00425B75" w:rsidP="00425B75">
                            <w:pPr>
                              <w:jc w:val="center"/>
                              <w:rPr>
                                <w:b/>
                                <w:bCs/>
                                <w:sz w:val="44"/>
                                <w:szCs w:val="44"/>
                              </w:rPr>
                            </w:pPr>
                            <w:r w:rsidRPr="00425B75">
                              <w:rPr>
                                <w:b/>
                                <w:bCs/>
                                <w:sz w:val="44"/>
                                <w:szCs w:val="44"/>
                              </w:rPr>
                              <w:t>BACHELOR OF TECHNOLOGY</w:t>
                            </w:r>
                          </w:p>
                          <w:p w14:paraId="39E92591" w14:textId="77777777" w:rsidR="00425B75" w:rsidRDefault="00425B75" w:rsidP="00425B75">
                            <w:pPr>
                              <w:jc w:val="center"/>
                            </w:pPr>
                            <w:r w:rsidRPr="003B5ABA">
                              <w:t>SESSION 2025-26</w:t>
                            </w:r>
                          </w:p>
                          <w:p w14:paraId="40530331" w14:textId="77777777" w:rsidR="00425B75" w:rsidRDefault="00425B75" w:rsidP="00425B75">
                            <w:pPr>
                              <w:jc w:val="center"/>
                            </w:pPr>
                            <w:r>
                              <w:t>in</w:t>
                            </w:r>
                          </w:p>
                          <w:p w14:paraId="4BAE4EA2" w14:textId="77777777" w:rsidR="00425B75" w:rsidRPr="00425B75" w:rsidRDefault="00425B75" w:rsidP="00425B75">
                            <w:pPr>
                              <w:jc w:val="center"/>
                              <w:rPr>
                                <w:b/>
                                <w:bCs/>
                                <w:color w:val="000000" w:themeColor="text1"/>
                                <w:sz w:val="36"/>
                                <w:szCs w:val="36"/>
                              </w:rPr>
                            </w:pPr>
                            <w:hyperlink r:id="rId9" w:history="1">
                              <w:r w:rsidRPr="00425B75">
                                <w:rPr>
                                  <w:rStyle w:val="Hyperlink"/>
                                  <w:b/>
                                  <w:bCs/>
                                  <w:color w:val="000000" w:themeColor="text1"/>
                                  <w:sz w:val="36"/>
                                  <w:szCs w:val="36"/>
                                  <w:u w:val="none"/>
                                </w:rPr>
                                <w:t>Computer Science &amp; Engineering (AI/AI&amp;ML)</w:t>
                              </w:r>
                            </w:hyperlink>
                          </w:p>
                          <w:p w14:paraId="790B82E7" w14:textId="77777777" w:rsidR="00425B75" w:rsidRPr="00425B75" w:rsidRDefault="00425B75" w:rsidP="00425B75">
                            <w:pPr>
                              <w:jc w:val="center"/>
                              <w:rPr>
                                <w:color w:val="000000" w:themeColor="text1"/>
                                <w:sz w:val="28"/>
                                <w:szCs w:val="28"/>
                              </w:rPr>
                            </w:pPr>
                            <w:r w:rsidRPr="00425B75">
                              <w:rPr>
                                <w:color w:val="000000" w:themeColor="text1"/>
                                <w:sz w:val="28"/>
                                <w:szCs w:val="28"/>
                              </w:rPr>
                              <w:t>By</w:t>
                            </w:r>
                          </w:p>
                          <w:p w14:paraId="49A9C0E4" w14:textId="77777777" w:rsidR="00425B75" w:rsidRPr="00425B75" w:rsidRDefault="00425B75" w:rsidP="00425B75">
                            <w:pPr>
                              <w:jc w:val="center"/>
                              <w:rPr>
                                <w:color w:val="000000" w:themeColor="text1"/>
                                <w:sz w:val="28"/>
                                <w:szCs w:val="28"/>
                              </w:rPr>
                            </w:pPr>
                            <w:r w:rsidRPr="00425B75">
                              <w:rPr>
                                <w:color w:val="000000" w:themeColor="text1"/>
                                <w:sz w:val="28"/>
                                <w:szCs w:val="28"/>
                              </w:rPr>
                              <w:t>Avyaansh Dixit (2200291520055)</w:t>
                            </w:r>
                          </w:p>
                          <w:p w14:paraId="1059D71A" w14:textId="77777777" w:rsidR="00425B75" w:rsidRPr="00425B75" w:rsidRDefault="00425B75" w:rsidP="00425B75">
                            <w:pPr>
                              <w:jc w:val="center"/>
                              <w:rPr>
                                <w:b/>
                                <w:bCs/>
                                <w:color w:val="000000" w:themeColor="text1"/>
                                <w:sz w:val="32"/>
                                <w:szCs w:val="32"/>
                              </w:rPr>
                            </w:pPr>
                            <w:r w:rsidRPr="00425B75">
                              <w:rPr>
                                <w:b/>
                                <w:bCs/>
                                <w:color w:val="000000" w:themeColor="text1"/>
                                <w:sz w:val="32"/>
                                <w:szCs w:val="32"/>
                              </w:rPr>
                              <w:t>Under the supervision of</w:t>
                            </w:r>
                          </w:p>
                          <w:p w14:paraId="619DC5FA" w14:textId="77777777" w:rsidR="00425B75" w:rsidRPr="00425B75" w:rsidRDefault="00425B75" w:rsidP="00425B75">
                            <w:pPr>
                              <w:jc w:val="center"/>
                              <w:rPr>
                                <w:color w:val="000000" w:themeColor="text1"/>
                                <w:sz w:val="28"/>
                                <w:szCs w:val="28"/>
                              </w:rPr>
                            </w:pPr>
                            <w:r w:rsidRPr="00425B75">
                              <w:rPr>
                                <w:color w:val="000000" w:themeColor="text1"/>
                                <w:sz w:val="28"/>
                                <w:szCs w:val="28"/>
                              </w:rPr>
                              <w:t>Ms. Nidhi Singh</w:t>
                            </w:r>
                          </w:p>
                          <w:p w14:paraId="7CC0F73C"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 xml:space="preserve">KIET Group of Institutions, Ghaziabad </w:t>
                            </w:r>
                          </w:p>
                          <w:p w14:paraId="11D9BCD3" w14:textId="77777777" w:rsidR="00425B75" w:rsidRPr="00425B75" w:rsidRDefault="00425B75" w:rsidP="00425B75">
                            <w:pPr>
                              <w:jc w:val="center"/>
                              <w:rPr>
                                <w:color w:val="000000" w:themeColor="text1"/>
                                <w:sz w:val="28"/>
                                <w:szCs w:val="28"/>
                              </w:rPr>
                            </w:pPr>
                            <w:r w:rsidRPr="00425B75">
                              <w:rPr>
                                <w:color w:val="000000" w:themeColor="text1"/>
                                <w:sz w:val="28"/>
                                <w:szCs w:val="28"/>
                              </w:rPr>
                              <w:t xml:space="preserve">Affiliated to </w:t>
                            </w:r>
                          </w:p>
                          <w:p w14:paraId="692DA039"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 xml:space="preserve">Dr. A.P.J. Abdul Kalam Technical University, Lucknow </w:t>
                            </w:r>
                          </w:p>
                          <w:p w14:paraId="1668A60B" w14:textId="77777777" w:rsidR="00425B75" w:rsidRPr="00425B75" w:rsidRDefault="00425B75" w:rsidP="00425B75">
                            <w:pPr>
                              <w:jc w:val="center"/>
                              <w:rPr>
                                <w:color w:val="000000" w:themeColor="text1"/>
                                <w:sz w:val="28"/>
                                <w:szCs w:val="28"/>
                              </w:rPr>
                            </w:pPr>
                            <w:r w:rsidRPr="00425B75">
                              <w:rPr>
                                <w:color w:val="000000" w:themeColor="text1"/>
                                <w:sz w:val="28"/>
                                <w:szCs w:val="28"/>
                              </w:rPr>
                              <w:t xml:space="preserve">(Formerly UPTU) </w:t>
                            </w:r>
                          </w:p>
                          <w:p w14:paraId="47B6A6B9"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May,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561C61" id="_x0000_t202" coordsize="21600,21600" o:spt="202" path="m,l,21600r21600,l21600,xe">
                <v:stroke joinstyle="miter"/>
                <v:path gradientshapeok="t" o:connecttype="rect"/>
              </v:shapetype>
              <v:shape id="Text Box 1" o:spid="_x0000_s1026" type="#_x0000_t202" style="position:absolute;margin-left:0;margin-top:0;width:450pt;height:696pt;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" fillcolor="white [3201]" strokeweight=".5pt">
                <v:textbox>
                  <w:txbxContent>
                    <w:p w14:paraId="3F2BA96C" w14:textId="77777777" w:rsidR="00425B75" w:rsidRPr="003B5ABA" w:rsidRDefault="00425B75" w:rsidP="00425B75">
                      <w:r w:rsidRPr="003B5ABA">
                        <w:rPr>
                          <w:noProof/>
                        </w:rPr>
                        <w:drawing>
                          <wp:inline distT="0" distB="0" distL="0" distR="0" wp14:anchorId="4526DFEC" wp14:editId="7F693CF8">
                            <wp:extent cx="3305907" cy="1395095"/>
                            <wp:effectExtent l="0" t="0" r="8890" b="0"/>
                            <wp:docPr id="6294049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29544" cy="1405070"/>
                                    </a:xfrm>
                                    <a:prstGeom prst="rect">
                                      <a:avLst/>
                                    </a:prstGeom>
                                    <a:noFill/>
                                    <a:ln>
                                      <a:noFill/>
                                    </a:ln>
                                  </pic:spPr>
                                </pic:pic>
                              </a:graphicData>
                            </a:graphic>
                          </wp:inline>
                        </w:drawing>
                      </w:r>
                      <w:r>
                        <w:t xml:space="preserve">                      </w:t>
                      </w:r>
                      <w:r>
                        <w:rPr>
                          <w:noProof/>
                        </w:rPr>
                        <w:drawing>
                          <wp:inline distT="0" distB="0" distL="0" distR="0" wp14:anchorId="0354E6F1" wp14:editId="6B2C4DF1">
                            <wp:extent cx="1441337" cy="1383030"/>
                            <wp:effectExtent l="0" t="0" r="6985" b="7620"/>
                            <wp:docPr id="2053980558" name="Picture 6" descr="Dr. A. P. J. Abdul Kalam Technical University, Lucknow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 A. P. J. Abdul Kalam Technical University, Lucknow - Wikiped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2462" cy="1393705"/>
                                    </a:xfrm>
                                    <a:prstGeom prst="rect">
                                      <a:avLst/>
                                    </a:prstGeom>
                                    <a:noFill/>
                                    <a:ln>
                                      <a:noFill/>
                                    </a:ln>
                                  </pic:spPr>
                                </pic:pic>
                              </a:graphicData>
                            </a:graphic>
                          </wp:inline>
                        </w:drawing>
                      </w:r>
                    </w:p>
                    <w:p w14:paraId="090F6516" w14:textId="77777777" w:rsidR="00425B75" w:rsidRPr="00425B75" w:rsidRDefault="00425B75" w:rsidP="00425B75">
                      <w:pPr>
                        <w:jc w:val="center"/>
                        <w:rPr>
                          <w:b/>
                          <w:bCs/>
                          <w:sz w:val="32"/>
                          <w:szCs w:val="32"/>
                        </w:rPr>
                      </w:pPr>
                      <w:r w:rsidRPr="00425B75">
                        <w:rPr>
                          <w:b/>
                          <w:bCs/>
                          <w:sz w:val="32"/>
                          <w:szCs w:val="32"/>
                        </w:rPr>
                        <w:t>A</w:t>
                      </w:r>
                    </w:p>
                    <w:p w14:paraId="2EA5B018" w14:textId="77777777" w:rsidR="00425B75" w:rsidRPr="00425B75" w:rsidRDefault="00425B75" w:rsidP="00425B75">
                      <w:pPr>
                        <w:jc w:val="center"/>
                        <w:rPr>
                          <w:b/>
                          <w:bCs/>
                          <w:sz w:val="32"/>
                          <w:szCs w:val="32"/>
                        </w:rPr>
                      </w:pPr>
                      <w:r w:rsidRPr="00425B75">
                        <w:rPr>
                          <w:b/>
                          <w:bCs/>
                          <w:sz w:val="32"/>
                          <w:szCs w:val="32"/>
                        </w:rPr>
                        <w:t>Project Report</w:t>
                      </w:r>
                    </w:p>
                    <w:p w14:paraId="25615DEA" w14:textId="77777777" w:rsidR="00425B75" w:rsidRPr="00425B75" w:rsidRDefault="00425B75" w:rsidP="00425B75">
                      <w:pPr>
                        <w:jc w:val="center"/>
                        <w:rPr>
                          <w:sz w:val="28"/>
                          <w:szCs w:val="28"/>
                        </w:rPr>
                      </w:pPr>
                      <w:r w:rsidRPr="00425B75">
                        <w:rPr>
                          <w:sz w:val="28"/>
                          <w:szCs w:val="28"/>
                        </w:rPr>
                        <w:t>on</w:t>
                      </w:r>
                    </w:p>
                    <w:p w14:paraId="235CA1A4" w14:textId="77777777" w:rsidR="00425B75" w:rsidRPr="00425B75" w:rsidRDefault="00425B75" w:rsidP="00425B75">
                      <w:pPr>
                        <w:jc w:val="center"/>
                        <w:rPr>
                          <w:b/>
                          <w:bCs/>
                          <w:sz w:val="36"/>
                          <w:szCs w:val="36"/>
                        </w:rPr>
                      </w:pPr>
                      <w:r w:rsidRPr="00425B75">
                        <w:rPr>
                          <w:b/>
                          <w:bCs/>
                          <w:sz w:val="36"/>
                          <w:szCs w:val="36"/>
                        </w:rPr>
                        <w:t>Startup-Centric Benchmarking of Free-Tier Cloud-Managed Databases</w:t>
                      </w:r>
                    </w:p>
                    <w:p w14:paraId="33B1DCEE" w14:textId="77777777" w:rsidR="00425B75" w:rsidRPr="00425B75" w:rsidRDefault="00425B75" w:rsidP="00425B75">
                      <w:pPr>
                        <w:jc w:val="center"/>
                        <w:rPr>
                          <w:sz w:val="28"/>
                          <w:szCs w:val="28"/>
                        </w:rPr>
                      </w:pPr>
                      <w:r w:rsidRPr="00425B75">
                        <w:rPr>
                          <w:sz w:val="28"/>
                          <w:szCs w:val="28"/>
                        </w:rPr>
                        <w:t>submitted as partial fulfilment for the award of</w:t>
                      </w:r>
                    </w:p>
                    <w:p w14:paraId="497573D2" w14:textId="77777777" w:rsidR="00425B75" w:rsidRPr="00425B75" w:rsidRDefault="00425B75" w:rsidP="00425B75">
                      <w:pPr>
                        <w:jc w:val="center"/>
                        <w:rPr>
                          <w:b/>
                          <w:bCs/>
                          <w:sz w:val="44"/>
                          <w:szCs w:val="44"/>
                        </w:rPr>
                      </w:pPr>
                      <w:r w:rsidRPr="00425B75">
                        <w:rPr>
                          <w:b/>
                          <w:bCs/>
                          <w:sz w:val="44"/>
                          <w:szCs w:val="44"/>
                        </w:rPr>
                        <w:t>BACHELOR OF TECHNOLOGY</w:t>
                      </w:r>
                    </w:p>
                    <w:p w14:paraId="39E92591" w14:textId="77777777" w:rsidR="00425B75" w:rsidRDefault="00425B75" w:rsidP="00425B75">
                      <w:pPr>
                        <w:jc w:val="center"/>
                      </w:pPr>
                      <w:r w:rsidRPr="003B5ABA">
                        <w:t>SESSION 2025-26</w:t>
                      </w:r>
                    </w:p>
                    <w:p w14:paraId="40530331" w14:textId="77777777" w:rsidR="00425B75" w:rsidRDefault="00425B75" w:rsidP="00425B75">
                      <w:pPr>
                        <w:jc w:val="center"/>
                      </w:pPr>
                      <w:r>
                        <w:t>in</w:t>
                      </w:r>
                    </w:p>
                    <w:p w14:paraId="4BAE4EA2" w14:textId="77777777" w:rsidR="00425B75" w:rsidRPr="00425B75" w:rsidRDefault="00425B75" w:rsidP="00425B75">
                      <w:pPr>
                        <w:jc w:val="center"/>
                        <w:rPr>
                          <w:b/>
                          <w:bCs/>
                          <w:color w:val="000000" w:themeColor="text1"/>
                          <w:sz w:val="36"/>
                          <w:szCs w:val="36"/>
                        </w:rPr>
                      </w:pPr>
                      <w:hyperlink r:id="rId10" w:history="1">
                        <w:r w:rsidRPr="00425B75">
                          <w:rPr>
                            <w:rStyle w:val="Hyperlink"/>
                            <w:b/>
                            <w:bCs/>
                            <w:color w:val="000000" w:themeColor="text1"/>
                            <w:sz w:val="36"/>
                            <w:szCs w:val="36"/>
                            <w:u w:val="none"/>
                          </w:rPr>
                          <w:t>Computer Science &amp; Engineering (AI/AI&amp;ML)</w:t>
                        </w:r>
                      </w:hyperlink>
                    </w:p>
                    <w:p w14:paraId="790B82E7" w14:textId="77777777" w:rsidR="00425B75" w:rsidRPr="00425B75" w:rsidRDefault="00425B75" w:rsidP="00425B75">
                      <w:pPr>
                        <w:jc w:val="center"/>
                        <w:rPr>
                          <w:color w:val="000000" w:themeColor="text1"/>
                          <w:sz w:val="28"/>
                          <w:szCs w:val="28"/>
                        </w:rPr>
                      </w:pPr>
                      <w:r w:rsidRPr="00425B75">
                        <w:rPr>
                          <w:color w:val="000000" w:themeColor="text1"/>
                          <w:sz w:val="28"/>
                          <w:szCs w:val="28"/>
                        </w:rPr>
                        <w:t>By</w:t>
                      </w:r>
                    </w:p>
                    <w:p w14:paraId="49A9C0E4" w14:textId="77777777" w:rsidR="00425B75" w:rsidRPr="00425B75" w:rsidRDefault="00425B75" w:rsidP="00425B75">
                      <w:pPr>
                        <w:jc w:val="center"/>
                        <w:rPr>
                          <w:color w:val="000000" w:themeColor="text1"/>
                          <w:sz w:val="28"/>
                          <w:szCs w:val="28"/>
                        </w:rPr>
                      </w:pPr>
                      <w:r w:rsidRPr="00425B75">
                        <w:rPr>
                          <w:color w:val="000000" w:themeColor="text1"/>
                          <w:sz w:val="28"/>
                          <w:szCs w:val="28"/>
                        </w:rPr>
                        <w:t>Avyaansh Dixit (2200291520055)</w:t>
                      </w:r>
                    </w:p>
                    <w:p w14:paraId="1059D71A" w14:textId="77777777" w:rsidR="00425B75" w:rsidRPr="00425B75" w:rsidRDefault="00425B75" w:rsidP="00425B75">
                      <w:pPr>
                        <w:jc w:val="center"/>
                        <w:rPr>
                          <w:b/>
                          <w:bCs/>
                          <w:color w:val="000000" w:themeColor="text1"/>
                          <w:sz w:val="32"/>
                          <w:szCs w:val="32"/>
                        </w:rPr>
                      </w:pPr>
                      <w:r w:rsidRPr="00425B75">
                        <w:rPr>
                          <w:b/>
                          <w:bCs/>
                          <w:color w:val="000000" w:themeColor="text1"/>
                          <w:sz w:val="32"/>
                          <w:szCs w:val="32"/>
                        </w:rPr>
                        <w:t>Under the supervision of</w:t>
                      </w:r>
                    </w:p>
                    <w:p w14:paraId="619DC5FA" w14:textId="77777777" w:rsidR="00425B75" w:rsidRPr="00425B75" w:rsidRDefault="00425B75" w:rsidP="00425B75">
                      <w:pPr>
                        <w:jc w:val="center"/>
                        <w:rPr>
                          <w:color w:val="000000" w:themeColor="text1"/>
                          <w:sz w:val="28"/>
                          <w:szCs w:val="28"/>
                        </w:rPr>
                      </w:pPr>
                      <w:r w:rsidRPr="00425B75">
                        <w:rPr>
                          <w:color w:val="000000" w:themeColor="text1"/>
                          <w:sz w:val="28"/>
                          <w:szCs w:val="28"/>
                        </w:rPr>
                        <w:t>Ms. Nidhi Singh</w:t>
                      </w:r>
                    </w:p>
                    <w:p w14:paraId="7CC0F73C"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 xml:space="preserve">KIET Group of Institutions, Ghaziabad </w:t>
                      </w:r>
                    </w:p>
                    <w:p w14:paraId="11D9BCD3" w14:textId="77777777" w:rsidR="00425B75" w:rsidRPr="00425B75" w:rsidRDefault="00425B75" w:rsidP="00425B75">
                      <w:pPr>
                        <w:jc w:val="center"/>
                        <w:rPr>
                          <w:color w:val="000000" w:themeColor="text1"/>
                          <w:sz w:val="28"/>
                          <w:szCs w:val="28"/>
                        </w:rPr>
                      </w:pPr>
                      <w:r w:rsidRPr="00425B75">
                        <w:rPr>
                          <w:color w:val="000000" w:themeColor="text1"/>
                          <w:sz w:val="28"/>
                          <w:szCs w:val="28"/>
                        </w:rPr>
                        <w:t xml:space="preserve">Affiliated to </w:t>
                      </w:r>
                    </w:p>
                    <w:p w14:paraId="692DA039"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 xml:space="preserve">Dr. A.P.J. Abdul Kalam Technical University, Lucknow </w:t>
                      </w:r>
                    </w:p>
                    <w:p w14:paraId="1668A60B" w14:textId="77777777" w:rsidR="00425B75" w:rsidRPr="00425B75" w:rsidRDefault="00425B75" w:rsidP="00425B75">
                      <w:pPr>
                        <w:jc w:val="center"/>
                        <w:rPr>
                          <w:color w:val="000000" w:themeColor="text1"/>
                          <w:sz w:val="28"/>
                          <w:szCs w:val="28"/>
                        </w:rPr>
                      </w:pPr>
                      <w:r w:rsidRPr="00425B75">
                        <w:rPr>
                          <w:color w:val="000000" w:themeColor="text1"/>
                          <w:sz w:val="28"/>
                          <w:szCs w:val="28"/>
                        </w:rPr>
                        <w:t xml:space="preserve">(Formerly UPTU) </w:t>
                      </w:r>
                    </w:p>
                    <w:p w14:paraId="47B6A6B9" w14:textId="77777777" w:rsidR="00425B75" w:rsidRPr="00425B75" w:rsidRDefault="00425B75" w:rsidP="00425B75">
                      <w:pPr>
                        <w:jc w:val="center"/>
                        <w:rPr>
                          <w:b/>
                          <w:bCs/>
                          <w:color w:val="000000" w:themeColor="text1"/>
                          <w:sz w:val="36"/>
                          <w:szCs w:val="36"/>
                        </w:rPr>
                      </w:pPr>
                      <w:r w:rsidRPr="00425B75">
                        <w:rPr>
                          <w:b/>
                          <w:bCs/>
                          <w:color w:val="000000" w:themeColor="text1"/>
                          <w:sz w:val="36"/>
                          <w:szCs w:val="36"/>
                        </w:rPr>
                        <w:t>May, 2026</w:t>
                      </w:r>
                    </w:p>
                  </w:txbxContent>
                </v:textbox>
                <w10:wrap anchorx="margin" anchory="margin"/>
              </v:shape>
            </w:pict>
          </mc:Fallback>
        </mc:AlternateContent>
      </w:r>
      <w:r w:rsidRPr="00425B75">
        <w:rPr>
          <w:rFonts w:ascii="Times New Roman" w:hAnsi="Times New Roman" w:cs="Times New Roman"/>
          <w:lang w:val="en-US"/>
        </w:rPr>
        <w:br w:type="page"/>
      </w:r>
    </w:p>
    <w:p w14:paraId="030A0D92" w14:textId="4611E7C1" w:rsidR="00425B75" w:rsidRPr="00425B75" w:rsidRDefault="00425B75" w:rsidP="00425B75">
      <w:pPr>
        <w:jc w:val="center"/>
        <w:rPr>
          <w:rFonts w:ascii="Times New Roman" w:hAnsi="Times New Roman" w:cs="Times New Roman"/>
          <w:b/>
          <w:bCs/>
          <w:sz w:val="36"/>
          <w:szCs w:val="36"/>
        </w:rPr>
      </w:pPr>
      <w:r w:rsidRPr="00425B75">
        <w:rPr>
          <w:rFonts w:ascii="Times New Roman" w:hAnsi="Times New Roman" w:cs="Times New Roman"/>
          <w:b/>
          <w:bCs/>
          <w:sz w:val="36"/>
          <w:szCs w:val="36"/>
        </w:rPr>
        <w:lastRenderedPageBreak/>
        <w:t>DECLARATION</w:t>
      </w:r>
    </w:p>
    <w:p w14:paraId="07551D48" w14:textId="180074FD" w:rsidR="00425B75" w:rsidRDefault="00425B75" w:rsidP="00B61016">
      <w:pPr>
        <w:spacing w:line="360" w:lineRule="auto"/>
        <w:jc w:val="both"/>
        <w:rPr>
          <w:rFonts w:ascii="Times New Roman" w:hAnsi="Times New Roman" w:cs="Times New Roman"/>
          <w:sz w:val="28"/>
          <w:szCs w:val="28"/>
        </w:rPr>
      </w:pPr>
      <w:r w:rsidRPr="00425B75">
        <w:rPr>
          <w:rFonts w:ascii="Times New Roman" w:hAnsi="Times New Roman" w:cs="Times New Roman"/>
          <w:sz w:val="28"/>
          <w:szCs w:val="28"/>
        </w:rPr>
        <w:t>We hereby declare that this submission is our own work and that, to the best of our knowledge and belief, it contains no material previously published or written by another person nor material which to a substantial extent has been accepted for the award of any other degree or diploma of the university or other institute of higher learning, except where due acknowledgment has been made in the text.</w:t>
      </w:r>
    </w:p>
    <w:p w14:paraId="43C6CC9B" w14:textId="561C8FE5" w:rsidR="00F0203E" w:rsidRDefault="00F0203E" w:rsidP="00425B75">
      <w:pPr>
        <w:rPr>
          <w:rFonts w:ascii="Times New Roman" w:hAnsi="Times New Roman" w:cs="Times New Roman"/>
          <w:sz w:val="28"/>
          <w:szCs w:val="28"/>
        </w:rPr>
      </w:pPr>
    </w:p>
    <w:p w14:paraId="5E66CC84" w14:textId="4232F95E" w:rsidR="00F0203E" w:rsidRDefault="00F0203E" w:rsidP="00F0203E">
      <w:pPr>
        <w:jc w:val="both"/>
        <w:rPr>
          <w:rFonts w:ascii="Times New Roman" w:hAnsi="Times New Roman" w:cs="Times New Roman"/>
          <w:sz w:val="28"/>
          <w:szCs w:val="28"/>
        </w:rPr>
      </w:pPr>
      <w:r>
        <w:rPr>
          <w:rFonts w:ascii="Times New Roman" w:hAnsi="Times New Roman" w:cs="Times New Roman"/>
          <w:sz w:val="28"/>
          <w:szCs w:val="28"/>
        </w:rPr>
        <w:t>Name: Avyaansh Dixit</w:t>
      </w:r>
    </w:p>
    <w:p w14:paraId="56CE89E4" w14:textId="69FB7AF8" w:rsidR="00F0203E" w:rsidRDefault="00F0203E" w:rsidP="00F0203E">
      <w:pPr>
        <w:jc w:val="both"/>
        <w:rPr>
          <w:rFonts w:ascii="Times New Roman" w:hAnsi="Times New Roman" w:cs="Times New Roman"/>
          <w:sz w:val="28"/>
          <w:szCs w:val="28"/>
        </w:rPr>
      </w:pPr>
      <w:r>
        <w:rPr>
          <w:rFonts w:ascii="Times New Roman" w:hAnsi="Times New Roman" w:cs="Times New Roman"/>
          <w:sz w:val="28"/>
          <w:szCs w:val="28"/>
        </w:rPr>
        <w:t>Roll No: 2200291520055</w:t>
      </w:r>
    </w:p>
    <w:p w14:paraId="7EBA96C5" w14:textId="3B29EAC4" w:rsidR="00F0203E" w:rsidRDefault="00F0203E" w:rsidP="00F0203E">
      <w:pPr>
        <w:jc w:val="both"/>
        <w:rPr>
          <w:rFonts w:ascii="Times New Roman" w:hAnsi="Times New Roman" w:cs="Times New Roman"/>
          <w:sz w:val="28"/>
          <w:szCs w:val="28"/>
        </w:rPr>
      </w:pPr>
      <w:r>
        <w:rPr>
          <w:rFonts w:ascii="Times New Roman" w:hAnsi="Times New Roman" w:cs="Times New Roman"/>
          <w:sz w:val="28"/>
          <w:szCs w:val="28"/>
        </w:rPr>
        <w:t>Date: 26-03-2026</w:t>
      </w:r>
    </w:p>
    <w:p w14:paraId="3248C12A" w14:textId="03748739" w:rsidR="00F0203E" w:rsidRDefault="00F0203E" w:rsidP="00425B75">
      <w:pPr>
        <w:pBdr>
          <w:bottom w:val="single" w:sz="12" w:space="1" w:color="auto"/>
        </w:pBdr>
        <w:rPr>
          <w:sz w:val="28"/>
          <w:szCs w:val="28"/>
        </w:rPr>
      </w:pPr>
      <w:r>
        <w:rPr>
          <w:rFonts w:ascii="Times New Roman" w:hAnsi="Times New Roman" w:cs="Times New Roman"/>
          <w:sz w:val="28"/>
          <w:szCs w:val="28"/>
        </w:rPr>
        <w:br w:type="page"/>
      </w:r>
      <w:r w:rsidRPr="00F0203E">
        <w:rPr>
          <w:noProof/>
          <w:sz w:val="28"/>
          <w:szCs w:val="28"/>
        </w:rPr>
        <w:lastRenderedPageBreak/>
        <w:drawing>
          <wp:inline distT="0" distB="0" distL="0" distR="0" wp14:anchorId="4D36B02B" wp14:editId="7C9AF0E8">
            <wp:extent cx="5731510" cy="1790700"/>
            <wp:effectExtent l="0" t="0" r="2540" b="0"/>
            <wp:docPr id="15806148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9474" cy="1793188"/>
                    </a:xfrm>
                    <a:prstGeom prst="rect">
                      <a:avLst/>
                    </a:prstGeom>
                    <a:noFill/>
                    <a:ln>
                      <a:noFill/>
                    </a:ln>
                  </pic:spPr>
                </pic:pic>
              </a:graphicData>
            </a:graphic>
          </wp:inline>
        </w:drawing>
      </w:r>
    </w:p>
    <w:p w14:paraId="5CAAED8C" w14:textId="7F2FF019" w:rsidR="00F0203E" w:rsidRPr="00B61016" w:rsidRDefault="00F0203E" w:rsidP="00F0203E">
      <w:pPr>
        <w:jc w:val="center"/>
        <w:rPr>
          <w:rFonts w:ascii="Times New Roman" w:hAnsi="Times New Roman" w:cs="Times New Roman"/>
          <w:b/>
          <w:bCs/>
          <w:sz w:val="36"/>
          <w:szCs w:val="36"/>
        </w:rPr>
      </w:pPr>
      <w:r w:rsidRPr="00B61016">
        <w:rPr>
          <w:rFonts w:ascii="Times New Roman" w:hAnsi="Times New Roman" w:cs="Times New Roman"/>
          <w:b/>
          <w:bCs/>
          <w:sz w:val="36"/>
          <w:szCs w:val="36"/>
        </w:rPr>
        <w:t>CERTIFICATE</w:t>
      </w:r>
    </w:p>
    <w:p w14:paraId="00A85DE9" w14:textId="75D52E0A" w:rsidR="00F0203E" w:rsidRPr="00B61016" w:rsidRDefault="00F0203E" w:rsidP="00B61016">
      <w:pPr>
        <w:spacing w:line="360" w:lineRule="auto"/>
        <w:jc w:val="both"/>
        <w:rPr>
          <w:rFonts w:ascii="Times New Roman" w:hAnsi="Times New Roman" w:cs="Times New Roman"/>
          <w:sz w:val="28"/>
          <w:szCs w:val="28"/>
        </w:rPr>
      </w:pPr>
      <w:r w:rsidRPr="00B61016">
        <w:rPr>
          <w:rFonts w:ascii="Times New Roman" w:hAnsi="Times New Roman" w:cs="Times New Roman"/>
          <w:sz w:val="28"/>
          <w:szCs w:val="28"/>
        </w:rPr>
        <w:t xml:space="preserve">This is to certify that Project Report entitled </w:t>
      </w:r>
      <w:r w:rsidRPr="00B61016">
        <w:rPr>
          <w:rFonts w:ascii="Times New Roman" w:hAnsi="Times New Roman" w:cs="Times New Roman"/>
          <w:b/>
          <w:bCs/>
          <w:sz w:val="28"/>
          <w:szCs w:val="28"/>
        </w:rPr>
        <w:t xml:space="preserve">Startup-Centric Benchmarking of Free-Tier Cloud-Managed Databases </w:t>
      </w:r>
      <w:r w:rsidRPr="00B61016">
        <w:rPr>
          <w:rFonts w:ascii="Times New Roman" w:hAnsi="Times New Roman" w:cs="Times New Roman"/>
          <w:sz w:val="28"/>
          <w:szCs w:val="28"/>
        </w:rPr>
        <w:t xml:space="preserve">which is submitted by </w:t>
      </w:r>
      <w:r w:rsidRPr="00B61016">
        <w:rPr>
          <w:rFonts w:ascii="Times New Roman" w:hAnsi="Times New Roman" w:cs="Times New Roman"/>
          <w:b/>
          <w:bCs/>
          <w:sz w:val="28"/>
          <w:szCs w:val="28"/>
        </w:rPr>
        <w:t>Avyaansh Dixit</w:t>
      </w:r>
      <w:r w:rsidRPr="00B61016">
        <w:rPr>
          <w:rFonts w:ascii="Times New Roman" w:hAnsi="Times New Roman" w:cs="Times New Roman"/>
          <w:sz w:val="28"/>
          <w:szCs w:val="28"/>
        </w:rPr>
        <w:t xml:space="preserve"> in partial fulfilment of the requirement for the award of degree B. Tech. in Department of </w:t>
      </w:r>
      <w:hyperlink r:id="rId12" w:history="1">
        <w:r w:rsidRPr="00B61016">
          <w:rPr>
            <w:rStyle w:val="Hyperlink"/>
            <w:rFonts w:ascii="Times New Roman" w:hAnsi="Times New Roman" w:cs="Times New Roman"/>
            <w:color w:val="000000" w:themeColor="text1"/>
            <w:sz w:val="28"/>
            <w:szCs w:val="28"/>
            <w:u w:val="none"/>
          </w:rPr>
          <w:t>Computer Science &amp; Engineering (AI/AI&amp;ML)</w:t>
        </w:r>
      </w:hyperlink>
      <w:r w:rsidRPr="00B61016">
        <w:rPr>
          <w:rFonts w:ascii="Times New Roman" w:hAnsi="Times New Roman" w:cs="Times New Roman"/>
          <w:b/>
          <w:bCs/>
          <w:color w:val="000000" w:themeColor="text1"/>
          <w:sz w:val="36"/>
          <w:szCs w:val="36"/>
        </w:rPr>
        <w:t xml:space="preserve"> </w:t>
      </w:r>
      <w:r w:rsidRPr="00B61016">
        <w:rPr>
          <w:rFonts w:ascii="Times New Roman" w:hAnsi="Times New Roman" w:cs="Times New Roman"/>
          <w:sz w:val="28"/>
          <w:szCs w:val="28"/>
        </w:rPr>
        <w:t>of Dr. A.P.J. Abdul Kalam Technical University, Lucknow is a record of the candidates own work carried out by them under my supervision. The matter embodied in this report is original and has not been submitted for the award of any other degree.</w:t>
      </w:r>
    </w:p>
    <w:p w14:paraId="4C9A0768" w14:textId="77777777" w:rsidR="00F0203E" w:rsidRPr="00B61016" w:rsidRDefault="00F0203E" w:rsidP="00F0203E">
      <w:pPr>
        <w:jc w:val="both"/>
        <w:rPr>
          <w:rFonts w:ascii="Times New Roman" w:hAnsi="Times New Roman" w:cs="Times New Roman"/>
          <w:sz w:val="28"/>
          <w:szCs w:val="28"/>
        </w:rPr>
      </w:pPr>
    </w:p>
    <w:p w14:paraId="430D4BEC" w14:textId="0C356A25" w:rsidR="00F0203E" w:rsidRPr="00B61016" w:rsidRDefault="00F0203E" w:rsidP="00F0203E">
      <w:pPr>
        <w:spacing w:after="0"/>
        <w:jc w:val="both"/>
        <w:rPr>
          <w:rFonts w:ascii="Times New Roman" w:hAnsi="Times New Roman" w:cs="Times New Roman"/>
          <w:b/>
          <w:bCs/>
          <w:sz w:val="28"/>
          <w:szCs w:val="28"/>
        </w:rPr>
      </w:pPr>
      <w:r w:rsidRPr="00B61016">
        <w:rPr>
          <w:rFonts w:ascii="Times New Roman" w:hAnsi="Times New Roman" w:cs="Times New Roman"/>
          <w:b/>
          <w:bCs/>
          <w:sz w:val="28"/>
          <w:szCs w:val="28"/>
        </w:rPr>
        <w:t xml:space="preserve">Ms. Nidhi Singh                                                                        </w:t>
      </w:r>
      <w:r w:rsidR="00B61016">
        <w:rPr>
          <w:rFonts w:ascii="Times New Roman" w:hAnsi="Times New Roman" w:cs="Times New Roman"/>
          <w:b/>
          <w:bCs/>
          <w:sz w:val="28"/>
          <w:szCs w:val="28"/>
        </w:rPr>
        <w:t xml:space="preserve"> </w:t>
      </w:r>
      <w:r w:rsidRPr="00B61016">
        <w:rPr>
          <w:rFonts w:ascii="Times New Roman" w:hAnsi="Times New Roman" w:cs="Times New Roman"/>
          <w:b/>
          <w:bCs/>
          <w:sz w:val="28"/>
          <w:szCs w:val="28"/>
        </w:rPr>
        <w:t>Dr. Rekha Kashyap</w:t>
      </w:r>
    </w:p>
    <w:p w14:paraId="697C20D9" w14:textId="375A6147" w:rsidR="00F0203E" w:rsidRPr="00B61016" w:rsidRDefault="00F0203E" w:rsidP="00F0203E">
      <w:pPr>
        <w:spacing w:after="0"/>
        <w:jc w:val="both"/>
        <w:rPr>
          <w:rFonts w:ascii="Times New Roman" w:hAnsi="Times New Roman" w:cs="Times New Roman"/>
          <w:b/>
          <w:bCs/>
        </w:rPr>
      </w:pPr>
      <w:r w:rsidRPr="00B61016">
        <w:rPr>
          <w:rFonts w:ascii="Times New Roman" w:hAnsi="Times New Roman" w:cs="Times New Roman"/>
          <w:b/>
          <w:bCs/>
          <w:color w:val="000000" w:themeColor="text1"/>
        </w:rPr>
        <w:t xml:space="preserve">Assistant Professor, CSE(AI&amp;ML)                                           </w:t>
      </w:r>
      <w:r w:rsidR="00B61016">
        <w:rPr>
          <w:rFonts w:ascii="Times New Roman" w:hAnsi="Times New Roman" w:cs="Times New Roman"/>
          <w:b/>
          <w:bCs/>
          <w:color w:val="000000" w:themeColor="text1"/>
        </w:rPr>
        <w:t xml:space="preserve">                  </w:t>
      </w:r>
      <w:r w:rsidRPr="00F0203E">
        <w:rPr>
          <w:rFonts w:ascii="Times New Roman" w:hAnsi="Times New Roman" w:cs="Times New Roman"/>
          <w:b/>
          <w:bCs/>
        </w:rPr>
        <w:t>Dean-CSE(AI/AI&amp;ML)</w:t>
      </w:r>
    </w:p>
    <w:p w14:paraId="7D16B2CC" w14:textId="77777777" w:rsidR="00B61016" w:rsidRDefault="00B61016" w:rsidP="00F0203E">
      <w:pPr>
        <w:spacing w:after="0"/>
        <w:jc w:val="both"/>
        <w:rPr>
          <w:rFonts w:ascii="Times New Roman" w:hAnsi="Times New Roman" w:cs="Times New Roman"/>
          <w:b/>
          <w:bCs/>
        </w:rPr>
      </w:pPr>
    </w:p>
    <w:p w14:paraId="370B63DD" w14:textId="77777777" w:rsidR="00B61016" w:rsidRDefault="00B61016" w:rsidP="00F0203E">
      <w:pPr>
        <w:spacing w:after="0"/>
        <w:jc w:val="both"/>
        <w:rPr>
          <w:rFonts w:ascii="Times New Roman" w:hAnsi="Times New Roman" w:cs="Times New Roman"/>
          <w:b/>
          <w:bCs/>
        </w:rPr>
      </w:pPr>
    </w:p>
    <w:p w14:paraId="3554D36B" w14:textId="38D22F35" w:rsidR="00B61016" w:rsidRDefault="00B61016" w:rsidP="00F0203E">
      <w:pPr>
        <w:spacing w:after="0"/>
        <w:jc w:val="both"/>
        <w:rPr>
          <w:rFonts w:ascii="Times New Roman" w:hAnsi="Times New Roman" w:cs="Times New Roman"/>
        </w:rPr>
      </w:pPr>
      <w:r w:rsidRPr="00B61016">
        <w:rPr>
          <w:rFonts w:ascii="Times New Roman" w:hAnsi="Times New Roman" w:cs="Times New Roman"/>
        </w:rPr>
        <w:t>Date: 26-03-2026</w:t>
      </w:r>
    </w:p>
    <w:p w14:paraId="7269DDCA" w14:textId="77777777" w:rsidR="00B61016" w:rsidRDefault="00B61016">
      <w:pPr>
        <w:rPr>
          <w:rFonts w:ascii="Times New Roman" w:hAnsi="Times New Roman" w:cs="Times New Roman"/>
        </w:rPr>
      </w:pPr>
      <w:r>
        <w:rPr>
          <w:rFonts w:ascii="Times New Roman" w:hAnsi="Times New Roman" w:cs="Times New Roman"/>
        </w:rPr>
        <w:br w:type="page"/>
      </w:r>
    </w:p>
    <w:p w14:paraId="7A500C4C" w14:textId="6BF4BC36" w:rsidR="00B61016" w:rsidRPr="00B61016" w:rsidRDefault="00B61016" w:rsidP="00B61016">
      <w:pPr>
        <w:spacing w:after="0"/>
        <w:jc w:val="center"/>
        <w:rPr>
          <w:rFonts w:ascii="Times New Roman" w:hAnsi="Times New Roman" w:cs="Times New Roman"/>
          <w:b/>
          <w:bCs/>
          <w:color w:val="000000" w:themeColor="text1"/>
          <w:sz w:val="36"/>
          <w:szCs w:val="36"/>
        </w:rPr>
      </w:pPr>
      <w:r w:rsidRPr="00B61016">
        <w:rPr>
          <w:rFonts w:ascii="Times New Roman" w:hAnsi="Times New Roman" w:cs="Times New Roman"/>
          <w:b/>
          <w:bCs/>
          <w:color w:val="000000" w:themeColor="text1"/>
          <w:sz w:val="36"/>
          <w:szCs w:val="36"/>
        </w:rPr>
        <w:lastRenderedPageBreak/>
        <w:t>ACKNOWLEDGEMENT</w:t>
      </w:r>
    </w:p>
    <w:p w14:paraId="17BA177D" w14:textId="77777777" w:rsidR="00B61016" w:rsidRPr="00B61016" w:rsidRDefault="00B61016" w:rsidP="00B61016">
      <w:pPr>
        <w:spacing w:after="0" w:line="360" w:lineRule="auto"/>
        <w:jc w:val="both"/>
        <w:rPr>
          <w:rFonts w:ascii="Times New Roman" w:hAnsi="Times New Roman" w:cs="Times New Roman"/>
          <w:color w:val="000000" w:themeColor="text1"/>
          <w:sz w:val="8"/>
          <w:szCs w:val="8"/>
        </w:rPr>
      </w:pPr>
    </w:p>
    <w:p w14:paraId="7BD07E4F" w14:textId="3B516558" w:rsidR="00B61016" w:rsidRDefault="00B61016" w:rsidP="00B61016">
      <w:pPr>
        <w:spacing w:after="0" w:line="360" w:lineRule="auto"/>
        <w:jc w:val="both"/>
        <w:rPr>
          <w:rFonts w:ascii="Times New Roman" w:hAnsi="Times New Roman" w:cs="Times New Roman"/>
          <w:color w:val="000000" w:themeColor="text1"/>
          <w:sz w:val="28"/>
          <w:szCs w:val="28"/>
        </w:rPr>
      </w:pPr>
      <w:r w:rsidRPr="00B61016">
        <w:rPr>
          <w:rFonts w:ascii="Times New Roman" w:hAnsi="Times New Roman" w:cs="Times New Roman"/>
          <w:color w:val="000000" w:themeColor="text1"/>
          <w:sz w:val="28"/>
          <w:szCs w:val="28"/>
        </w:rPr>
        <w:t>It gives us a great sense of pleasure to present the report of the B. Tech Project undertaken during B. Tech. Final Year. We owe special debt of gratitude to</w:t>
      </w:r>
      <w:r w:rsidR="00AC4822" w:rsidRPr="00AC4822">
        <w:rPr>
          <w:rFonts w:ascii="Times New Roman" w:hAnsi="Times New Roman" w:cs="Times New Roman"/>
          <w:b/>
          <w:bCs/>
          <w:sz w:val="28"/>
          <w:szCs w:val="28"/>
        </w:rPr>
        <w:t xml:space="preserve"> </w:t>
      </w:r>
      <w:r w:rsidR="00AC4822" w:rsidRPr="00AC4822">
        <w:rPr>
          <w:rFonts w:ascii="Times New Roman" w:hAnsi="Times New Roman" w:cs="Times New Roman"/>
          <w:sz w:val="28"/>
          <w:szCs w:val="28"/>
        </w:rPr>
        <w:t>Ms. Nidhi Singh</w:t>
      </w:r>
      <w:r w:rsidR="00AC4822">
        <w:rPr>
          <w:rFonts w:ascii="Times New Roman" w:hAnsi="Times New Roman" w:cs="Times New Roman"/>
          <w:sz w:val="28"/>
          <w:szCs w:val="28"/>
        </w:rPr>
        <w:t>,</w:t>
      </w:r>
      <w:r w:rsidR="00AC4822" w:rsidRPr="00AC4822">
        <w:rPr>
          <w:rFonts w:ascii="Times New Roman" w:hAnsi="Times New Roman" w:cs="Times New Roman"/>
          <w:sz w:val="28"/>
          <w:szCs w:val="28"/>
        </w:rPr>
        <w:t xml:space="preserve"> </w:t>
      </w:r>
      <w:r w:rsidR="00AC4822" w:rsidRPr="00AC4822">
        <w:rPr>
          <w:rFonts w:ascii="Times New Roman" w:hAnsi="Times New Roman" w:cs="Times New Roman"/>
          <w:color w:val="000000" w:themeColor="text1"/>
          <w:sz w:val="28"/>
          <w:szCs w:val="28"/>
        </w:rPr>
        <w:t>Assistant Professor</w:t>
      </w:r>
      <w:r w:rsidRPr="00AC4822">
        <w:rPr>
          <w:rFonts w:ascii="Times New Roman" w:hAnsi="Times New Roman" w:cs="Times New Roman"/>
          <w:color w:val="000000" w:themeColor="text1"/>
          <w:sz w:val="28"/>
          <w:szCs w:val="28"/>
        </w:rPr>
        <w:t>,</w:t>
      </w:r>
      <w:r w:rsidRPr="00B61016">
        <w:rPr>
          <w:rFonts w:ascii="Times New Roman" w:hAnsi="Times New Roman" w:cs="Times New Roman"/>
          <w:color w:val="000000" w:themeColor="text1"/>
          <w:sz w:val="28"/>
          <w:szCs w:val="28"/>
        </w:rPr>
        <w:t xml:space="preserve"> Department of </w:t>
      </w:r>
      <w:r w:rsidR="00AC4822">
        <w:rPr>
          <w:rFonts w:ascii="Times New Roman" w:hAnsi="Times New Roman" w:cs="Times New Roman"/>
          <w:color w:val="000000" w:themeColor="text1"/>
          <w:sz w:val="28"/>
          <w:szCs w:val="28"/>
        </w:rPr>
        <w:t xml:space="preserve">Computer Science </w:t>
      </w:r>
      <w:r w:rsidRPr="00B61016">
        <w:rPr>
          <w:rFonts w:ascii="Times New Roman" w:hAnsi="Times New Roman" w:cs="Times New Roman"/>
          <w:color w:val="000000" w:themeColor="text1"/>
          <w:sz w:val="28"/>
          <w:szCs w:val="28"/>
        </w:rPr>
        <w:t>&amp;</w:t>
      </w:r>
      <w:r w:rsidR="00AC4822">
        <w:rPr>
          <w:rFonts w:ascii="Times New Roman" w:hAnsi="Times New Roman" w:cs="Times New Roman"/>
          <w:color w:val="000000" w:themeColor="text1"/>
          <w:sz w:val="28"/>
          <w:szCs w:val="28"/>
        </w:rPr>
        <w:t xml:space="preserve"> </w:t>
      </w:r>
      <w:r w:rsidRPr="00B61016">
        <w:rPr>
          <w:rFonts w:ascii="Times New Roman" w:hAnsi="Times New Roman" w:cs="Times New Roman"/>
          <w:color w:val="000000" w:themeColor="text1"/>
          <w:sz w:val="28"/>
          <w:szCs w:val="28"/>
        </w:rPr>
        <w:t>Engineering</w:t>
      </w:r>
      <w:r w:rsidR="00AC4822">
        <w:rPr>
          <w:rFonts w:ascii="Times New Roman" w:hAnsi="Times New Roman" w:cs="Times New Roman"/>
          <w:color w:val="000000" w:themeColor="text1"/>
          <w:sz w:val="28"/>
          <w:szCs w:val="28"/>
        </w:rPr>
        <w:t xml:space="preserve"> (AI&amp;ML)</w:t>
      </w:r>
      <w:r w:rsidRPr="00B61016">
        <w:rPr>
          <w:rFonts w:ascii="Times New Roman" w:hAnsi="Times New Roman" w:cs="Times New Roman"/>
          <w:color w:val="000000" w:themeColor="text1"/>
          <w:sz w:val="28"/>
          <w:szCs w:val="28"/>
        </w:rPr>
        <w:t>, KIET Group of Institutions, Ghaziabad, for her constant support and guidance throughout the course of our work. H</w:t>
      </w:r>
      <w:r w:rsidR="00AC4822">
        <w:rPr>
          <w:rFonts w:ascii="Times New Roman" w:hAnsi="Times New Roman" w:cs="Times New Roman"/>
          <w:color w:val="000000" w:themeColor="text1"/>
          <w:sz w:val="28"/>
          <w:szCs w:val="28"/>
        </w:rPr>
        <w:t>er</w:t>
      </w:r>
      <w:r w:rsidRPr="00B61016">
        <w:rPr>
          <w:rFonts w:ascii="Times New Roman" w:hAnsi="Times New Roman" w:cs="Times New Roman"/>
          <w:color w:val="000000" w:themeColor="text1"/>
          <w:sz w:val="28"/>
          <w:szCs w:val="28"/>
        </w:rPr>
        <w:t xml:space="preserve"> sincerity, thoroughness and perseverance have been a constant source of inspiration for us. It is only h</w:t>
      </w:r>
      <w:r w:rsidR="00AC4822">
        <w:rPr>
          <w:rFonts w:ascii="Times New Roman" w:hAnsi="Times New Roman" w:cs="Times New Roman"/>
          <w:color w:val="000000" w:themeColor="text1"/>
          <w:sz w:val="28"/>
          <w:szCs w:val="28"/>
        </w:rPr>
        <w:t>er</w:t>
      </w:r>
      <w:r w:rsidRPr="00B61016">
        <w:rPr>
          <w:rFonts w:ascii="Times New Roman" w:hAnsi="Times New Roman" w:cs="Times New Roman"/>
          <w:color w:val="000000" w:themeColor="text1"/>
          <w:sz w:val="28"/>
          <w:szCs w:val="28"/>
        </w:rPr>
        <w:t xml:space="preserve"> cognizant efforts that our endeavours have seen light of the day. </w:t>
      </w:r>
    </w:p>
    <w:p w14:paraId="4556A242" w14:textId="77777777" w:rsidR="00B61016" w:rsidRDefault="00B61016" w:rsidP="00B61016">
      <w:pPr>
        <w:spacing w:after="0" w:line="360" w:lineRule="auto"/>
        <w:jc w:val="both"/>
        <w:rPr>
          <w:rFonts w:ascii="Times New Roman" w:hAnsi="Times New Roman" w:cs="Times New Roman"/>
          <w:color w:val="000000" w:themeColor="text1"/>
          <w:sz w:val="28"/>
          <w:szCs w:val="28"/>
        </w:rPr>
      </w:pPr>
    </w:p>
    <w:p w14:paraId="465EAAFB" w14:textId="710170CE" w:rsidR="000F0EE6" w:rsidRDefault="00B61016" w:rsidP="00B61016">
      <w:pPr>
        <w:spacing w:after="0" w:line="360" w:lineRule="auto"/>
        <w:jc w:val="both"/>
        <w:rPr>
          <w:rFonts w:ascii="Times New Roman" w:hAnsi="Times New Roman" w:cs="Times New Roman"/>
          <w:color w:val="000000" w:themeColor="text1"/>
          <w:sz w:val="28"/>
          <w:szCs w:val="28"/>
        </w:rPr>
      </w:pPr>
      <w:r w:rsidRPr="00B61016">
        <w:rPr>
          <w:rFonts w:ascii="Times New Roman" w:hAnsi="Times New Roman" w:cs="Times New Roman"/>
          <w:color w:val="000000" w:themeColor="text1"/>
          <w:sz w:val="28"/>
          <w:szCs w:val="28"/>
        </w:rPr>
        <w:t>We also take the opportunity to acknowledge the contribution of Dr.</w:t>
      </w:r>
      <w:r w:rsidR="00AC4822">
        <w:rPr>
          <w:rFonts w:ascii="Times New Roman" w:hAnsi="Times New Roman" w:cs="Times New Roman"/>
          <w:color w:val="000000" w:themeColor="text1"/>
          <w:sz w:val="28"/>
          <w:szCs w:val="28"/>
        </w:rPr>
        <w:t xml:space="preserve"> Rekha Kashyap</w:t>
      </w:r>
      <w:r w:rsidRPr="00B61016">
        <w:rPr>
          <w:rFonts w:ascii="Times New Roman" w:hAnsi="Times New Roman" w:cs="Times New Roman"/>
          <w:color w:val="000000" w:themeColor="text1"/>
          <w:sz w:val="28"/>
          <w:szCs w:val="28"/>
        </w:rPr>
        <w:t xml:space="preserve">, Dean, </w:t>
      </w:r>
      <w:r w:rsidR="00AC4822">
        <w:rPr>
          <w:rFonts w:ascii="Times New Roman" w:hAnsi="Times New Roman" w:cs="Times New Roman"/>
          <w:color w:val="000000" w:themeColor="text1"/>
          <w:sz w:val="28"/>
          <w:szCs w:val="28"/>
        </w:rPr>
        <w:t>Department of Computer Science &amp; Engineering (AI&amp;ML)</w:t>
      </w:r>
      <w:r w:rsidRPr="00B61016">
        <w:rPr>
          <w:rFonts w:ascii="Times New Roman" w:hAnsi="Times New Roman" w:cs="Times New Roman"/>
          <w:color w:val="000000" w:themeColor="text1"/>
          <w:sz w:val="28"/>
          <w:szCs w:val="28"/>
        </w:rPr>
        <w:t>, KIET Group of Institutions, Ghaziabad, for h</w:t>
      </w:r>
      <w:r w:rsidR="00AC4822">
        <w:rPr>
          <w:rFonts w:ascii="Times New Roman" w:hAnsi="Times New Roman" w:cs="Times New Roman"/>
          <w:color w:val="000000" w:themeColor="text1"/>
          <w:sz w:val="28"/>
          <w:szCs w:val="28"/>
        </w:rPr>
        <w:t>er</w:t>
      </w:r>
      <w:r w:rsidRPr="00B61016">
        <w:rPr>
          <w:rFonts w:ascii="Times New Roman" w:hAnsi="Times New Roman" w:cs="Times New Roman"/>
          <w:color w:val="000000" w:themeColor="text1"/>
          <w:sz w:val="28"/>
          <w:szCs w:val="28"/>
        </w:rPr>
        <w:t xml:space="preserve"> full support and assistance during the development of the project. We also do not like to miss the opportunity to acknowledge the contribution of all the faculty members of the department for their kind assistance and cooperation during the development of our project. Last but not the least, we acknowledge our friends for their contribution in the completion of the project.</w:t>
      </w:r>
    </w:p>
    <w:p w14:paraId="64043C8E" w14:textId="1193F9DE" w:rsidR="000F0EE6" w:rsidRDefault="000F0EE6" w:rsidP="000F0EE6">
      <w:pPr>
        <w:jc w:val="center"/>
        <w:rPr>
          <w:rFonts w:ascii="Times New Roman" w:hAnsi="Times New Roman" w:cs="Times New Roman"/>
          <w:b/>
          <w:bCs/>
          <w:color w:val="000000" w:themeColor="text1"/>
          <w:sz w:val="36"/>
          <w:szCs w:val="36"/>
        </w:rPr>
      </w:pPr>
      <w:r>
        <w:rPr>
          <w:rFonts w:ascii="Times New Roman" w:hAnsi="Times New Roman" w:cs="Times New Roman"/>
          <w:color w:val="000000" w:themeColor="text1"/>
          <w:sz w:val="28"/>
          <w:szCs w:val="28"/>
        </w:rPr>
        <w:br w:type="page"/>
      </w:r>
      <w:r w:rsidRPr="000F0EE6">
        <w:rPr>
          <w:rFonts w:ascii="Times New Roman" w:hAnsi="Times New Roman" w:cs="Times New Roman"/>
          <w:b/>
          <w:bCs/>
          <w:color w:val="000000" w:themeColor="text1"/>
          <w:sz w:val="36"/>
          <w:szCs w:val="36"/>
        </w:rPr>
        <w:lastRenderedPageBreak/>
        <w:t>ABSTRACT</w:t>
      </w:r>
    </w:p>
    <w:p w14:paraId="136098C3" w14:textId="08880632" w:rsidR="000F0EE6" w:rsidRDefault="000F0EE6" w:rsidP="009C1D9F">
      <w:pPr>
        <w:jc w:val="both"/>
        <w:rPr>
          <w:rFonts w:ascii="Times New Roman" w:hAnsi="Times New Roman" w:cs="Times New Roman"/>
          <w:color w:val="000000" w:themeColor="text1"/>
          <w:sz w:val="28"/>
          <w:szCs w:val="28"/>
        </w:rPr>
      </w:pPr>
      <w:r w:rsidRPr="000F0EE6">
        <w:rPr>
          <w:rFonts w:ascii="Times New Roman" w:hAnsi="Times New Roman" w:cs="Times New Roman"/>
          <w:color w:val="000000" w:themeColor="text1"/>
          <w:sz w:val="28"/>
          <w:szCs w:val="28"/>
        </w:rPr>
        <w:t>Choosing the right database architecture is a pivotal decision for early-stage e-commerce startups, especially under resource and expertise constraints. Existing benchmarking research disproportionately evaluates enterprise-grade solutions, leaving a gap for evidence relevant to startup-accessible free-tier cloud platforms. This paper introduces a reproducible framework for comparing leading cloud-hosted database systems, employing realistic e-commerce scenarios that reflect operational priorities of growing digital ventures. The evaluation encompasses multiple workload types—targeting read, write, and mixed operation phases—while utilizing modular strategies for index optimization and query design. Emphasis is placed on capturing both performance consistency and operational reliability, with a methodology enabling transparent metric computation and result visualization. The study highlights meaningful differences in how free-tier cloud databases manage diverse transactional demands, revealing nuanced trade-offs integral to platform selection at the startup stage. Practitioners and researchers will find actionable guidance that transforms database choices from trial-and-error decisions into a systematic, evidence-based process.</w:t>
      </w:r>
    </w:p>
    <w:p w14:paraId="243F04D5" w14:textId="20A93746" w:rsidR="000F0EE6" w:rsidRDefault="000F0EE6">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16BA2E62" w14:textId="18541DFB" w:rsidR="000F0EE6" w:rsidRDefault="000F0EE6" w:rsidP="000F0EE6">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lastRenderedPageBreak/>
        <w:t>CHAPTER 1</w:t>
      </w:r>
    </w:p>
    <w:p w14:paraId="4AFD6E5A" w14:textId="244DCF9F" w:rsidR="000F0EE6" w:rsidRDefault="000F0EE6" w:rsidP="000F0EE6">
      <w:pPr>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INTRODUCTION</w:t>
      </w:r>
    </w:p>
    <w:p w14:paraId="6717D816" w14:textId="77777777" w:rsidR="008C1BC5" w:rsidRPr="008C1BC5" w:rsidRDefault="008C1BC5" w:rsidP="008C1BC5">
      <w:pPr>
        <w:rPr>
          <w:rFonts w:ascii="Times New Roman" w:hAnsi="Times New Roman" w:cs="Times New Roman"/>
          <w:color w:val="000000" w:themeColor="text1"/>
          <w:sz w:val="12"/>
          <w:szCs w:val="12"/>
        </w:rPr>
      </w:pPr>
    </w:p>
    <w:p w14:paraId="1B82F597" w14:textId="77777777" w:rsidR="008C1BC5" w:rsidRPr="008C1BC5" w:rsidRDefault="008C1BC5" w:rsidP="008C1BC5">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INTRODUCTION</w:t>
      </w:r>
    </w:p>
    <w:p w14:paraId="3A1BCC70" w14:textId="781034FB" w:rsidR="000F0EE6" w:rsidRPr="008C1BC5" w:rsidRDefault="008C1BC5" w:rsidP="008C1BC5">
      <w:pPr>
        <w:ind w:left="720"/>
        <w:jc w:val="both"/>
        <w:rPr>
          <w:rFonts w:ascii="Times New Roman" w:hAnsi="Times New Roman" w:cs="Times New Roman"/>
          <w:color w:val="000000" w:themeColor="text1"/>
          <w:sz w:val="28"/>
          <w:szCs w:val="28"/>
        </w:rPr>
      </w:pPr>
      <w:r w:rsidRPr="008C1BC5">
        <w:rPr>
          <w:rFonts w:ascii="Times New Roman" w:hAnsi="Times New Roman" w:cs="Times New Roman"/>
          <w:color w:val="000000" w:themeColor="text1"/>
          <w:sz w:val="28"/>
          <w:szCs w:val="28"/>
        </w:rPr>
        <w:t>India’s e-commerce is booming, projected to reach US $ 350 billion by 2030 and become the second-largest market by 2034, driven by mobile use, UPI, payments, and initiatives such as Digital India and ONDC. Mobile commerce will account for nearly 73% of sales. Rural and semiurban areas are growth zones but face challenges such as illiteracy, language barriers, and trust issues. Despite more than 157,000 startups, e-commerce founders struggle with</w:t>
      </w:r>
      <w:r w:rsidRPr="008C1BC5">
        <w:t xml:space="preserve"> </w:t>
      </w:r>
      <w:r w:rsidRPr="008C1BC5">
        <w:rPr>
          <w:rFonts w:ascii="Times New Roman" w:hAnsi="Times New Roman" w:cs="Times New Roman"/>
          <w:color w:val="000000" w:themeColor="text1"/>
          <w:sz w:val="28"/>
          <w:szCs w:val="28"/>
        </w:rPr>
        <w:t>database choices due to limited technical expertise. Benchmarking studies focus on enterprise systems that lack the constraints of startups, such as cloud limits and evolving data needs. Standard benchmarks like TPC-H and YCSB do not reflect the behaviour of e-commerce apps or low-latency demands. Technical and social challenges, such as language barriers in seller support, financial exclusion, and policies such as ODOP, complicate platform adoption. Technically, databases have trade-offs: MongoDB’s 16MB document limit, MyRocks’ latency with large records, and free-tier cloud resource caps require careful planning. Our study presents a benchmarking framework for startups, comparing Supabase (PostgreSQL), MongoDB Atlas, and DataStax AstraDB with real e-commerce workloads (browsing, cart management, order, and transactions). We measure latencies (p50, p95, p99), throughput, and performance within free tiers to guide database choices. The paper bridges market, socio-technical, and system evaluations, offering practical insights for Indian e-commerce startups. India’s e-commerce sector is one of the fastest-growing markets in the world, expected to reach $ 350 billion by 2030 and possibly overtake the US as the second-largest by 2034 (Thete, 2024). Key drivers include widespread smartphone use, digital payment systems like UPI, and government initiatives such as Digital India and ONDC (Thete, 2024) (Akther, 2023). However, socio-technical hurdles persist. High illiteracy rates (43%, increasing to 70– 80% in northern states), low digital literacy, and language gaps hinder adoption (Akther, 2023) (Bhatia-Kalluri, 2021). Rural and semi-urban entrepreneurs, which comprise two thirds of the population, face issues such as mistrust in</w:t>
      </w:r>
      <w:r w:rsidRPr="008C1BC5">
        <w:t xml:space="preserve"> </w:t>
      </w:r>
      <w:r w:rsidRPr="008C1BC5">
        <w:rPr>
          <w:rFonts w:ascii="Times New Roman" w:hAnsi="Times New Roman" w:cs="Times New Roman"/>
          <w:color w:val="000000" w:themeColor="text1"/>
          <w:sz w:val="28"/>
          <w:szCs w:val="28"/>
        </w:rPr>
        <w:t xml:space="preserve">digital </w:t>
      </w:r>
      <w:r w:rsidRPr="008C1BC5">
        <w:rPr>
          <w:rFonts w:ascii="Times New Roman" w:hAnsi="Times New Roman" w:cs="Times New Roman"/>
          <w:color w:val="000000" w:themeColor="text1"/>
          <w:sz w:val="28"/>
          <w:szCs w:val="28"/>
        </w:rPr>
        <w:lastRenderedPageBreak/>
        <w:t xml:space="preserve">payments and limited local language support (BhatiaKalluri, 2021). Government schemes like ODOP and partnerships with e-commerce giants aim to address these gaps, but inclusivity, accessibility, and trust remain challenges. Database layers are vital for e-commerce, affecting performance, scalability, and sustainability. Relational databases like PostgreSQL offer structure and consistency, while systems like MongoDB provide flexibility for semi-structured data. Wide-Column Store (or Columnar) databases like AstraDB excel at relationship-centric tasks like recommendations. Challenges include MongoDB’s 16MB document size limit and delays in storage engines such as MyRocks with extensive records, which affects scalability and read-heavy workloads (Liyanage, Pandey, Goldstein, Cahill, Dey, Fekete and Röhm, 2025). As ecommerce needs evolve with frequent reads, writes, and dynamic data, choosing suitable databases is crucial. Cloud managed free-tier options like Supabase, MongoDB Atlas, and DataStax AstraDB increase accessibility but come with resource limits, creating trade-offs, particularly for startups balancing costs and growth. Database benchmarking has long been used to assess system performance, with standards such as TPC-H, TPCDS, and YCSB measuring throughput, transactions, and scalability. These are mainly for large enterprises with large resources. Recent studies highlight limitations for startups: synthetic workloads do not capture real, unpredictable queries on e-commerce platforms, and the impact of data growth remains underexplored. Interactive performance needs are often ignored, despite delays of just one second that make platforms unresponsive. Assessments focus on infrastructure metrics like CPU and disk I/O, rather than application-visible metrics like latency and throughput. Battle et al. (Battle, Eichmann, Angelini, Catarci, Santucci, Zheng et al., 2020) state that no DBMS performs well with datasets larger than 10M rows during startup growth. Liyanage et al. (Liyanage et al., 2025) also show that key/value and document databases have variable value lengths, often overlooked in benchmarks. Recent studies of cloud databases (TiDB Team, 2025) reveal that managing data growth in limited environments requires careful trade-off analysis. However, few systematic studies focus on startup constraints, especially in Indian e-commerce. Although current research provides insight into India’s ecommerce, database trade-offs, and benchmarking, there is a gap in startup-specific evaluations. These should consider free-tier cloud constraints, realistic </w:t>
      </w:r>
      <w:r w:rsidRPr="008C1BC5">
        <w:rPr>
          <w:rFonts w:ascii="Times New Roman" w:hAnsi="Times New Roman" w:cs="Times New Roman"/>
          <w:color w:val="000000" w:themeColor="text1"/>
          <w:sz w:val="28"/>
          <w:szCs w:val="28"/>
        </w:rPr>
        <w:lastRenderedPageBreak/>
        <w:t>workloads with reads and writes, and application-visible metrics like latencies and throughput. Such benchmarks can help founders make better database decisions.</w:t>
      </w:r>
    </w:p>
    <w:p w14:paraId="6F6E04A0" w14:textId="77777777" w:rsidR="008C1BC5" w:rsidRPr="008C1BC5" w:rsidRDefault="008C1BC5" w:rsidP="008C1BC5">
      <w:pPr>
        <w:rPr>
          <w:rFonts w:ascii="Times New Roman" w:hAnsi="Times New Roman" w:cs="Times New Roman"/>
          <w:color w:val="000000" w:themeColor="text1"/>
          <w:sz w:val="28"/>
          <w:szCs w:val="28"/>
        </w:rPr>
      </w:pPr>
    </w:p>
    <w:p w14:paraId="343DBA81" w14:textId="39F65D98" w:rsidR="00B55AA1" w:rsidRPr="00B55AA1" w:rsidRDefault="008C1BC5" w:rsidP="00B55AA1">
      <w:pPr>
        <w:pStyle w:val="ListParagraph"/>
        <w:numPr>
          <w:ilvl w:val="0"/>
          <w:numId w:val="3"/>
        </w:numP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PROJECT DESCRIPT</w:t>
      </w:r>
      <w:r w:rsidR="00B55AA1">
        <w:rPr>
          <w:rFonts w:ascii="Times New Roman" w:hAnsi="Times New Roman" w:cs="Times New Roman"/>
          <w:b/>
          <w:bCs/>
          <w:color w:val="000000" w:themeColor="text1"/>
          <w:sz w:val="28"/>
          <w:szCs w:val="28"/>
        </w:rPr>
        <w:t>ION</w:t>
      </w:r>
    </w:p>
    <w:p w14:paraId="770030AA" w14:textId="36A54B56" w:rsidR="00B55AA1" w:rsidRDefault="00B55AA1" w:rsidP="00B55AA1">
      <w:pPr>
        <w:pStyle w:val="ListParagraph"/>
        <w:spacing w:before="100" w:beforeAutospacing="1" w:after="100" w:afterAutospacing="1" w:line="276" w:lineRule="auto"/>
        <w:jc w:val="both"/>
        <w:rPr>
          <w:rFonts w:ascii="Times New Roman" w:eastAsia="Times New Roman" w:hAnsi="Times New Roman" w:cs="Times New Roman"/>
          <w:kern w:val="0"/>
          <w:sz w:val="28"/>
          <w:szCs w:val="28"/>
          <w:lang w:eastAsia="en-IN"/>
          <w14:ligatures w14:val="none"/>
        </w:rPr>
      </w:pPr>
      <w:r w:rsidRPr="00B55AA1">
        <w:rPr>
          <w:rFonts w:ascii="Times New Roman" w:eastAsia="Times New Roman" w:hAnsi="Times New Roman" w:cs="Times New Roman"/>
          <w:kern w:val="0"/>
          <w:sz w:val="28"/>
          <w:szCs w:val="28"/>
          <w:lang w:eastAsia="en-IN"/>
          <w14:ligatures w14:val="none"/>
        </w:rPr>
        <w:t>This Research Project presents a simple and repeatable way to compare popular</w:t>
      </w:r>
      <w:r>
        <w:rPr>
          <w:rFonts w:ascii="Times New Roman" w:eastAsia="Times New Roman" w:hAnsi="Times New Roman" w:cs="Times New Roman"/>
          <w:kern w:val="0"/>
          <w:sz w:val="28"/>
          <w:szCs w:val="28"/>
          <w:lang w:eastAsia="en-IN"/>
          <w14:ligatures w14:val="none"/>
        </w:rPr>
        <w:t xml:space="preserve"> </w:t>
      </w:r>
      <w:r w:rsidRPr="00B55AA1">
        <w:rPr>
          <w:rFonts w:ascii="Times New Roman" w:eastAsia="Times New Roman" w:hAnsi="Times New Roman" w:cs="Times New Roman"/>
          <w:kern w:val="0"/>
          <w:sz w:val="28"/>
          <w:szCs w:val="28"/>
          <w:lang w:eastAsia="en-IN"/>
          <w14:ligatures w14:val="none"/>
        </w:rPr>
        <w:t>cloud-based database systems. It uses practical e-commerce examples that reflect the real needs of growing online businesses. The study tests different types of workloads, including read, write, and mixed operations, while also applying basic techniques for improving queries and indexing. The focus is on measuring performance and reliability in a clear and transparent way, making it easy to understand and compare results. The findings show that free-tier cloud databases handle workloads differently, with each having its own strengths and limitations. Overall, this work helps users make better, more informed decisions when choosing a database, instead of relying on trial and error.</w:t>
      </w:r>
    </w:p>
    <w:p w14:paraId="7E47E1C7" w14:textId="77777777" w:rsidR="00B55AA1" w:rsidRDefault="00B55AA1">
      <w:pP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kern w:val="0"/>
          <w:sz w:val="28"/>
          <w:szCs w:val="28"/>
          <w:lang w:eastAsia="en-IN"/>
          <w14:ligatures w14:val="none"/>
        </w:rPr>
        <w:br w:type="page"/>
      </w:r>
    </w:p>
    <w:p w14:paraId="32D87FA2" w14:textId="5816BACC" w:rsidR="00B55AA1" w:rsidRDefault="00B55AA1" w:rsidP="00B55AA1">
      <w:pPr>
        <w:pStyle w:val="ListParagraph"/>
        <w:spacing w:before="100" w:beforeAutospacing="1" w:after="100" w:afterAutospacing="1" w:line="276" w:lineRule="auto"/>
        <w:jc w:val="center"/>
        <w:rPr>
          <w:rFonts w:ascii="Times New Roman" w:eastAsia="Times New Roman" w:hAnsi="Times New Roman" w:cs="Times New Roman"/>
          <w:b/>
          <w:bCs/>
          <w:kern w:val="0"/>
          <w:sz w:val="36"/>
          <w:szCs w:val="36"/>
          <w:lang w:eastAsia="en-IN"/>
          <w14:ligatures w14:val="none"/>
        </w:rPr>
      </w:pPr>
      <w:r>
        <w:rPr>
          <w:rFonts w:ascii="Times New Roman" w:eastAsia="Times New Roman" w:hAnsi="Times New Roman" w:cs="Times New Roman"/>
          <w:b/>
          <w:bCs/>
          <w:kern w:val="0"/>
          <w:sz w:val="36"/>
          <w:szCs w:val="36"/>
          <w:lang w:eastAsia="en-IN"/>
          <w14:ligatures w14:val="none"/>
        </w:rPr>
        <w:lastRenderedPageBreak/>
        <w:t>CHAPTER 2</w:t>
      </w:r>
    </w:p>
    <w:p w14:paraId="22A16959" w14:textId="7E0274D1" w:rsidR="00B55AA1" w:rsidRDefault="00B55AA1" w:rsidP="00B55AA1">
      <w:pPr>
        <w:pStyle w:val="ListParagraph"/>
        <w:spacing w:before="100" w:beforeAutospacing="1" w:after="100" w:afterAutospacing="1" w:line="276" w:lineRule="auto"/>
        <w:jc w:val="center"/>
        <w:rPr>
          <w:rFonts w:ascii="Times New Roman" w:eastAsia="Times New Roman" w:hAnsi="Times New Roman" w:cs="Times New Roman"/>
          <w:kern w:val="0"/>
          <w:sz w:val="28"/>
          <w:szCs w:val="28"/>
          <w:lang w:eastAsia="en-IN"/>
          <w14:ligatures w14:val="none"/>
        </w:rPr>
      </w:pPr>
      <w:r>
        <w:rPr>
          <w:rFonts w:ascii="Times New Roman" w:eastAsia="Times New Roman" w:hAnsi="Times New Roman" w:cs="Times New Roman"/>
          <w:b/>
          <w:bCs/>
          <w:kern w:val="0"/>
          <w:sz w:val="36"/>
          <w:szCs w:val="36"/>
          <w:lang w:eastAsia="en-IN"/>
          <w14:ligatures w14:val="none"/>
        </w:rPr>
        <w:t>LITERATURE REVIEW</w:t>
      </w:r>
    </w:p>
    <w:p w14:paraId="7368B0E0" w14:textId="0D4D2425" w:rsidR="00B55AA1" w:rsidRDefault="00B55AA1" w:rsidP="00795591">
      <w:pPr>
        <w:jc w:val="both"/>
        <w:rPr>
          <w:rFonts w:ascii="Times New Roman" w:hAnsi="Times New Roman" w:cs="Times New Roman"/>
          <w:color w:val="000000" w:themeColor="text1"/>
          <w:sz w:val="28"/>
          <w:szCs w:val="28"/>
        </w:rPr>
      </w:pPr>
      <w:r w:rsidRPr="00B55AA1">
        <w:rPr>
          <w:rFonts w:ascii="Times New Roman" w:hAnsi="Times New Roman" w:cs="Times New Roman"/>
          <w:color w:val="000000" w:themeColor="text1"/>
          <w:sz w:val="28"/>
          <w:szCs w:val="28"/>
        </w:rPr>
        <w:t xml:space="preserve">Benchmarking of database systems has evolved significantly in the past two decades, driven by the emergence of diverse database paradigms, cloud computing platforms, and increasingly complex application requirements. This review of the literature examines the current state of database benchmarking research in five critical dimensions: database types and hosting models, data set characteristics, performance metrics, methodological approaches, and research motivations. Through systematic analysis of existing work, we identify substantial gaps in startup-focused, </w:t>
      </w:r>
      <w:r w:rsidR="00775109" w:rsidRPr="00B55AA1">
        <w:rPr>
          <w:rFonts w:ascii="Times New Roman" w:hAnsi="Times New Roman" w:cs="Times New Roman"/>
          <w:color w:val="000000" w:themeColor="text1"/>
          <w:sz w:val="28"/>
          <w:szCs w:val="28"/>
        </w:rPr>
        <w:t>resource constrained</w:t>
      </w:r>
      <w:r w:rsidRPr="00B55AA1">
        <w:rPr>
          <w:rFonts w:ascii="Times New Roman" w:hAnsi="Times New Roman" w:cs="Times New Roman"/>
          <w:color w:val="000000" w:themeColor="text1"/>
          <w:sz w:val="28"/>
          <w:szCs w:val="28"/>
        </w:rPr>
        <w:t xml:space="preserve"> evaluation frameworks that justify our novel approach to free-tier database benchmarking.</w:t>
      </w:r>
    </w:p>
    <w:p w14:paraId="7EAE6AD6" w14:textId="422E3395" w:rsidR="00B55AA1" w:rsidRPr="00795591" w:rsidRDefault="00B55AA1" w:rsidP="00795591">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Database Types, Hosting Models, and Service Tiers </w:t>
      </w:r>
    </w:p>
    <w:p w14:paraId="7C213E78" w14:textId="3D196B0D" w:rsidR="00B55AA1" w:rsidRPr="00795591" w:rsidRDefault="00B55AA1" w:rsidP="00795591">
      <w:pPr>
        <w:pStyle w:val="ListParagraph"/>
        <w:numPr>
          <w:ilvl w:val="0"/>
          <w:numId w:val="5"/>
        </w:numPr>
        <w:jc w:val="both"/>
        <w:rPr>
          <w:rFonts w:ascii="Times New Roman" w:hAnsi="Times New Roman" w:cs="Times New Roman"/>
          <w:b/>
          <w:bCs/>
          <w:color w:val="000000" w:themeColor="text1"/>
          <w:sz w:val="28"/>
          <w:szCs w:val="28"/>
        </w:rPr>
      </w:pPr>
      <w:r w:rsidRPr="00795591">
        <w:rPr>
          <w:rFonts w:ascii="Times New Roman" w:hAnsi="Times New Roman" w:cs="Times New Roman"/>
          <w:b/>
          <w:bCs/>
          <w:color w:val="000000" w:themeColor="text1"/>
          <w:sz w:val="28"/>
          <w:szCs w:val="28"/>
        </w:rPr>
        <w:t xml:space="preserve">Enterprise-Scale Dominance </w:t>
      </w:r>
    </w:p>
    <w:p w14:paraId="3FDA682C" w14:textId="75DF1D12" w:rsidR="00775109" w:rsidRDefault="00B55AA1" w:rsidP="00795591">
      <w:pPr>
        <w:ind w:left="360"/>
        <w:jc w:val="both"/>
        <w:rPr>
          <w:rFonts w:ascii="Times New Roman" w:hAnsi="Times New Roman" w:cs="Times New Roman"/>
          <w:color w:val="000000" w:themeColor="text1"/>
          <w:sz w:val="28"/>
          <w:szCs w:val="28"/>
        </w:rPr>
      </w:pPr>
      <w:r w:rsidRPr="00B55AA1">
        <w:rPr>
          <w:rFonts w:ascii="Times New Roman" w:hAnsi="Times New Roman" w:cs="Times New Roman"/>
          <w:color w:val="000000" w:themeColor="text1"/>
          <w:sz w:val="28"/>
          <w:szCs w:val="28"/>
        </w:rPr>
        <w:t xml:space="preserve">The landscape of database benchmarking has been dominated by enterprise-scale evaluations that largely ignore the practical constraints faced by startups and </w:t>
      </w:r>
      <w:r w:rsidR="00775109" w:rsidRPr="00B55AA1">
        <w:rPr>
          <w:rFonts w:ascii="Times New Roman" w:hAnsi="Times New Roman" w:cs="Times New Roman"/>
          <w:color w:val="000000" w:themeColor="text1"/>
          <w:sz w:val="28"/>
          <w:szCs w:val="28"/>
        </w:rPr>
        <w:t>resource limited</w:t>
      </w:r>
      <w:r w:rsidRPr="00B55AA1">
        <w:rPr>
          <w:rFonts w:ascii="Times New Roman" w:hAnsi="Times New Roman" w:cs="Times New Roman"/>
          <w:color w:val="000000" w:themeColor="text1"/>
          <w:sz w:val="28"/>
          <w:szCs w:val="28"/>
        </w:rPr>
        <w:t xml:space="preserve"> organizations. The LDBC Social Network Benchmark: Business Intelligence Workload represents the current state-of-the-art in graph database evaluation, testing systems such as TigerGraph and Umbra on high-performance AWS and GCP instances with substantial computational resources (Szárnyas, Waudby, Steer, Szakállas, Birler, Wu et al., 2022). However, this enterprise-only focus creates a critical gap, as the complete absence of resource-constrained or cost-optimized testing leaves startup scenarios entirely unaddressed. Similarly, the original LDBC Social Network Benchmark: Interactive Workload, while establishing important methodological foundations, conducted all experiments on enterprise-grade hardware with 192GB RAM and dual Xeon processors (Erling, Averbuch, Larriba-Pey, Chafi, Gubichev, Prat et al., 2015). This approach, though valuable for system comparison, fails to reflect the reality that most developers operate under significant budget and infrastructure limitations. </w:t>
      </w:r>
    </w:p>
    <w:p w14:paraId="7C9CA5FC" w14:textId="132CA07A" w:rsidR="00775109" w:rsidRPr="00795591" w:rsidRDefault="00B55AA1" w:rsidP="00795591">
      <w:pPr>
        <w:pStyle w:val="ListParagraph"/>
        <w:numPr>
          <w:ilvl w:val="0"/>
          <w:numId w:val="5"/>
        </w:numPr>
        <w:jc w:val="both"/>
        <w:rPr>
          <w:rFonts w:ascii="Times New Roman" w:hAnsi="Times New Roman" w:cs="Times New Roman"/>
          <w:b/>
          <w:bCs/>
          <w:color w:val="000000" w:themeColor="text1"/>
          <w:sz w:val="28"/>
          <w:szCs w:val="28"/>
        </w:rPr>
      </w:pPr>
      <w:r w:rsidRPr="00795591">
        <w:rPr>
          <w:rFonts w:ascii="Times New Roman" w:hAnsi="Times New Roman" w:cs="Times New Roman"/>
          <w:b/>
          <w:bCs/>
          <w:color w:val="000000" w:themeColor="text1"/>
          <w:sz w:val="28"/>
          <w:szCs w:val="28"/>
        </w:rPr>
        <w:t xml:space="preserve">Resource Constraint Gap </w:t>
      </w:r>
    </w:p>
    <w:p w14:paraId="4C5A6FEE" w14:textId="7B1C0299" w:rsidR="00775109" w:rsidRDefault="00B55AA1" w:rsidP="004F50E5">
      <w:pPr>
        <w:ind w:left="360"/>
        <w:jc w:val="both"/>
        <w:rPr>
          <w:rFonts w:ascii="Times New Roman" w:hAnsi="Times New Roman" w:cs="Times New Roman"/>
          <w:color w:val="000000" w:themeColor="text1"/>
          <w:sz w:val="28"/>
          <w:szCs w:val="28"/>
        </w:rPr>
      </w:pPr>
      <w:r w:rsidRPr="00B55AA1">
        <w:rPr>
          <w:rFonts w:ascii="Times New Roman" w:hAnsi="Times New Roman" w:cs="Times New Roman"/>
          <w:color w:val="000000" w:themeColor="text1"/>
          <w:sz w:val="28"/>
          <w:szCs w:val="28"/>
        </w:rPr>
        <w:t xml:space="preserve">Recent comprehensive analysis confirms this enterprise bias, noting that "35 of the 49 audits conducted so far were performed in the cloud" with significant costs (Szárnyas, Bebee, Birler, Deutsch, Fletcher, Gabb et al., 2023). This acknowledgment that "prohibitively expensive" cloud egress fees, combined </w:t>
      </w:r>
      <w:r w:rsidRPr="00B55AA1">
        <w:rPr>
          <w:rFonts w:ascii="Times New Roman" w:hAnsi="Times New Roman" w:cs="Times New Roman"/>
          <w:color w:val="000000" w:themeColor="text1"/>
          <w:sz w:val="28"/>
          <w:szCs w:val="28"/>
        </w:rPr>
        <w:lastRenderedPageBreak/>
        <w:t xml:space="preserve">with an enterprise-only evaluation framework, reveal a gap between benchmarking research and real-world database selection requirements. This pattern is seen in various database paradigms. Although these studies offer useful insights into graph database performance, they typically assume unlimited resources, which does not reflect the reality for most developers and organizations who need to balance performance needs with limited budgets. </w:t>
      </w:r>
    </w:p>
    <w:p w14:paraId="36198418" w14:textId="5E8C08FB" w:rsidR="00775109" w:rsidRPr="00795591" w:rsidRDefault="00B55AA1" w:rsidP="00795591">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Dataset Characteristics and Preprocessing </w:t>
      </w:r>
    </w:p>
    <w:p w14:paraId="2E700305" w14:textId="0D9408F2" w:rsidR="00775109" w:rsidRPr="004F50E5" w:rsidRDefault="00B55AA1" w:rsidP="004F50E5">
      <w:pPr>
        <w:pStyle w:val="ListParagraph"/>
        <w:numPr>
          <w:ilvl w:val="0"/>
          <w:numId w:val="7"/>
        </w:numPr>
        <w:jc w:val="both"/>
        <w:rPr>
          <w:rFonts w:ascii="Times New Roman" w:hAnsi="Times New Roman" w:cs="Times New Roman"/>
          <w:b/>
          <w:bCs/>
          <w:color w:val="000000" w:themeColor="text1"/>
          <w:sz w:val="28"/>
          <w:szCs w:val="28"/>
        </w:rPr>
      </w:pPr>
      <w:r w:rsidRPr="004F50E5">
        <w:rPr>
          <w:rFonts w:ascii="Times New Roman" w:hAnsi="Times New Roman" w:cs="Times New Roman"/>
          <w:b/>
          <w:bCs/>
          <w:color w:val="000000" w:themeColor="text1"/>
          <w:sz w:val="28"/>
          <w:szCs w:val="28"/>
        </w:rPr>
        <w:t xml:space="preserve">Synthetic vs. Realistic Data Challenge </w:t>
      </w:r>
    </w:p>
    <w:p w14:paraId="103F8B4E" w14:textId="77777777" w:rsidR="004F50E5" w:rsidRDefault="00B55AA1" w:rsidP="004F50E5">
      <w:pPr>
        <w:ind w:left="360"/>
        <w:jc w:val="both"/>
        <w:rPr>
          <w:rFonts w:ascii="Times New Roman" w:hAnsi="Times New Roman" w:cs="Times New Roman"/>
          <w:color w:val="000000" w:themeColor="text1"/>
          <w:sz w:val="28"/>
          <w:szCs w:val="28"/>
        </w:rPr>
      </w:pPr>
      <w:r w:rsidRPr="00B55AA1">
        <w:rPr>
          <w:rFonts w:ascii="Times New Roman" w:hAnsi="Times New Roman" w:cs="Times New Roman"/>
          <w:color w:val="000000" w:themeColor="text1"/>
          <w:sz w:val="28"/>
          <w:szCs w:val="28"/>
        </w:rPr>
        <w:t>The current benchmarking literature reveals a core tension between the use of synthetic data generation methods and the requirement for realistic application scenarios. The influential YCSB framework prioritized simplicity over realism, explicitly stating: "We did not attempt to exactly model a particular application or set of applications" (Cooper, Silberstein, Tam, Ramakrishnan and Sears, 2010). Although this generic approach allowed compatibility between various</w:t>
      </w:r>
      <w:r w:rsidR="00775109" w:rsidRPr="00775109">
        <w:t xml:space="preserve"> </w:t>
      </w:r>
      <w:r w:rsidR="00775109" w:rsidRPr="00775109">
        <w:rPr>
          <w:rFonts w:ascii="Times New Roman" w:hAnsi="Times New Roman" w:cs="Times New Roman"/>
          <w:color w:val="000000" w:themeColor="text1"/>
          <w:sz w:val="28"/>
          <w:szCs w:val="28"/>
        </w:rPr>
        <w:t xml:space="preserve">systems, it also resulted in a notable shortfall in applicationspecific assessments. The YCSB++ extension was intended to overcome some limitations by adding features such as bulk loading and server-side filtering (Patil, Polte, Ren, Tantisiriroj, Xiao, López et al., 2011). However, it continued to depend on generic key-value workloads rather than actual application behaviour. Although these improvements aid system tuning, they do not capture the intricate data relationships and access patterns common in real-world applications. </w:t>
      </w:r>
    </w:p>
    <w:p w14:paraId="7A29770A" w14:textId="00030E12" w:rsidR="00775109" w:rsidRPr="004F50E5" w:rsidRDefault="00775109" w:rsidP="004F50E5">
      <w:pPr>
        <w:pStyle w:val="ListParagraph"/>
        <w:numPr>
          <w:ilvl w:val="0"/>
          <w:numId w:val="7"/>
        </w:numPr>
        <w:jc w:val="both"/>
        <w:rPr>
          <w:rFonts w:ascii="Times New Roman" w:hAnsi="Times New Roman" w:cs="Times New Roman"/>
          <w:color w:val="000000" w:themeColor="text1"/>
          <w:sz w:val="28"/>
          <w:szCs w:val="28"/>
        </w:rPr>
      </w:pPr>
      <w:r w:rsidRPr="004F50E5">
        <w:rPr>
          <w:rFonts w:ascii="Times New Roman" w:hAnsi="Times New Roman" w:cs="Times New Roman"/>
          <w:b/>
          <w:bCs/>
          <w:color w:val="000000" w:themeColor="text1"/>
          <w:sz w:val="28"/>
          <w:szCs w:val="28"/>
        </w:rPr>
        <w:t xml:space="preserve">Domain-Specific Sophistication </w:t>
      </w:r>
    </w:p>
    <w:p w14:paraId="4492C17C" w14:textId="2AB2F7CB" w:rsidR="00775109" w:rsidRDefault="00775109" w:rsidP="004F50E5">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The LDBC benchmarks feature advanced synthetic data methods. The SNB Interactive v2 benchmark demonstrates high complexity with a 3-year simulation using real social network patterns, including flash mob events and cascading deletes, reflecting real phenomena (Püroja, Waudby, Boncz and Szárnyas, 2023). Its focus is limited to social networks, neglecting other areas like e-commerce. The TPC-H specification, using DBGEN, employs deterministic rules that can miss the variability of real-world data (Transaction Processing Performance Council, 2014). These frameworks do not address e-commerce challenges, such as changes in product catalogs due to reviews, pricing, or inventory updates, which current datasets do not cover. </w:t>
      </w:r>
    </w:p>
    <w:p w14:paraId="2F4641B9" w14:textId="77777777" w:rsidR="004F50E5" w:rsidRDefault="004F50E5" w:rsidP="004F50E5">
      <w:pPr>
        <w:ind w:left="360"/>
        <w:jc w:val="both"/>
        <w:rPr>
          <w:rFonts w:ascii="Times New Roman" w:hAnsi="Times New Roman" w:cs="Times New Roman"/>
          <w:color w:val="000000" w:themeColor="text1"/>
          <w:sz w:val="28"/>
          <w:szCs w:val="28"/>
        </w:rPr>
      </w:pPr>
    </w:p>
    <w:p w14:paraId="1F94EE40" w14:textId="77777777" w:rsidR="004F50E5" w:rsidRDefault="00775109" w:rsidP="004F50E5">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lastRenderedPageBreak/>
        <w:t xml:space="preserve">Performance Metrics and Measurement Approaches </w:t>
      </w:r>
    </w:p>
    <w:p w14:paraId="2574972A" w14:textId="56B602C4" w:rsidR="00775109" w:rsidRPr="004F50E5" w:rsidRDefault="00775109" w:rsidP="004F50E5">
      <w:pPr>
        <w:pStyle w:val="ListParagraph"/>
        <w:numPr>
          <w:ilvl w:val="0"/>
          <w:numId w:val="10"/>
        </w:numPr>
        <w:jc w:val="both"/>
        <w:rPr>
          <w:rFonts w:ascii="Times New Roman" w:hAnsi="Times New Roman" w:cs="Times New Roman"/>
          <w:b/>
          <w:bCs/>
          <w:color w:val="000000" w:themeColor="text1"/>
          <w:sz w:val="32"/>
          <w:szCs w:val="32"/>
        </w:rPr>
      </w:pPr>
      <w:r w:rsidRPr="004F50E5">
        <w:rPr>
          <w:rFonts w:ascii="Times New Roman" w:hAnsi="Times New Roman" w:cs="Times New Roman"/>
          <w:b/>
          <w:bCs/>
          <w:color w:val="000000" w:themeColor="text1"/>
          <w:sz w:val="28"/>
          <w:szCs w:val="28"/>
        </w:rPr>
        <w:t xml:space="preserve">Average-Based Limitations </w:t>
      </w:r>
    </w:p>
    <w:p w14:paraId="6BDC4405" w14:textId="77777777" w:rsidR="00775109" w:rsidRDefault="00775109" w:rsidP="004F50E5">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A key limitation in current benchmarking studies is the focus on average performance metrics instead of tail latency features that affect user experience. TPC benchmarking standards, which include metrics such as QphH@Size, depend greatly on geometric means, masking performance outliers. As highlighted in a detailed TPC-H review, this implies that "for end-users, optimizing long-running queries is generally more important" (Boncz, Neumann and Erling, 2013). The LDBC benchmarks perpetuate this limitation despite their sophisticated workload design. The SNB Business Intelligence benchmark explicitly follows "TPC-H in using a geometric mean, ensuring that there is an incentive to improve all queries, no matter their running time" (Szárnyas et al., 2022), yet this approach masks the tail latencies that most directly impact user satisfaction. Even more concerning, while the benchmark collects percentile data, detailed percentile analysis is not systematically reported across all queries. </w:t>
      </w:r>
    </w:p>
    <w:p w14:paraId="03A915E1" w14:textId="6D5E9060" w:rsidR="00775109" w:rsidRPr="004F50E5" w:rsidRDefault="00775109" w:rsidP="004F50E5">
      <w:pPr>
        <w:pStyle w:val="ListParagraph"/>
        <w:numPr>
          <w:ilvl w:val="0"/>
          <w:numId w:val="10"/>
        </w:numPr>
        <w:jc w:val="both"/>
        <w:rPr>
          <w:rFonts w:ascii="Times New Roman" w:hAnsi="Times New Roman" w:cs="Times New Roman"/>
          <w:b/>
          <w:bCs/>
          <w:color w:val="000000" w:themeColor="text1"/>
          <w:sz w:val="28"/>
          <w:szCs w:val="28"/>
        </w:rPr>
      </w:pPr>
      <w:r w:rsidRPr="004F50E5">
        <w:rPr>
          <w:rFonts w:ascii="Times New Roman" w:hAnsi="Times New Roman" w:cs="Times New Roman"/>
          <w:b/>
          <w:bCs/>
          <w:color w:val="000000" w:themeColor="text1"/>
          <w:sz w:val="28"/>
          <w:szCs w:val="28"/>
        </w:rPr>
        <w:t xml:space="preserve">Infrastructure vs. Application Focus </w:t>
      </w:r>
    </w:p>
    <w:p w14:paraId="56469D79" w14:textId="1CBD208F" w:rsidR="00775109" w:rsidRDefault="00775109" w:rsidP="004F50E5">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This infrastructure-centric measurement approach is widely applied in the literature. The LDBC Financial Benchmark, despite its focus on real-time financial applications that require sub-100 ms response times, reports only average execution times and binary timeout thresholds, rather than the percentile distributions essential for SLA compliance (Qi, Tong, Hu, Lin, Pang, Yuan et al., 2025). The interactive query benchmark approaches </w:t>
      </w:r>
      <w:r w:rsidR="00795591" w:rsidRPr="00775109">
        <w:rPr>
          <w:rFonts w:ascii="Times New Roman" w:hAnsi="Times New Roman" w:cs="Times New Roman"/>
          <w:color w:val="000000" w:themeColor="text1"/>
          <w:sz w:val="28"/>
          <w:szCs w:val="28"/>
        </w:rPr>
        <w:t>address</w:t>
      </w:r>
      <w:r w:rsidRPr="00775109">
        <w:rPr>
          <w:rFonts w:ascii="Times New Roman" w:hAnsi="Times New Roman" w:cs="Times New Roman"/>
          <w:color w:val="000000" w:themeColor="text1"/>
          <w:sz w:val="28"/>
          <w:szCs w:val="28"/>
        </w:rPr>
        <w:t xml:space="preserve"> this gap by focusing on user-experienced latency (Battle et al., 2020). However, even this work primarily reports average response</w:t>
      </w:r>
      <w:r w:rsidRPr="00775109">
        <w:t xml:space="preserve"> </w:t>
      </w:r>
      <w:r w:rsidRPr="00775109">
        <w:rPr>
          <w:rFonts w:ascii="Times New Roman" w:hAnsi="Times New Roman" w:cs="Times New Roman"/>
          <w:color w:val="000000" w:themeColor="text1"/>
          <w:sz w:val="28"/>
          <w:szCs w:val="28"/>
        </w:rPr>
        <w:t xml:space="preserve">rates rather than comprehensive percentile analysis. Furthermore, existing benchmarks typically combine read and write performance into a single metric, making it difficult to optimize them separately, which is an essential requirement for modern applications. The decision to distinguish between analytical queries and transactional operations is a core architectural choice that current benchmarks do not adequately evaluate. </w:t>
      </w:r>
    </w:p>
    <w:p w14:paraId="0FDB055D" w14:textId="14FA8066" w:rsidR="00775109" w:rsidRPr="00795591" w:rsidRDefault="00775109" w:rsidP="00C74509">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Benchmarking Methodologies and Tool Frameworks </w:t>
      </w:r>
    </w:p>
    <w:p w14:paraId="4A2AAE2A" w14:textId="5FD5AE5B" w:rsidR="00775109" w:rsidRPr="00C74509" w:rsidRDefault="00775109" w:rsidP="00C74509">
      <w:pPr>
        <w:pStyle w:val="ListParagraph"/>
        <w:numPr>
          <w:ilvl w:val="0"/>
          <w:numId w:val="11"/>
        </w:numPr>
        <w:ind w:left="360"/>
        <w:jc w:val="both"/>
        <w:rPr>
          <w:rFonts w:ascii="Times New Roman" w:hAnsi="Times New Roman" w:cs="Times New Roman"/>
          <w:b/>
          <w:bCs/>
          <w:color w:val="000000" w:themeColor="text1"/>
          <w:sz w:val="28"/>
          <w:szCs w:val="28"/>
        </w:rPr>
      </w:pPr>
      <w:r w:rsidRPr="00C74509">
        <w:rPr>
          <w:rFonts w:ascii="Times New Roman" w:hAnsi="Times New Roman" w:cs="Times New Roman"/>
          <w:b/>
          <w:bCs/>
          <w:color w:val="000000" w:themeColor="text1"/>
          <w:sz w:val="28"/>
          <w:szCs w:val="28"/>
        </w:rPr>
        <w:t xml:space="preserve">Sophisticated but Inaccessible </w:t>
      </w:r>
    </w:p>
    <w:p w14:paraId="596D14E4"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Benchmarking methods improve understanding of reproducibility and system assessment, but gaps remain in accessibility and deployment. The YCSB </w:t>
      </w:r>
      <w:r w:rsidRPr="00775109">
        <w:rPr>
          <w:rFonts w:ascii="Times New Roman" w:hAnsi="Times New Roman" w:cs="Times New Roman"/>
          <w:color w:val="000000" w:themeColor="text1"/>
          <w:sz w:val="28"/>
          <w:szCs w:val="28"/>
        </w:rPr>
        <w:lastRenderedPageBreak/>
        <w:t xml:space="preserve">framework provides guidelines for extensible benchmarking, with ’complete framework availability’ and separation of workload and setup (Cooper et al., 2010). However, it focuses on infrastructure metrics, overlooking application-visible performance. The LDBC ecosystem is the most comprehensive for database assessment. Its Interactive Workload introduces ideas like parameter curation, a’sophisticated approach to ensure consistent performance’ that addresses runtime variability (Erling et al., 2015). The Graphalytics benchmark adds rigor by using deterministic algorithms, ensuring that they are validated by comparing them to the reference output (Iosup, Musaafir, Uta, Pérez, </w:t>
      </w:r>
      <w:proofErr w:type="spellStart"/>
      <w:r w:rsidRPr="00775109">
        <w:rPr>
          <w:rFonts w:ascii="Times New Roman" w:hAnsi="Times New Roman" w:cs="Times New Roman"/>
          <w:color w:val="000000" w:themeColor="text1"/>
          <w:sz w:val="28"/>
          <w:szCs w:val="28"/>
        </w:rPr>
        <w:t>Szárnyas</w:t>
      </w:r>
      <w:proofErr w:type="spellEnd"/>
      <w:r w:rsidRPr="00775109">
        <w:rPr>
          <w:rFonts w:ascii="Times New Roman" w:hAnsi="Times New Roman" w:cs="Times New Roman"/>
          <w:color w:val="000000" w:themeColor="text1"/>
          <w:sz w:val="28"/>
          <w:szCs w:val="28"/>
        </w:rPr>
        <w:t xml:space="preserve">, </w:t>
      </w:r>
      <w:proofErr w:type="spellStart"/>
      <w:r w:rsidRPr="00775109">
        <w:rPr>
          <w:rFonts w:ascii="Times New Roman" w:hAnsi="Times New Roman" w:cs="Times New Roman"/>
          <w:color w:val="000000" w:themeColor="text1"/>
          <w:sz w:val="28"/>
          <w:szCs w:val="28"/>
        </w:rPr>
        <w:t>Chafi</w:t>
      </w:r>
      <w:proofErr w:type="spellEnd"/>
      <w:r w:rsidRPr="00775109">
        <w:rPr>
          <w:rFonts w:ascii="Times New Roman" w:hAnsi="Times New Roman" w:cs="Times New Roman"/>
          <w:color w:val="000000" w:themeColor="text1"/>
          <w:sz w:val="28"/>
          <w:szCs w:val="28"/>
        </w:rPr>
        <w:t xml:space="preserve"> et al., 2020). </w:t>
      </w:r>
    </w:p>
    <w:p w14:paraId="2007DC20" w14:textId="238EC016" w:rsidR="00775109" w:rsidRPr="00C74509" w:rsidRDefault="00775109" w:rsidP="00C74509">
      <w:pPr>
        <w:pStyle w:val="ListParagraph"/>
        <w:numPr>
          <w:ilvl w:val="0"/>
          <w:numId w:val="11"/>
        </w:numPr>
        <w:ind w:left="360"/>
        <w:jc w:val="both"/>
        <w:rPr>
          <w:rFonts w:ascii="Times New Roman" w:hAnsi="Times New Roman" w:cs="Times New Roman"/>
          <w:b/>
          <w:bCs/>
          <w:color w:val="000000" w:themeColor="text1"/>
          <w:sz w:val="28"/>
          <w:szCs w:val="28"/>
        </w:rPr>
      </w:pPr>
      <w:r w:rsidRPr="00C74509">
        <w:rPr>
          <w:rFonts w:ascii="Times New Roman" w:hAnsi="Times New Roman" w:cs="Times New Roman"/>
          <w:b/>
          <w:bCs/>
          <w:color w:val="000000" w:themeColor="text1"/>
          <w:sz w:val="28"/>
          <w:szCs w:val="28"/>
        </w:rPr>
        <w:t xml:space="preserve">Accessibility Barriers </w:t>
      </w:r>
    </w:p>
    <w:p w14:paraId="18613BE1"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Despite these developments, a key challenge is the accessibility of these advanced frameworks. The extensive fault injection method showcases sophisticated techniques for evaluating distributed databases, but requires significant infrastructure and expertise, preventing widespread adoption (Ruben, 2021). Although the "modular API design" and the "system-agnostic approach" offer theoretical flexibility, practical obstacles remain substantial. In particular, current methodological frameworks typically assume unlimited resources and enterprise-level infrastructure. Although their advanced parameter curation and validation processes are beneficial for enterprise assessments, they might be too complicated for resource-limited organizations that need database selection guidance. </w:t>
      </w:r>
    </w:p>
    <w:p w14:paraId="508F2397" w14:textId="691C8D2A" w:rsidR="00775109" w:rsidRPr="00795591" w:rsidRDefault="00775109" w:rsidP="00795591">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Research Motivation and Practical Applications </w:t>
      </w:r>
    </w:p>
    <w:p w14:paraId="48D2C3A2" w14:textId="366BDC77" w:rsidR="00775109" w:rsidRPr="00C74509" w:rsidRDefault="00775109" w:rsidP="00C74509">
      <w:pPr>
        <w:pStyle w:val="ListParagraph"/>
        <w:numPr>
          <w:ilvl w:val="0"/>
          <w:numId w:val="12"/>
        </w:numPr>
        <w:ind w:left="360"/>
        <w:jc w:val="both"/>
        <w:rPr>
          <w:rFonts w:ascii="Times New Roman" w:hAnsi="Times New Roman" w:cs="Times New Roman"/>
          <w:b/>
          <w:bCs/>
          <w:color w:val="000000" w:themeColor="text1"/>
          <w:sz w:val="28"/>
          <w:szCs w:val="28"/>
        </w:rPr>
      </w:pPr>
      <w:r w:rsidRPr="00C74509">
        <w:rPr>
          <w:rFonts w:ascii="Times New Roman" w:hAnsi="Times New Roman" w:cs="Times New Roman"/>
          <w:b/>
          <w:bCs/>
          <w:color w:val="000000" w:themeColor="text1"/>
          <w:sz w:val="28"/>
          <w:szCs w:val="28"/>
        </w:rPr>
        <w:t xml:space="preserve">Enterprise-Centric Focus </w:t>
      </w:r>
    </w:p>
    <w:p w14:paraId="36FD7487"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Existing benchmarking research on motivation shows a clear pattern: it focuses on enterprise-level challenges but often overlooks the practical constraints that influence database choices for most developers and organizations. Although research identifies real performance bottlenecks in production visualization systems through interactive querying research, evaluation setup (20GB RAM, 12 cores, 30TB storage) requires substantial resources beyond what most startups can afford (Battle et al., 2020). Research explores the challenge of varying value sizes, noting that "popular</w:t>
      </w:r>
      <w:r w:rsidRPr="00775109">
        <w:t xml:space="preserve"> </w:t>
      </w:r>
      <w:r w:rsidRPr="00775109">
        <w:rPr>
          <w:rFonts w:ascii="Times New Roman" w:hAnsi="Times New Roman" w:cs="Times New Roman"/>
          <w:color w:val="000000" w:themeColor="text1"/>
          <w:sz w:val="28"/>
          <w:szCs w:val="28"/>
        </w:rPr>
        <w:t xml:space="preserve">records can reach megabyte sizes while others remain small, creating performance disparities" (Liyanage et al., 2025). This research addresses real-world problems faced by companies such as Dgraph Labs. However, since the testing </w:t>
      </w:r>
      <w:r w:rsidRPr="00775109">
        <w:rPr>
          <w:rFonts w:ascii="Times New Roman" w:hAnsi="Times New Roman" w:cs="Times New Roman"/>
          <w:color w:val="000000" w:themeColor="text1"/>
          <w:sz w:val="28"/>
          <w:szCs w:val="28"/>
        </w:rPr>
        <w:lastRenderedPageBreak/>
        <w:t xml:space="preserve">was performed only on enterprise-grade AWS instances, its practical usefulness for resource-limited organizations is limited. </w:t>
      </w:r>
    </w:p>
    <w:p w14:paraId="374AA237" w14:textId="62F59E37" w:rsidR="00775109" w:rsidRPr="00C74509" w:rsidRDefault="00775109" w:rsidP="00C74509">
      <w:pPr>
        <w:pStyle w:val="ListParagraph"/>
        <w:numPr>
          <w:ilvl w:val="0"/>
          <w:numId w:val="12"/>
        </w:numPr>
        <w:ind w:left="360"/>
        <w:jc w:val="both"/>
        <w:rPr>
          <w:rFonts w:ascii="Times New Roman" w:hAnsi="Times New Roman" w:cs="Times New Roman"/>
          <w:b/>
          <w:bCs/>
          <w:color w:val="000000" w:themeColor="text1"/>
          <w:sz w:val="28"/>
          <w:szCs w:val="28"/>
        </w:rPr>
      </w:pPr>
      <w:r w:rsidRPr="00C74509">
        <w:rPr>
          <w:rFonts w:ascii="Times New Roman" w:hAnsi="Times New Roman" w:cs="Times New Roman"/>
          <w:b/>
          <w:bCs/>
          <w:color w:val="000000" w:themeColor="text1"/>
          <w:sz w:val="28"/>
          <w:szCs w:val="28"/>
        </w:rPr>
        <w:t xml:space="preserve">Industry Collaboration Barriers </w:t>
      </w:r>
    </w:p>
    <w:p w14:paraId="0C7A4031" w14:textId="0B001E47" w:rsidR="00775109" w:rsidRDefault="00775109" w:rsidP="00C74509">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w:t>
      </w:r>
      <w:r w:rsidRPr="00775109">
        <w:rPr>
          <w:rFonts w:ascii="Times New Roman" w:hAnsi="Times New Roman" w:cs="Times New Roman"/>
          <w:color w:val="000000" w:themeColor="text1"/>
          <w:sz w:val="28"/>
          <w:szCs w:val="28"/>
        </w:rPr>
        <w:t xml:space="preserve">he LDBC Financial Benchmark exemplifies this enterprise focus, addressing "special features and patterns in the financial industry" through collaboration with major financial technology companies (Qi et al., 2025). While valuable for large financial institutions, the benchmark’s infrastructure requirements and certification barriers (3,000 GBP auditing fees) effectively exclude fintech startups and smaller financial service providers. This pattern reveals a fundamental gap in benchmarking research: while technical sophistication has advanced considerably, the practical needs of resource-constrained organizations building real-world applications remain largely unaddressed. The consistent focus on unlimited resource scenarios, enterprise hardware assumptions, and high infrastructure barriers creates opportunities for research that democratizes database performance evaluation. </w:t>
      </w:r>
    </w:p>
    <w:p w14:paraId="04CD70D6" w14:textId="0760625F" w:rsidR="00775109" w:rsidRPr="00795591" w:rsidRDefault="00775109" w:rsidP="00795591">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Research Gaps and Implications </w:t>
      </w:r>
    </w:p>
    <w:p w14:paraId="04B4E829"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The comprehensive analysis of existing literature reveals three critical gaps that justify our focus on startup-oriented, free-tier database benchmarking: </w:t>
      </w:r>
    </w:p>
    <w:p w14:paraId="1A6DEF5B"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Gap 1: Resource-Constrained Evaluation. </w:t>
      </w:r>
    </w:p>
    <w:p w14:paraId="1AE91406"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Existing benchmarks consistently operate under enterprise resource assumptions, with no systematic evaluation of database performance under the budget and infrastructure constraints that characterize startup operations. The absence of </w:t>
      </w:r>
      <w:proofErr w:type="spellStart"/>
      <w:r w:rsidRPr="00775109">
        <w:rPr>
          <w:rFonts w:ascii="Times New Roman" w:hAnsi="Times New Roman" w:cs="Times New Roman"/>
          <w:color w:val="000000" w:themeColor="text1"/>
          <w:sz w:val="28"/>
          <w:szCs w:val="28"/>
        </w:rPr>
        <w:t>freetier</w:t>
      </w:r>
      <w:proofErr w:type="spellEnd"/>
      <w:r w:rsidRPr="00775109">
        <w:rPr>
          <w:rFonts w:ascii="Times New Roman" w:hAnsi="Times New Roman" w:cs="Times New Roman"/>
          <w:color w:val="000000" w:themeColor="text1"/>
          <w:sz w:val="28"/>
          <w:szCs w:val="28"/>
        </w:rPr>
        <w:t xml:space="preserve"> analysis across the major benchmarking frameworks represents a significant opportunity for practical research. </w:t>
      </w:r>
    </w:p>
    <w:p w14:paraId="18E6D5C9"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Gap 2: Application-Visible Performance Metrics. </w:t>
      </w:r>
    </w:p>
    <w:p w14:paraId="3B5ABE26"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Current benchmarks focus on infrastructure-level measurements while ignoring the application-layer performance characteristics that users actually experience. The predominant use of average-based metrics rather than percentile distributions masks the tail latencies that most directly impact user satisfaction and service reliability. </w:t>
      </w:r>
    </w:p>
    <w:p w14:paraId="0D2E6B6D" w14:textId="7777777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Gap 3: Domain-Specific Workload Patterns. </w:t>
      </w:r>
    </w:p>
    <w:p w14:paraId="3790F081" w14:textId="7021006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 xml:space="preserve">While sophisticated synthetic data generation exists for social networks and financial scenarios, the e-commerce domain—critical for many startup </w:t>
      </w:r>
      <w:r w:rsidRPr="00775109">
        <w:rPr>
          <w:rFonts w:ascii="Times New Roman" w:hAnsi="Times New Roman" w:cs="Times New Roman"/>
          <w:color w:val="000000" w:themeColor="text1"/>
          <w:sz w:val="28"/>
          <w:szCs w:val="28"/>
        </w:rPr>
        <w:lastRenderedPageBreak/>
        <w:t xml:space="preserve">applications—remains largely unaddressed. The lack of realistic e-commerce query patterns, product catalog evolution, and customer </w:t>
      </w:r>
      <w:r w:rsidR="00795591" w:rsidRPr="00775109">
        <w:rPr>
          <w:rFonts w:ascii="Times New Roman" w:hAnsi="Times New Roman" w:cs="Times New Roman"/>
          <w:color w:val="000000" w:themeColor="text1"/>
          <w:sz w:val="28"/>
          <w:szCs w:val="28"/>
        </w:rPr>
        <w:t>behaviour</w:t>
      </w:r>
      <w:r w:rsidRPr="00775109">
        <w:rPr>
          <w:rFonts w:ascii="Times New Roman" w:hAnsi="Times New Roman" w:cs="Times New Roman"/>
          <w:color w:val="000000" w:themeColor="text1"/>
          <w:sz w:val="28"/>
          <w:szCs w:val="28"/>
        </w:rPr>
        <w:t xml:space="preserve"> </w:t>
      </w:r>
      <w:r w:rsidR="00795591" w:rsidRPr="00775109">
        <w:rPr>
          <w:rFonts w:ascii="Times New Roman" w:hAnsi="Times New Roman" w:cs="Times New Roman"/>
          <w:color w:val="000000" w:themeColor="text1"/>
          <w:sz w:val="28"/>
          <w:szCs w:val="28"/>
        </w:rPr>
        <w:t>modelling</w:t>
      </w:r>
      <w:r w:rsidRPr="00775109">
        <w:rPr>
          <w:rFonts w:ascii="Times New Roman" w:hAnsi="Times New Roman" w:cs="Times New Roman"/>
          <w:color w:val="000000" w:themeColor="text1"/>
          <w:sz w:val="28"/>
          <w:szCs w:val="28"/>
        </w:rPr>
        <w:t xml:space="preserve"> represents a substantial gap in practical benchmarking guidance. </w:t>
      </w:r>
    </w:p>
    <w:p w14:paraId="70359F36" w14:textId="17AA8F63" w:rsidR="00775109" w:rsidRPr="00795591" w:rsidRDefault="00775109" w:rsidP="00795591">
      <w:pPr>
        <w:pStyle w:val="ListParagraph"/>
        <w:numPr>
          <w:ilvl w:val="0"/>
          <w:numId w:val="4"/>
        </w:numPr>
        <w:jc w:val="both"/>
        <w:rPr>
          <w:rFonts w:ascii="Times New Roman" w:hAnsi="Times New Roman" w:cs="Times New Roman"/>
          <w:b/>
          <w:bCs/>
          <w:color w:val="000000" w:themeColor="text1"/>
          <w:sz w:val="32"/>
          <w:szCs w:val="32"/>
        </w:rPr>
      </w:pPr>
      <w:r w:rsidRPr="00795591">
        <w:rPr>
          <w:rFonts w:ascii="Times New Roman" w:hAnsi="Times New Roman" w:cs="Times New Roman"/>
          <w:b/>
          <w:bCs/>
          <w:color w:val="000000" w:themeColor="text1"/>
          <w:sz w:val="32"/>
          <w:szCs w:val="32"/>
        </w:rPr>
        <w:t xml:space="preserve">Research Contribution Justification </w:t>
      </w:r>
    </w:p>
    <w:p w14:paraId="134960DA" w14:textId="011546F4" w:rsidR="00C745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These gaps collectively justify our research contribution: a comprehensive evaluation of free-tier cloud databases using realistic e-commerce workloads with emphasis on</w:t>
      </w:r>
      <w:r>
        <w:rPr>
          <w:rFonts w:ascii="Times New Roman" w:hAnsi="Times New Roman" w:cs="Times New Roman"/>
          <w:color w:val="000000" w:themeColor="text1"/>
          <w:sz w:val="28"/>
          <w:szCs w:val="28"/>
        </w:rPr>
        <w:t xml:space="preserve"> </w:t>
      </w:r>
      <w:r w:rsidRPr="00775109">
        <w:rPr>
          <w:rFonts w:ascii="Times New Roman" w:hAnsi="Times New Roman" w:cs="Times New Roman"/>
          <w:color w:val="000000" w:themeColor="text1"/>
          <w:sz w:val="28"/>
          <w:szCs w:val="28"/>
        </w:rPr>
        <w:t xml:space="preserve">percentile-based performance metrics and </w:t>
      </w:r>
      <w:r w:rsidR="00795591" w:rsidRPr="00775109">
        <w:rPr>
          <w:rFonts w:ascii="Times New Roman" w:hAnsi="Times New Roman" w:cs="Times New Roman"/>
          <w:color w:val="000000" w:themeColor="text1"/>
          <w:sz w:val="28"/>
          <w:szCs w:val="28"/>
        </w:rPr>
        <w:t>application visible</w:t>
      </w:r>
      <w:r w:rsidRPr="00775109">
        <w:rPr>
          <w:rFonts w:ascii="Times New Roman" w:hAnsi="Times New Roman" w:cs="Times New Roman"/>
          <w:color w:val="000000" w:themeColor="text1"/>
          <w:sz w:val="28"/>
          <w:szCs w:val="28"/>
        </w:rPr>
        <w:t xml:space="preserve"> latency characteristics. By addressing these limitations, our work provides practical database selection guidance for the resource-constrained scenarios that characterize the majority of real-world database deployment decisions. The literature review reveals a mature but narrowly focused field of database benchmarking research. Although significant advances have been made in methodological sophistication, synthetic data generation, and system evaluation frameworks, there is a critical gap in addressing the practical needs of resource-constrained organizations. The consistent enterprise focus across major benchmarking initiatives has created an opportunity for research that democratizes database performance evaluation and provides actionable guidance for startup database selection decisions. Our proposed research addresses these gaps by focusing on </w:t>
      </w:r>
      <w:r w:rsidR="00795591" w:rsidRPr="00775109">
        <w:rPr>
          <w:rFonts w:ascii="Times New Roman" w:hAnsi="Times New Roman" w:cs="Times New Roman"/>
          <w:color w:val="000000" w:themeColor="text1"/>
          <w:sz w:val="28"/>
          <w:szCs w:val="28"/>
        </w:rPr>
        <w:t>free tier</w:t>
      </w:r>
      <w:r w:rsidRPr="00775109">
        <w:rPr>
          <w:rFonts w:ascii="Times New Roman" w:hAnsi="Times New Roman" w:cs="Times New Roman"/>
          <w:color w:val="000000" w:themeColor="text1"/>
          <w:sz w:val="28"/>
          <w:szCs w:val="28"/>
        </w:rPr>
        <w:t xml:space="preserve"> database evaluation with realistic e-commerce workloads, emphasizing application-visible performance metrics that directly impact user experience. This approach fills a significant void in the current literature while maintaining methodological rigor established by existing benchmarking frameworks.</w:t>
      </w:r>
      <w:r w:rsidR="00C74509">
        <w:rPr>
          <w:rFonts w:ascii="Times New Roman" w:hAnsi="Times New Roman" w:cs="Times New Roman"/>
          <w:color w:val="000000" w:themeColor="text1"/>
          <w:sz w:val="28"/>
          <w:szCs w:val="28"/>
        </w:rPr>
        <w:br w:type="page"/>
      </w:r>
    </w:p>
    <w:p w14:paraId="38C3E2BE" w14:textId="320C0C87" w:rsidR="00775109" w:rsidRDefault="00775109" w:rsidP="00C74509">
      <w:pPr>
        <w:ind w:left="360"/>
        <w:jc w:val="both"/>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lastRenderedPageBreak/>
        <w:t xml:space="preserve">Table 1 </w:t>
      </w:r>
    </w:p>
    <w:p w14:paraId="35E8A30C" w14:textId="71877B67" w:rsidR="00775109" w:rsidRDefault="00775109" w:rsidP="00C74509">
      <w:pPr>
        <w:spacing w:line="240" w:lineRule="auto"/>
        <w:ind w:left="360"/>
        <w:rPr>
          <w:rFonts w:ascii="Times New Roman" w:hAnsi="Times New Roman" w:cs="Times New Roman"/>
          <w:color w:val="000000" w:themeColor="text1"/>
          <w:sz w:val="28"/>
          <w:szCs w:val="28"/>
        </w:rPr>
      </w:pPr>
      <w:r w:rsidRPr="00775109">
        <w:rPr>
          <w:rFonts w:ascii="Times New Roman" w:hAnsi="Times New Roman" w:cs="Times New Roman"/>
          <w:color w:val="000000" w:themeColor="text1"/>
          <w:sz w:val="28"/>
          <w:szCs w:val="28"/>
        </w:rPr>
        <w:t>Summary of Literature Analysis</w:t>
      </w:r>
    </w:p>
    <w:p w14:paraId="79615F81" w14:textId="62403C67" w:rsidR="00775109" w:rsidRDefault="00775109" w:rsidP="00795591">
      <w:pPr>
        <w:jc w:val="center"/>
        <w:rPr>
          <w:rFonts w:ascii="Times New Roman" w:hAnsi="Times New Roman" w:cs="Times New Roman"/>
          <w:color w:val="000000" w:themeColor="text1"/>
          <w:sz w:val="28"/>
          <w:szCs w:val="28"/>
        </w:rPr>
      </w:pPr>
      <w:r w:rsidRPr="00775109">
        <w:rPr>
          <w:rFonts w:ascii="Times New Roman" w:hAnsi="Times New Roman" w:cs="Times New Roman"/>
          <w:noProof/>
          <w:color w:val="000000" w:themeColor="text1"/>
          <w:sz w:val="28"/>
          <w:szCs w:val="28"/>
        </w:rPr>
        <w:drawing>
          <wp:inline distT="0" distB="0" distL="0" distR="0" wp14:anchorId="77DEEE6B" wp14:editId="71945543">
            <wp:extent cx="5530859" cy="4183380"/>
            <wp:effectExtent l="0" t="0" r="0" b="7620"/>
            <wp:docPr id="32044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448252" name=""/>
                    <pic:cNvPicPr/>
                  </pic:nvPicPr>
                  <pic:blipFill>
                    <a:blip r:embed="rId13"/>
                    <a:stretch>
                      <a:fillRect/>
                    </a:stretch>
                  </pic:blipFill>
                  <pic:spPr>
                    <a:xfrm>
                      <a:off x="0" y="0"/>
                      <a:ext cx="5666595" cy="4286047"/>
                    </a:xfrm>
                    <a:prstGeom prst="rect">
                      <a:avLst/>
                    </a:prstGeom>
                  </pic:spPr>
                </pic:pic>
              </a:graphicData>
            </a:graphic>
          </wp:inline>
        </w:drawing>
      </w:r>
    </w:p>
    <w:p w14:paraId="1469AD55" w14:textId="77777777" w:rsidR="00126B41" w:rsidRDefault="00126B41" w:rsidP="00126B41">
      <w:pPr>
        <w:jc w:val="center"/>
        <w:rPr>
          <w:rFonts w:ascii="Times New Roman" w:hAnsi="Times New Roman" w:cs="Times New Roman"/>
          <w:b/>
          <w:bCs/>
          <w:sz w:val="36"/>
          <w:szCs w:val="36"/>
        </w:rPr>
      </w:pPr>
      <w:r>
        <w:rPr>
          <w:rFonts w:ascii="Times New Roman" w:hAnsi="Times New Roman" w:cs="Times New Roman"/>
          <w:b/>
          <w:bCs/>
          <w:sz w:val="36"/>
          <w:szCs w:val="36"/>
        </w:rPr>
        <w:t>CHAPTER 3</w:t>
      </w:r>
    </w:p>
    <w:p w14:paraId="00E31B28" w14:textId="77777777" w:rsidR="00126B41" w:rsidRDefault="00126B41" w:rsidP="00126B41">
      <w:pPr>
        <w:jc w:val="center"/>
        <w:rPr>
          <w:rFonts w:ascii="Times New Roman" w:hAnsi="Times New Roman" w:cs="Times New Roman"/>
          <w:b/>
          <w:bCs/>
          <w:sz w:val="36"/>
          <w:szCs w:val="36"/>
        </w:rPr>
      </w:pPr>
      <w:r>
        <w:rPr>
          <w:rFonts w:ascii="Times New Roman" w:hAnsi="Times New Roman" w:cs="Times New Roman"/>
          <w:b/>
          <w:bCs/>
          <w:sz w:val="36"/>
          <w:szCs w:val="36"/>
        </w:rPr>
        <w:t>METHODOLOGY</w:t>
      </w:r>
    </w:p>
    <w:p w14:paraId="02A3884F" w14:textId="39B571FF" w:rsidR="00154EEB" w:rsidRPr="00126B41" w:rsidRDefault="00154EEB" w:rsidP="00126B41">
      <w:pPr>
        <w:jc w:val="both"/>
        <w:rPr>
          <w:rFonts w:ascii="Times New Roman" w:hAnsi="Times New Roman" w:cs="Times New Roman"/>
          <w:sz w:val="28"/>
          <w:szCs w:val="28"/>
        </w:rPr>
      </w:pPr>
      <w:r w:rsidRPr="00126B41">
        <w:rPr>
          <w:rFonts w:ascii="Times New Roman" w:hAnsi="Times New Roman" w:cs="Times New Roman"/>
          <w:sz w:val="28"/>
          <w:szCs w:val="28"/>
        </w:rPr>
        <w:t xml:space="preserve">This methodology follows a systematic approach to evaluate three cloud database platforms—MongoDB Atlas,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/PostgreSQL, and DataStax Astra DB—under realistic early-stage e-commerce workloads. The evaluation framework comprises nine interconnected components designed to ensure a comparable and reproducible performance assessment in distinct database paradigms. The objective and Configuration establish the study’s goals and technical environment, defining measurement targets and tooling constraints. Databases Under Evaluation introduces the three platforms, highlighting architectural strengths and justifying selection criteria based on startup </w:t>
      </w:r>
      <w:proofErr w:type="spellStart"/>
      <w:proofErr w:type="gramStart"/>
      <w:r w:rsidRPr="00126B41">
        <w:rPr>
          <w:rFonts w:ascii="Times New Roman" w:hAnsi="Times New Roman" w:cs="Times New Roman"/>
          <w:sz w:val="28"/>
          <w:szCs w:val="28"/>
        </w:rPr>
        <w:t>accessibility.The</w:t>
      </w:r>
      <w:proofErr w:type="spellEnd"/>
      <w:proofErr w:type="gramEnd"/>
      <w:r w:rsidRPr="00126B41">
        <w:rPr>
          <w:rFonts w:ascii="Times New Roman" w:hAnsi="Times New Roman" w:cs="Times New Roman"/>
          <w:sz w:val="28"/>
          <w:szCs w:val="28"/>
        </w:rPr>
        <w:t xml:space="preserve"> Canonical E-commerce Schema specifies the five-table structure and ~787K record dataset representing realistic startup scale, grounding design decisions in established benchmarks, and empirical startup data research.</w:t>
      </w:r>
    </w:p>
    <w:p w14:paraId="56B0FC5D" w14:textId="77777777" w:rsidR="00154EEB" w:rsidRPr="00126B41" w:rsidRDefault="00154EEB" w:rsidP="00126B41">
      <w:pPr>
        <w:jc w:val="both"/>
        <w:rPr>
          <w:rFonts w:ascii="Times New Roman" w:hAnsi="Times New Roman" w:cs="Times New Roman"/>
          <w:sz w:val="28"/>
          <w:szCs w:val="28"/>
        </w:rPr>
      </w:pPr>
      <w:r w:rsidRPr="00126B41">
        <w:rPr>
          <w:rFonts w:ascii="Times New Roman" w:hAnsi="Times New Roman" w:cs="Times New Roman"/>
          <w:sz w:val="28"/>
          <w:szCs w:val="28"/>
        </w:rPr>
        <w:lastRenderedPageBreak/>
        <w:t xml:space="preserve">Data Generation and Loading addresses synthetic dataset creation, documenting how parameterized generation overcomes limitations in existing benchmark datasets while maintaining reproducibility through fixed seeding. Phase-Specific Index Profiles explain the strategic rationale behind read-optimized, write-minimized, and balanced indexing configurations applied sequentially throughout testing. </w:t>
      </w:r>
    </w:p>
    <w:p w14:paraId="5ECE686F" w14:textId="77777777" w:rsidR="00154EEB" w:rsidRPr="00126B41" w:rsidRDefault="00154EEB" w:rsidP="00126B41">
      <w:pPr>
        <w:jc w:val="both"/>
        <w:rPr>
          <w:rFonts w:ascii="Times New Roman" w:hAnsi="Times New Roman" w:cs="Times New Roman"/>
          <w:sz w:val="28"/>
          <w:szCs w:val="28"/>
        </w:rPr>
      </w:pPr>
      <w:r w:rsidRPr="00126B41">
        <w:rPr>
          <w:rFonts w:ascii="Times New Roman" w:hAnsi="Times New Roman" w:cs="Times New Roman"/>
          <w:sz w:val="28"/>
          <w:szCs w:val="28"/>
        </w:rPr>
        <w:t xml:space="preserve">The core evaluation unfolds in three dedicated sections. Read Phase Strategies and Queries detail the dual-execution protocol (A1 cold/warm analysis, A2 parameter sensitivity) across 10 queries spanning basic to advanced complexity. Write Phase Strategies and Queries describe 8 operation patterns including single-row operations, bulk inserts, conditional updates, and multi-table transactions. Mixed Phase Strategies and Queries explain the 65/35 read-write interleaved workload reflecting production traffic patterns. </w:t>
      </w:r>
    </w:p>
    <w:p w14:paraId="2F894357" w14:textId="77777777" w:rsidR="00154EEB" w:rsidRPr="00126B41" w:rsidRDefault="00154EEB" w:rsidP="00126B41">
      <w:pPr>
        <w:jc w:val="both"/>
        <w:rPr>
          <w:rFonts w:ascii="Times New Roman" w:hAnsi="Times New Roman" w:cs="Times New Roman"/>
          <w:sz w:val="28"/>
          <w:szCs w:val="28"/>
        </w:rPr>
      </w:pPr>
      <w:r w:rsidRPr="00126B41">
        <w:rPr>
          <w:rFonts w:ascii="Times New Roman" w:hAnsi="Times New Roman" w:cs="Times New Roman"/>
          <w:sz w:val="28"/>
          <w:szCs w:val="28"/>
        </w:rPr>
        <w:t xml:space="preserve">Miscellaneous documents log conventions, fairness protocols ensuring unbiased comparison, acknowledged limitations including free-tier constraints and driver-level timing, and replication configurations. Together, these sections establish a comprehensive framework in which each component builds on previous foundations to support rigorous cross-platform performance analysis. </w:t>
      </w:r>
    </w:p>
    <w:p w14:paraId="3FE9325A" w14:textId="4109346E" w:rsidR="00154EEB" w:rsidRPr="009C1D9F" w:rsidRDefault="00154EEB"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Objective and Configuration </w:t>
      </w:r>
    </w:p>
    <w:p w14:paraId="703D870D"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This study evaluates three cloud-managed database platforms under realistic early-stage e-commerce workloads to address four primary objectives: compare read, write, and mixed throughput performance across document-oriented (MongoDB Atlas), relational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/PostgreSQL), and wide-column (DataStax Astra DB) architectures; quantify latency distributions (p50, p95, p99) for common ecommerce query patterns including product searches, order history retrieval, and cart operations; assess the performance impact of phase-specific index profiles on read optimization versus write minimization trade-offs; and evaluate database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under startup-realistic constraints including </w:t>
      </w:r>
      <w:proofErr w:type="spellStart"/>
      <w:r w:rsidRPr="00126B41">
        <w:rPr>
          <w:rFonts w:ascii="Times New Roman" w:hAnsi="Times New Roman" w:cs="Times New Roman"/>
          <w:sz w:val="28"/>
          <w:szCs w:val="28"/>
        </w:rPr>
        <w:t>freetier</w:t>
      </w:r>
      <w:proofErr w:type="spellEnd"/>
      <w:r w:rsidRPr="00126B41">
        <w:rPr>
          <w:rFonts w:ascii="Times New Roman" w:hAnsi="Times New Roman" w:cs="Times New Roman"/>
          <w:sz w:val="28"/>
          <w:szCs w:val="28"/>
        </w:rPr>
        <w:t xml:space="preserve"> resource limits and single-session execution without concurrent users. </w:t>
      </w:r>
    </w:p>
    <w:p w14:paraId="0372EE32"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benchmarking environment employed Python 3.x within </w:t>
      </w:r>
      <w:proofErr w:type="spellStart"/>
      <w:r w:rsidRPr="00126B41">
        <w:rPr>
          <w:rFonts w:ascii="Times New Roman" w:hAnsi="Times New Roman" w:cs="Times New Roman"/>
          <w:sz w:val="28"/>
          <w:szCs w:val="28"/>
        </w:rPr>
        <w:t>Jupyter</w:t>
      </w:r>
      <w:proofErr w:type="spellEnd"/>
      <w:r w:rsidRPr="00126B41">
        <w:rPr>
          <w:rFonts w:ascii="Times New Roman" w:hAnsi="Times New Roman" w:cs="Times New Roman"/>
          <w:sz w:val="28"/>
          <w:szCs w:val="28"/>
        </w:rPr>
        <w:t xml:space="preserve"> Notebook for reproducible execution, using database-specific drivers (psycopg2 for PostgreSQL, </w:t>
      </w:r>
      <w:proofErr w:type="spellStart"/>
      <w:r w:rsidRPr="00126B41">
        <w:rPr>
          <w:rFonts w:ascii="Times New Roman" w:hAnsi="Times New Roman" w:cs="Times New Roman"/>
          <w:sz w:val="28"/>
          <w:szCs w:val="28"/>
        </w:rPr>
        <w:t>pymongo</w:t>
      </w:r>
      <w:proofErr w:type="spellEnd"/>
      <w:r w:rsidRPr="00126B41">
        <w:rPr>
          <w:rFonts w:ascii="Times New Roman" w:hAnsi="Times New Roman" w:cs="Times New Roman"/>
          <w:sz w:val="28"/>
          <w:szCs w:val="28"/>
        </w:rPr>
        <w:t xml:space="preserve"> for MongoDB, Cassandra-driver for Astra DB) and supporting libraries including pandas for data generation, Faker for synthetic content, </w:t>
      </w:r>
      <w:proofErr w:type="spellStart"/>
      <w:r w:rsidRPr="00126B41">
        <w:rPr>
          <w:rFonts w:ascii="Times New Roman" w:hAnsi="Times New Roman" w:cs="Times New Roman"/>
          <w:sz w:val="28"/>
          <w:szCs w:val="28"/>
        </w:rPr>
        <w:t>numpy</w:t>
      </w:r>
      <w:proofErr w:type="spellEnd"/>
      <w:r w:rsidRPr="00126B41">
        <w:rPr>
          <w:rFonts w:ascii="Times New Roman" w:hAnsi="Times New Roman" w:cs="Times New Roman"/>
          <w:sz w:val="28"/>
          <w:szCs w:val="28"/>
        </w:rPr>
        <w:t xml:space="preserve"> for statistical operations, and </w:t>
      </w:r>
      <w:proofErr w:type="spellStart"/>
      <w:r w:rsidRPr="00126B41">
        <w:rPr>
          <w:rFonts w:ascii="Times New Roman" w:hAnsi="Times New Roman" w:cs="Times New Roman"/>
          <w:sz w:val="28"/>
          <w:szCs w:val="28"/>
        </w:rPr>
        <w:t>tqdm</w:t>
      </w:r>
      <w:proofErr w:type="spellEnd"/>
      <w:r w:rsidRPr="00126B41">
        <w:rPr>
          <w:rFonts w:ascii="Times New Roman" w:hAnsi="Times New Roman" w:cs="Times New Roman"/>
          <w:sz w:val="28"/>
          <w:szCs w:val="28"/>
        </w:rPr>
        <w:t xml:space="preserve"> for progress </w:t>
      </w:r>
      <w:r w:rsidRPr="00126B41">
        <w:rPr>
          <w:rFonts w:ascii="Times New Roman" w:hAnsi="Times New Roman" w:cs="Times New Roman"/>
          <w:sz w:val="28"/>
          <w:szCs w:val="28"/>
        </w:rPr>
        <w:lastRenderedPageBreak/>
        <w:t xml:space="preserve">monitoring. All tests executed on a Dell G15 5520 laptop (Intel Core i5-12500H, 16GB DDR5 RAM, 512GB SSD, Windows 11) connecting to </w:t>
      </w:r>
      <w:proofErr w:type="spellStart"/>
      <w:r w:rsidRPr="00126B41">
        <w:rPr>
          <w:rFonts w:ascii="Times New Roman" w:hAnsi="Times New Roman" w:cs="Times New Roman"/>
          <w:sz w:val="28"/>
          <w:szCs w:val="28"/>
        </w:rPr>
        <w:t>cloudhosted</w:t>
      </w:r>
      <w:proofErr w:type="spellEnd"/>
      <w:r w:rsidRPr="00126B41">
        <w:rPr>
          <w:rFonts w:ascii="Times New Roman" w:hAnsi="Times New Roman" w:cs="Times New Roman"/>
          <w:sz w:val="28"/>
          <w:szCs w:val="28"/>
        </w:rPr>
        <w:t xml:space="preserve"> database instances. Each default free-tier configuration is maintained on the platform without custom tuning, ensuring comparability and reflecting out-of-box performance accessible to early-stage startups. </w:t>
      </w:r>
    </w:p>
    <w:p w14:paraId="6B289A00" w14:textId="4B6A1DE2" w:rsidR="00154EEB" w:rsidRPr="009C1D9F" w:rsidRDefault="00154EEB"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Databases Under Evaluation </w:t>
      </w:r>
    </w:p>
    <w:p w14:paraId="67E85CA8"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This study evaluates three cloud-managed database platforms that represent distinct architectural paradigms while maintaining startup accessibility: MongoDB Atlas</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 xml:space="preserve">(document-oriented NoSQL),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 (PostgreSQL-based relational) and DataStax Astra DB (wide-column Cassandra). Each platform provides fully-managed services abstracting infrastructure complexity, enabling production deployment without operational overhead. </w:t>
      </w:r>
    </w:p>
    <w:p w14:paraId="65E1FCC8"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MongoDB Atlas delivers flexible schema evolution through document storage, horizontal scaling via automated sharding, and cross-cloud portability across AWS, GCP, and Azure.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 extends PostgreSQL’s ACID guaranties with integrated authentication, real-time subscriptions, and auto-generated REST APIs, accelerating application development cycles. Astra DB combines Cassandra’s distributed architecture with cloud-native automation, providing linear scalability and inherent fault tolerance for applications anticipating rapid growth. </w:t>
      </w:r>
    </w:p>
    <w:p w14:paraId="7EB0A210"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Selection criteria prioritized startup-specific constraints: persistent free tiers eliminating financial barriers (Atlas: 512MB no-limit storage;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 generous APIs quotas; Astra: $ 25 monthly credit for 80GB storage), intuitive web interfaces reducing administrative complexity, streamlined data loading support through visual tools and programmatic APIs, and frictionless registration without credit card requirements. This three-database selection spans primary database paradigms—document, relational, and </w:t>
      </w:r>
      <w:proofErr w:type="spellStart"/>
      <w:r w:rsidRPr="00126B41">
        <w:rPr>
          <w:rFonts w:ascii="Times New Roman" w:hAnsi="Times New Roman" w:cs="Times New Roman"/>
          <w:sz w:val="28"/>
          <w:szCs w:val="28"/>
        </w:rPr>
        <w:t>widecolumn</w:t>
      </w:r>
      <w:proofErr w:type="spellEnd"/>
      <w:r w:rsidRPr="00126B41">
        <w:rPr>
          <w:rFonts w:ascii="Times New Roman" w:hAnsi="Times New Roman" w:cs="Times New Roman"/>
          <w:sz w:val="28"/>
          <w:szCs w:val="28"/>
        </w:rPr>
        <w:t xml:space="preserve">—addressing the majority of early-stage application requirements while providing clear migration paths as systems scale. </w:t>
      </w:r>
    </w:p>
    <w:p w14:paraId="77F0012A" w14:textId="342A0763" w:rsidR="00154EEB" w:rsidRPr="009C1D9F" w:rsidRDefault="00154EEB"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Canonical E-commerce Schema </w:t>
      </w:r>
    </w:p>
    <w:p w14:paraId="446F1C49" w14:textId="5C381071"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study employs a five-table relational schema adapted from TPC-W’s eight-table e-commerce </w:t>
      </w:r>
      <w:r w:rsidRPr="00126B41">
        <w:rPr>
          <w:rFonts w:ascii="Times New Roman" w:hAnsi="Times New Roman" w:cs="Times New Roman"/>
          <w:sz w:val="28"/>
          <w:szCs w:val="28"/>
        </w:rPr>
        <w:t>standard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w:t>
      </w:r>
      <w:r w:rsidR="00126B41" w:rsidRPr="00126B41">
        <w:rPr>
          <w:rFonts w:ascii="Times New Roman" w:hAnsi="Times New Roman" w:cs="Times New Roman"/>
          <w:sz w:val="28"/>
          <w:szCs w:val="28"/>
        </w:rPr>
        <w:t>2002) (</w:t>
      </w:r>
      <w:r w:rsidRPr="00126B41">
        <w:rPr>
          <w:rFonts w:ascii="Times New Roman" w:hAnsi="Times New Roman" w:cs="Times New Roman"/>
          <w:sz w:val="28"/>
          <w:szCs w:val="28"/>
        </w:rPr>
        <w:t xml:space="preserve">Smith, 2000). TPC-W defines minimum structures comprising tables for Customer, Address, Order, </w:t>
      </w:r>
      <w:proofErr w:type="spellStart"/>
      <w:r w:rsidRPr="00126B41">
        <w:rPr>
          <w:rFonts w:ascii="Times New Roman" w:hAnsi="Times New Roman" w:cs="Times New Roman"/>
          <w:sz w:val="28"/>
          <w:szCs w:val="28"/>
        </w:rPr>
        <w:t>Order_Line</w:t>
      </w:r>
      <w:proofErr w:type="spellEnd"/>
      <w:r w:rsidRPr="00126B41">
        <w:rPr>
          <w:rFonts w:ascii="Times New Roman" w:hAnsi="Times New Roman" w:cs="Times New Roman"/>
          <w:sz w:val="28"/>
          <w:szCs w:val="28"/>
        </w:rPr>
        <w:t xml:space="preserve">, Item, Author, Country, and CC_ </w:t>
      </w:r>
      <w:proofErr w:type="spellStart"/>
      <w:r w:rsidRPr="00126B41">
        <w:rPr>
          <w:rFonts w:ascii="Times New Roman" w:hAnsi="Times New Roman" w:cs="Times New Roman"/>
          <w:sz w:val="28"/>
          <w:szCs w:val="28"/>
        </w:rPr>
        <w:t>Xacts</w:t>
      </w:r>
      <w:proofErr w:type="spellEnd"/>
      <w:r w:rsidRPr="00126B41">
        <w:rPr>
          <w:rFonts w:ascii="Times New Roman" w:hAnsi="Times New Roman" w:cs="Times New Roman"/>
          <w:sz w:val="28"/>
          <w:szCs w:val="28"/>
        </w:rPr>
        <w:t xml:space="preserve"> tables with established </w:t>
      </w:r>
      <w:r w:rsidRPr="00126B41">
        <w:rPr>
          <w:rFonts w:ascii="Times New Roman" w:hAnsi="Times New Roman" w:cs="Times New Roman"/>
          <w:sz w:val="28"/>
          <w:szCs w:val="28"/>
        </w:rPr>
        <w:lastRenderedPageBreak/>
        <w:t>relationships—customers have one-to-many relationships with orders, orders contain multiple order lines, and addresses link to country data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2002). This benchmark architecture scales database size proportionally to workload intensity through fixed multipliers: 2,880 customer records per emulated browser, with dependent tables scaling at defined ratios (addresses at 2×, orders at 0.9×, order lines at 3× orders)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w:t>
      </w:r>
      <w:r w:rsidR="00126B41" w:rsidRPr="00126B41">
        <w:rPr>
          <w:rFonts w:ascii="Times New Roman" w:hAnsi="Times New Roman" w:cs="Times New Roman"/>
          <w:sz w:val="28"/>
          <w:szCs w:val="28"/>
        </w:rPr>
        <w:t>2002) (</w:t>
      </w:r>
      <w:r w:rsidRPr="00126B41">
        <w:rPr>
          <w:rFonts w:ascii="Times New Roman" w:hAnsi="Times New Roman" w:cs="Times New Roman"/>
          <w:sz w:val="28"/>
          <w:szCs w:val="28"/>
        </w:rPr>
        <w:t>Smith, 2000). TPCW specifies five valid scale factors—1K, 10K, 100K, 1M, and 10M items—ensuring comparable results only within identical scales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2002).</w:t>
      </w:r>
      <w:r w:rsidRPr="00126B41">
        <w:rPr>
          <w:rFonts w:ascii="Times New Roman" w:hAnsi="Times New Roman" w:cs="Times New Roman"/>
          <w:sz w:val="28"/>
          <w:szCs w:val="28"/>
        </w:rPr>
        <w:t xml:space="preserve"> </w:t>
      </w:r>
    </w:p>
    <w:p w14:paraId="77852FDF" w14:textId="19C8BFAC"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This study simplifies to five core tables (Categories, Customers, Products, Orders, </w:t>
      </w:r>
      <w:proofErr w:type="spellStart"/>
      <w:r w:rsidRPr="00126B41">
        <w:rPr>
          <w:rFonts w:ascii="Times New Roman" w:hAnsi="Times New Roman" w:cs="Times New Roman"/>
          <w:sz w:val="28"/>
          <w:szCs w:val="28"/>
        </w:rPr>
        <w:t>Order_Items</w:t>
      </w:r>
      <w:proofErr w:type="spellEnd"/>
      <w:r w:rsidRPr="00126B41">
        <w:rPr>
          <w:rFonts w:ascii="Times New Roman" w:hAnsi="Times New Roman" w:cs="Times New Roman"/>
          <w:sz w:val="28"/>
          <w:szCs w:val="28"/>
        </w:rPr>
        <w:t xml:space="preserve">) while preserving essential e-commerce relationships and scaling principles. The ~787K total record distribution reflects startup-realistic constraints documented in industry research: 65% of </w:t>
      </w:r>
      <w:proofErr w:type="spellStart"/>
      <w:r w:rsidRPr="00126B41">
        <w:rPr>
          <w:rFonts w:ascii="Times New Roman" w:hAnsi="Times New Roman" w:cs="Times New Roman"/>
          <w:sz w:val="28"/>
          <w:szCs w:val="28"/>
        </w:rPr>
        <w:t>earlystage</w:t>
      </w:r>
      <w:proofErr w:type="spellEnd"/>
      <w:r w:rsidRPr="00126B41">
        <w:rPr>
          <w:rFonts w:ascii="Times New Roman" w:hAnsi="Times New Roman" w:cs="Times New Roman"/>
          <w:sz w:val="28"/>
          <w:szCs w:val="28"/>
        </w:rPr>
        <w:t xml:space="preserve"> companies manage databases under 100GB, with 76% operating read-heavy or balanced workloads emphasizing short-lived queries (Springtail). The dataset comprises 50 categories, 12,000 products, 25,000 customers, 250,000 orders, and 500,000 order items—proportions aligned with TPC-W’s scaling guidance but sized for organizations with</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1–50 employees managing single-digit gigabyte databases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w:t>
      </w:r>
      <w:r w:rsidR="00126B41" w:rsidRPr="00126B41">
        <w:rPr>
          <w:rFonts w:ascii="Times New Roman" w:hAnsi="Times New Roman" w:cs="Times New Roman"/>
          <w:sz w:val="28"/>
          <w:szCs w:val="28"/>
        </w:rPr>
        <w:t>2002) (</w:t>
      </w:r>
      <w:r w:rsidRPr="00126B41">
        <w:rPr>
          <w:rFonts w:ascii="Times New Roman" w:hAnsi="Times New Roman" w:cs="Times New Roman"/>
          <w:sz w:val="28"/>
          <w:szCs w:val="28"/>
        </w:rPr>
        <w:t xml:space="preserve">Springtail). </w:t>
      </w:r>
    </w:p>
    <w:p w14:paraId="1BA88F43"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Real-world design of an e-commerce database goes beyond benchmark minimums to support complete business processes. Research identifies ten components of the logical package, including user accounts with session tracking, dynamic </w:t>
      </w:r>
      <w:proofErr w:type="spellStart"/>
      <w:r w:rsidRPr="00126B41">
        <w:rPr>
          <w:rFonts w:ascii="Times New Roman" w:hAnsi="Times New Roman" w:cs="Times New Roman"/>
          <w:sz w:val="28"/>
          <w:szCs w:val="28"/>
        </w:rPr>
        <w:t>catalog</w:t>
      </w:r>
      <w:proofErr w:type="spellEnd"/>
      <w:r w:rsidRPr="00126B41">
        <w:rPr>
          <w:rFonts w:ascii="Times New Roman" w:hAnsi="Times New Roman" w:cs="Times New Roman"/>
          <w:sz w:val="28"/>
          <w:szCs w:val="28"/>
        </w:rPr>
        <w:t xml:space="preserve"> management buffer vendor variations, state </w:t>
      </w:r>
      <w:proofErr w:type="spellStart"/>
      <w:r w:rsidRPr="00126B41">
        <w:rPr>
          <w:rFonts w:ascii="Times New Roman" w:hAnsi="Times New Roman" w:cs="Times New Roman"/>
          <w:sz w:val="28"/>
          <w:szCs w:val="28"/>
        </w:rPr>
        <w:t>modeling</w:t>
      </w:r>
      <w:proofErr w:type="spellEnd"/>
      <w:r w:rsidRPr="00126B41">
        <w:rPr>
          <w:rFonts w:ascii="Times New Roman" w:hAnsi="Times New Roman" w:cs="Times New Roman"/>
          <w:sz w:val="28"/>
          <w:szCs w:val="28"/>
        </w:rPr>
        <w:t xml:space="preserve"> of the shopping cart, comprehensive </w:t>
      </w:r>
      <w:proofErr w:type="spellStart"/>
      <w:r w:rsidRPr="00126B41">
        <w:rPr>
          <w:rFonts w:ascii="Times New Roman" w:hAnsi="Times New Roman" w:cs="Times New Roman"/>
          <w:sz w:val="28"/>
          <w:szCs w:val="28"/>
        </w:rPr>
        <w:t>orderinvoice</w:t>
      </w:r>
      <w:proofErr w:type="spellEnd"/>
      <w:r w:rsidRPr="00126B41">
        <w:rPr>
          <w:rFonts w:ascii="Times New Roman" w:hAnsi="Times New Roman" w:cs="Times New Roman"/>
          <w:sz w:val="28"/>
          <w:szCs w:val="28"/>
        </w:rPr>
        <w:t xml:space="preserve">-payment workflows, customer service feedback systems and price comparison agents (Song and Whang, 2000). The canonical schema balances normalization with performance through surrogate keys preventing data change cascades, intentional denormalization where business logic demands (statistical attributes in parent tables, foreign key constraints selectively omitted), and weak entity patterns for complete audit trails (Song and Whang, 2000). This approach prioritizes operational simplicity—74% of startups operate single primary databases without complex sharding—while maintaining flexibility for the eight-stage value chain (attract, interact, transact, pay, deliver, personalize, service, customize) critical to e-commerce operations (Springtail). </w:t>
      </w:r>
    </w:p>
    <w:p w14:paraId="30FFBEB4" w14:textId="77777777" w:rsidR="00154EEB"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lastRenderedPageBreak/>
        <w:t xml:space="preserve">Premature scaling introduces commitment risk that increases failure rates 20-40% when initiated within six months of founding (Lee and Kim, 2024). Early scalers lacking A/B testing experimentation account for elevated failure odds, as hasty resource commitment curtails learning and traps organizations in poor product-market fit scenarios (Lee and Kim, 2024). The study’s startup-scale dataset avoids this trap by aligning size with early-stage operational patterns: preference for managed cloud services (88% adoption), failover-focused replication rather than complex read scaling, and simple application connectivity (53% connect only 1-2 applications) (Springtail). This configuration provides sufficient complexity to test realistic query patterns while maintaining resource constraints characteristic of organizations four years pre-scaling when administrative demands still match founding team capacity (Springtail). </w:t>
      </w:r>
    </w:p>
    <w:p w14:paraId="6C3F1A9C" w14:textId="18E8C068" w:rsidR="00154EEB" w:rsidRPr="009C1D9F" w:rsidRDefault="00154EEB"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Data Generation and Loading </w:t>
      </w:r>
    </w:p>
    <w:p w14:paraId="2AAB153E" w14:textId="77777777" w:rsidR="00594D87" w:rsidRPr="00126B41" w:rsidRDefault="00154EEB"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Synthetic data generation addresses fundamental benchmark limitations. Research demonstrates that concentrated benchmarking on limited datasets encourages overfitting through hyperparameter optimization targeting test artifacts rather than generalizable patterns (Longjohn, Kelly, Singh and Smyth, 2024). Documented failures include Iris dataset version inconsistencies producing incomparable results, BUPA’s misidentified class labels generating meaningless outcomes, and </w:t>
      </w:r>
      <w:proofErr w:type="spellStart"/>
      <w:r w:rsidRPr="00126B41">
        <w:rPr>
          <w:rFonts w:ascii="Times New Roman" w:hAnsi="Times New Roman" w:cs="Times New Roman"/>
          <w:sz w:val="28"/>
          <w:szCs w:val="28"/>
        </w:rPr>
        <w:t>Statlog’s</w:t>
      </w:r>
      <w:proofErr w:type="spellEnd"/>
      <w:r w:rsidRPr="00126B41">
        <w:rPr>
          <w:rFonts w:ascii="Times New Roman" w:hAnsi="Times New Roman" w:cs="Times New Roman"/>
          <w:sz w:val="28"/>
          <w:szCs w:val="28"/>
        </w:rPr>
        <w:t xml:space="preserve"> documentation errors persisting 25 years across thousands of citations (</w:t>
      </w:r>
      <w:proofErr w:type="spellStart"/>
      <w:r w:rsidRPr="00126B41">
        <w:rPr>
          <w:rFonts w:ascii="Times New Roman" w:hAnsi="Times New Roman" w:cs="Times New Roman"/>
          <w:sz w:val="28"/>
          <w:szCs w:val="28"/>
        </w:rPr>
        <w:t>Blagec</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Kraiger</w:t>
      </w:r>
      <w:proofErr w:type="spellEnd"/>
      <w:r w:rsidRPr="00126B41">
        <w:rPr>
          <w:rFonts w:ascii="Times New Roman" w:hAnsi="Times New Roman" w:cs="Times New Roman"/>
          <w:sz w:val="28"/>
          <w:szCs w:val="28"/>
        </w:rPr>
        <w:t xml:space="preserve">, Frühwirt and </w:t>
      </w:r>
      <w:proofErr w:type="spellStart"/>
      <w:r w:rsidRPr="00126B41">
        <w:rPr>
          <w:rFonts w:ascii="Times New Roman" w:hAnsi="Times New Roman" w:cs="Times New Roman"/>
          <w:sz w:val="28"/>
          <w:szCs w:val="28"/>
        </w:rPr>
        <w:t>Samwald</w:t>
      </w:r>
      <w:proofErr w:type="spellEnd"/>
      <w:r w:rsidRPr="00126B41">
        <w:rPr>
          <w:rFonts w:ascii="Times New Roman" w:hAnsi="Times New Roman" w:cs="Times New Roman"/>
          <w:sz w:val="28"/>
          <w:szCs w:val="28"/>
        </w:rPr>
        <w:t xml:space="preserve">, 2023). TPC-W’s Customer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Model Graph provides only partial user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representation, failing to model dynamic role transitions between browsing and purchasing within single sessions (Pena-Ortiz, Gil, </w:t>
      </w:r>
      <w:proofErr w:type="spellStart"/>
      <w:r w:rsidRPr="00126B41">
        <w:rPr>
          <w:rFonts w:ascii="Times New Roman" w:hAnsi="Times New Roman" w:cs="Times New Roman"/>
          <w:sz w:val="28"/>
          <w:szCs w:val="28"/>
        </w:rPr>
        <w:t>Sahuquillo</w:t>
      </w:r>
      <w:proofErr w:type="spellEnd"/>
      <w:r w:rsidRPr="00126B41">
        <w:rPr>
          <w:rFonts w:ascii="Times New Roman" w:hAnsi="Times New Roman" w:cs="Times New Roman"/>
          <w:sz w:val="28"/>
          <w:szCs w:val="28"/>
        </w:rPr>
        <w:t xml:space="preserve"> and Pont, 2012). The benchmark generates fixed patterns reflecting Web 1.0 passive consumers rather than Web 2.0’s participative contributors,</w:t>
      </w:r>
      <w:r w:rsidR="00594D87" w:rsidRPr="00126B41">
        <w:rPr>
          <w:rFonts w:ascii="Times New Roman" w:hAnsi="Times New Roman" w:cs="Times New Roman"/>
          <w:sz w:val="28"/>
          <w:szCs w:val="28"/>
        </w:rPr>
        <w:t xml:space="preserve"> </w:t>
      </w:r>
      <w:r w:rsidR="00594D87" w:rsidRPr="00126B41">
        <w:rPr>
          <w:rFonts w:ascii="Times New Roman" w:hAnsi="Times New Roman" w:cs="Times New Roman"/>
          <w:sz w:val="28"/>
          <w:szCs w:val="28"/>
        </w:rPr>
        <w:t>with workloads differing from production systems by orders of magnitude—TPC-C eliminates idle time while real systems exhibit diurnal variation with distinct load concentrations (</w:t>
      </w:r>
      <w:proofErr w:type="spellStart"/>
      <w:r w:rsidR="00594D87" w:rsidRPr="00126B41">
        <w:rPr>
          <w:rFonts w:ascii="Times New Roman" w:hAnsi="Times New Roman" w:cs="Times New Roman"/>
          <w:sz w:val="28"/>
          <w:szCs w:val="28"/>
        </w:rPr>
        <w:t>Kavalanekar</w:t>
      </w:r>
      <w:proofErr w:type="spellEnd"/>
      <w:r w:rsidR="00594D87" w:rsidRPr="00126B41">
        <w:rPr>
          <w:rFonts w:ascii="Times New Roman" w:hAnsi="Times New Roman" w:cs="Times New Roman"/>
          <w:sz w:val="28"/>
          <w:szCs w:val="28"/>
        </w:rPr>
        <w:t xml:space="preserve">, Narayanan, Sankar, </w:t>
      </w:r>
      <w:proofErr w:type="spellStart"/>
      <w:r w:rsidR="00594D87" w:rsidRPr="00126B41">
        <w:rPr>
          <w:rFonts w:ascii="Times New Roman" w:hAnsi="Times New Roman" w:cs="Times New Roman"/>
          <w:sz w:val="28"/>
          <w:szCs w:val="28"/>
        </w:rPr>
        <w:t>Thereska</w:t>
      </w:r>
      <w:proofErr w:type="spellEnd"/>
      <w:r w:rsidR="00594D87" w:rsidRPr="00126B41">
        <w:rPr>
          <w:rFonts w:ascii="Times New Roman" w:hAnsi="Times New Roman" w:cs="Times New Roman"/>
          <w:sz w:val="28"/>
          <w:szCs w:val="28"/>
        </w:rPr>
        <w:t xml:space="preserve">, Vaid and Worthington, 2009). </w:t>
      </w:r>
    </w:p>
    <w:p w14:paraId="31D73A8D"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Existing e-commerce benchmarks focus on basic intents (product finding, purchasing) while real users pursue complex goals requiring multi-step reasoning: voucher optimization, budget satisfaction, shipping qualification (Wang, Xiao, Sun, Zhao, Luo, Zhang and Zeng, 2025). This study’s synthetic framework employs fixed seed (42) for reproducibility while implementing </w:t>
      </w:r>
      <w:r w:rsidRPr="00126B41">
        <w:rPr>
          <w:rFonts w:ascii="Times New Roman" w:hAnsi="Times New Roman" w:cs="Times New Roman"/>
          <w:sz w:val="28"/>
          <w:szCs w:val="28"/>
        </w:rPr>
        <w:lastRenderedPageBreak/>
        <w:t xml:space="preserve">realistic distributions—50 categories reflecting taxonomy depth, customer-to-order ratios </w:t>
      </w:r>
      <w:proofErr w:type="spellStart"/>
      <w:r w:rsidRPr="00126B41">
        <w:rPr>
          <w:rFonts w:ascii="Times New Roman" w:hAnsi="Times New Roman" w:cs="Times New Roman"/>
          <w:sz w:val="28"/>
          <w:szCs w:val="28"/>
        </w:rPr>
        <w:t>modeling</w:t>
      </w:r>
      <w:proofErr w:type="spellEnd"/>
      <w:r w:rsidRPr="00126B41">
        <w:rPr>
          <w:rFonts w:ascii="Times New Roman" w:hAnsi="Times New Roman" w:cs="Times New Roman"/>
          <w:sz w:val="28"/>
          <w:szCs w:val="28"/>
        </w:rPr>
        <w:t xml:space="preserve"> repeat purchases (25K customers generating 250K orders), and order-to-item distributions capturing basket sizes (500K items averaging 2 per transaction)—capturing workload features absent from fixed TPC-W datasets (Wang et al., 2025). </w:t>
      </w:r>
    </w:p>
    <w:p w14:paraId="4B61ADF2" w14:textId="35B475E6"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Data loading employed database-native approaches: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 utilized Python-driven CSV generation with </w:t>
      </w:r>
      <w:proofErr w:type="spellStart"/>
      <w:r w:rsidRPr="00126B41">
        <w:rPr>
          <w:rFonts w:ascii="Times New Roman" w:hAnsi="Times New Roman" w:cs="Times New Roman"/>
          <w:sz w:val="28"/>
          <w:szCs w:val="28"/>
        </w:rPr>
        <w:t>pgAdmin</w:t>
      </w:r>
      <w:proofErr w:type="spellEnd"/>
      <w:r w:rsidRPr="00126B41">
        <w:rPr>
          <w:rFonts w:ascii="Times New Roman" w:hAnsi="Times New Roman" w:cs="Times New Roman"/>
          <w:sz w:val="28"/>
          <w:szCs w:val="28"/>
        </w:rPr>
        <w:t xml:space="preserve"> bulk import; MongoDB leveraged Compass GUI for direct JSON import; </w:t>
      </w:r>
      <w:proofErr w:type="spellStart"/>
      <w:r w:rsidRPr="00126B41">
        <w:rPr>
          <w:rFonts w:ascii="Times New Roman" w:hAnsi="Times New Roman" w:cs="Times New Roman"/>
          <w:sz w:val="28"/>
          <w:szCs w:val="28"/>
        </w:rPr>
        <w:t>AstraDB</w:t>
      </w:r>
      <w:proofErr w:type="spellEnd"/>
      <w:r w:rsidRPr="00126B41">
        <w:rPr>
          <w:rFonts w:ascii="Times New Roman" w:hAnsi="Times New Roman" w:cs="Times New Roman"/>
          <w:sz w:val="28"/>
          <w:szCs w:val="28"/>
        </w:rPr>
        <w:t xml:space="preserve"> required hybrid methodology with </w:t>
      </w:r>
      <w:proofErr w:type="spellStart"/>
      <w:r w:rsidRPr="00126B41">
        <w:rPr>
          <w:rFonts w:ascii="Times New Roman" w:hAnsi="Times New Roman" w:cs="Times New Roman"/>
          <w:sz w:val="28"/>
          <w:szCs w:val="28"/>
        </w:rPr>
        <w:t>cassandra</w:t>
      </w:r>
      <w:proofErr w:type="spellEnd"/>
      <w:r w:rsidRPr="00126B41">
        <w:rPr>
          <w:rFonts w:ascii="Times New Roman" w:hAnsi="Times New Roman" w:cs="Times New Roman"/>
          <w:sz w:val="28"/>
          <w:szCs w:val="28"/>
        </w:rPr>
        <w:t xml:space="preserve">-driver achieving 500–600 rows/second via </w:t>
      </w:r>
      <w:proofErr w:type="spellStart"/>
      <w:r w:rsidRPr="00126B41">
        <w:rPr>
          <w:rFonts w:ascii="Times New Roman" w:hAnsi="Times New Roman" w:cs="Times New Roman"/>
          <w:sz w:val="28"/>
          <w:szCs w:val="28"/>
        </w:rPr>
        <w:t>execute_concurrent_with_args</w:t>
      </w:r>
      <w:proofErr w:type="spellEnd"/>
      <w:r w:rsidRPr="00126B41">
        <w:rPr>
          <w:rFonts w:ascii="Times New Roman" w:hAnsi="Times New Roman" w:cs="Times New Roman"/>
          <w:sz w:val="28"/>
          <w:szCs w:val="28"/>
        </w:rPr>
        <w:t xml:space="preserve">. All databases loaded ~787K records sequentially (Categories → Customers → Products → Orders → </w:t>
      </w:r>
      <w:proofErr w:type="spellStart"/>
      <w:r w:rsidRPr="00126B41">
        <w:rPr>
          <w:rFonts w:ascii="Times New Roman" w:hAnsi="Times New Roman" w:cs="Times New Roman"/>
          <w:sz w:val="28"/>
          <w:szCs w:val="28"/>
        </w:rPr>
        <w:t>Order_Items</w:t>
      </w:r>
      <w:proofErr w:type="spellEnd"/>
      <w:r w:rsidRPr="00126B41">
        <w:rPr>
          <w:rFonts w:ascii="Times New Roman" w:hAnsi="Times New Roman" w:cs="Times New Roman"/>
          <w:sz w:val="28"/>
          <w:szCs w:val="28"/>
        </w:rPr>
        <w:t xml:space="preserve">) within 5 minutes for relational systems, 25–30 minutes for distributed </w:t>
      </w:r>
      <w:proofErr w:type="spellStart"/>
      <w:r w:rsidRPr="00126B41">
        <w:rPr>
          <w:rFonts w:ascii="Times New Roman" w:hAnsi="Times New Roman" w:cs="Times New Roman"/>
          <w:sz w:val="28"/>
          <w:szCs w:val="28"/>
        </w:rPr>
        <w:t>AstraDB</w:t>
      </w:r>
      <w:proofErr w:type="spellEnd"/>
      <w:r w:rsidRPr="00126B41">
        <w:rPr>
          <w:rFonts w:ascii="Times New Roman" w:hAnsi="Times New Roman" w:cs="Times New Roman"/>
          <w:sz w:val="28"/>
          <w:szCs w:val="28"/>
        </w:rPr>
        <w:t xml:space="preserve">. Critical challenges included PostgreSQL nullable integer type errors requiring pandas Int64 </w:t>
      </w:r>
      <w:proofErr w:type="spellStart"/>
      <w:r w:rsidRPr="00126B41">
        <w:rPr>
          <w:rFonts w:ascii="Times New Roman" w:hAnsi="Times New Roman" w:cs="Times New Roman"/>
          <w:sz w:val="28"/>
          <w:szCs w:val="28"/>
        </w:rPr>
        <w:t>dtype</w:t>
      </w:r>
      <w:proofErr w:type="spellEnd"/>
      <w:r w:rsidRPr="00126B41">
        <w:rPr>
          <w:rFonts w:ascii="Times New Roman" w:hAnsi="Times New Roman" w:cs="Times New Roman"/>
          <w:sz w:val="28"/>
          <w:szCs w:val="28"/>
        </w:rPr>
        <w:t xml:space="preserve">, </w:t>
      </w:r>
      <w:r w:rsidR="00126B41" w:rsidRPr="00126B41">
        <w:rPr>
          <w:rFonts w:ascii="Times New Roman" w:hAnsi="Times New Roman" w:cs="Times New Roman"/>
          <w:sz w:val="28"/>
          <w:szCs w:val="28"/>
        </w:rPr>
        <w:t>TEXT [</w:t>
      </w:r>
      <w:r w:rsidRPr="00126B41">
        <w:rPr>
          <w:rFonts w:ascii="Times New Roman" w:hAnsi="Times New Roman" w:cs="Times New Roman"/>
          <w:sz w:val="28"/>
          <w:szCs w:val="28"/>
        </w:rPr>
        <w:t xml:space="preserve">] array formatting requiring custom escaping, JSON serialization via </w:t>
      </w:r>
      <w:proofErr w:type="spellStart"/>
      <w:proofErr w:type="gramStart"/>
      <w:r w:rsidRPr="00126B41">
        <w:rPr>
          <w:rFonts w:ascii="Times New Roman" w:hAnsi="Times New Roman" w:cs="Times New Roman"/>
          <w:sz w:val="28"/>
          <w:szCs w:val="28"/>
        </w:rPr>
        <w:t>json.dumps</w:t>
      </w:r>
      <w:proofErr w:type="spellEnd"/>
      <w:proofErr w:type="gramEnd"/>
      <w:r w:rsidRPr="00126B41">
        <w:rPr>
          <w:rFonts w:ascii="Times New Roman" w:hAnsi="Times New Roman" w:cs="Times New Roman"/>
          <w:sz w:val="28"/>
          <w:szCs w:val="28"/>
        </w:rPr>
        <w:t xml:space="preserve">(), and post-import sequence synchronization. </w:t>
      </w:r>
      <w:proofErr w:type="spellStart"/>
      <w:r w:rsidRPr="00126B41">
        <w:rPr>
          <w:rFonts w:ascii="Times New Roman" w:hAnsi="Times New Roman" w:cs="Times New Roman"/>
          <w:sz w:val="28"/>
          <w:szCs w:val="28"/>
        </w:rPr>
        <w:t>AstraDB</w:t>
      </w:r>
      <w:proofErr w:type="spellEnd"/>
      <w:r w:rsidRPr="00126B41">
        <w:rPr>
          <w:rFonts w:ascii="Times New Roman" w:hAnsi="Times New Roman" w:cs="Times New Roman"/>
          <w:sz w:val="28"/>
          <w:szCs w:val="28"/>
        </w:rPr>
        <w:t xml:space="preserve"> omitted SET tags due to Windows CMD limitations and employed dynamic schema introspection for cross-phase portability. Verification occurred through </w:t>
      </w:r>
      <w:proofErr w:type="spellStart"/>
      <w:r w:rsidRPr="00126B41">
        <w:rPr>
          <w:rFonts w:ascii="Times New Roman" w:hAnsi="Times New Roman" w:cs="Times New Roman"/>
          <w:sz w:val="28"/>
          <w:szCs w:val="28"/>
        </w:rPr>
        <w:t>UIbased</w:t>
      </w:r>
      <w:proofErr w:type="spellEnd"/>
      <w:r w:rsidRPr="00126B41">
        <w:rPr>
          <w:rFonts w:ascii="Times New Roman" w:hAnsi="Times New Roman" w:cs="Times New Roman"/>
          <w:sz w:val="28"/>
          <w:szCs w:val="28"/>
        </w:rPr>
        <w:t xml:space="preserve"> row counts and CQL commands confirming dataset integrity before benchmark execution. </w:t>
      </w:r>
    </w:p>
    <w:p w14:paraId="25855E1D" w14:textId="27D1063B" w:rsidR="00594D87" w:rsidRPr="009C1D9F" w:rsidRDefault="00594D87"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Phase-Specific Index Profiles </w:t>
      </w:r>
    </w:p>
    <w:p w14:paraId="0B7031B9"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Database indexes accelerate read operations through efficient data pathways but impose maintenance overhead during writes—a trade-off critical for resource-constrained startups. This study employs phase-specific index profiles aligning with distinct workload characteristics rather than uniform indexing strategies. </w:t>
      </w:r>
    </w:p>
    <w:p w14:paraId="58C56D5D"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The read-optimized phase applies comprehensive indexing supporting common e-commerce patterns: composite indexes (</w:t>
      </w:r>
      <w:proofErr w:type="spellStart"/>
      <w:r w:rsidRPr="00126B41">
        <w:rPr>
          <w:rFonts w:ascii="Times New Roman" w:hAnsi="Times New Roman" w:cs="Times New Roman"/>
          <w:sz w:val="28"/>
          <w:szCs w:val="28"/>
        </w:rPr>
        <w:t>category_id</w:t>
      </w:r>
      <w:proofErr w:type="spellEnd"/>
      <w:r w:rsidRPr="00126B41">
        <w:rPr>
          <w:rFonts w:ascii="Times New Roman" w:hAnsi="Times New Roman" w:cs="Times New Roman"/>
          <w:sz w:val="28"/>
          <w:szCs w:val="28"/>
        </w:rPr>
        <w:t>, price DESC) for sorted category browsing and (</w:t>
      </w:r>
      <w:proofErr w:type="spellStart"/>
      <w:r w:rsidRPr="00126B41">
        <w:rPr>
          <w:rFonts w:ascii="Times New Roman" w:hAnsi="Times New Roman" w:cs="Times New Roman"/>
          <w:sz w:val="28"/>
          <w:szCs w:val="28"/>
        </w:rPr>
        <w:t>customer_id</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order_date</w:t>
      </w:r>
      <w:proofErr w:type="spellEnd"/>
      <w:r w:rsidRPr="00126B41">
        <w:rPr>
          <w:rFonts w:ascii="Times New Roman" w:hAnsi="Times New Roman" w:cs="Times New Roman"/>
          <w:sz w:val="28"/>
          <w:szCs w:val="28"/>
        </w:rPr>
        <w:t xml:space="preserve"> DESC) for recent order history; single-column indexes on popularity for top product lists, </w:t>
      </w:r>
      <w:proofErr w:type="spellStart"/>
      <w:r w:rsidRPr="00126B41">
        <w:rPr>
          <w:rFonts w:ascii="Times New Roman" w:hAnsi="Times New Roman" w:cs="Times New Roman"/>
          <w:sz w:val="28"/>
          <w:szCs w:val="28"/>
        </w:rPr>
        <w:t>name_lc</w:t>
      </w:r>
      <w:proofErr w:type="spellEnd"/>
      <w:r w:rsidRPr="00126B41">
        <w:rPr>
          <w:rFonts w:ascii="Times New Roman" w:hAnsi="Times New Roman" w:cs="Times New Roman"/>
          <w:sz w:val="28"/>
          <w:szCs w:val="28"/>
        </w:rPr>
        <w:t xml:space="preserve"> for case-insensitive searches; unique constraints on </w:t>
      </w:r>
      <w:proofErr w:type="spellStart"/>
      <w:r w:rsidRPr="00126B41">
        <w:rPr>
          <w:rFonts w:ascii="Times New Roman" w:hAnsi="Times New Roman" w:cs="Times New Roman"/>
          <w:sz w:val="28"/>
          <w:szCs w:val="28"/>
        </w:rPr>
        <w:t>sku_lc</w:t>
      </w:r>
      <w:proofErr w:type="spellEnd"/>
      <w:r w:rsidRPr="00126B41">
        <w:rPr>
          <w:rFonts w:ascii="Times New Roman" w:hAnsi="Times New Roman" w:cs="Times New Roman"/>
          <w:sz w:val="28"/>
          <w:szCs w:val="28"/>
        </w:rPr>
        <w:t xml:space="preserve"> and </w:t>
      </w:r>
      <w:proofErr w:type="spellStart"/>
      <w:r w:rsidRPr="00126B41">
        <w:rPr>
          <w:rFonts w:ascii="Times New Roman" w:hAnsi="Times New Roman" w:cs="Times New Roman"/>
          <w:sz w:val="28"/>
          <w:szCs w:val="28"/>
        </w:rPr>
        <w:t>email_lc</w:t>
      </w:r>
      <w:proofErr w:type="spellEnd"/>
      <w:r w:rsidRPr="00126B41">
        <w:rPr>
          <w:rFonts w:ascii="Times New Roman" w:hAnsi="Times New Roman" w:cs="Times New Roman"/>
          <w:sz w:val="28"/>
          <w:szCs w:val="28"/>
        </w:rPr>
        <w:t xml:space="preserve"> for data integrity. This configuration tests maximum query performance when systems prioritize retrieval operations. </w:t>
      </w:r>
    </w:p>
    <w:p w14:paraId="440BA18F"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The write-minimized phase retains only business-critical uniqueness constraints (</w:t>
      </w:r>
      <w:proofErr w:type="spellStart"/>
      <w:r w:rsidRPr="00126B41">
        <w:rPr>
          <w:rFonts w:ascii="Times New Roman" w:hAnsi="Times New Roman" w:cs="Times New Roman"/>
          <w:sz w:val="28"/>
          <w:szCs w:val="28"/>
        </w:rPr>
        <w:t>email_lc</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sku_lc</w:t>
      </w:r>
      <w:proofErr w:type="spellEnd"/>
      <w:r w:rsidRPr="00126B41">
        <w:rPr>
          <w:rFonts w:ascii="Times New Roman" w:hAnsi="Times New Roman" w:cs="Times New Roman"/>
          <w:sz w:val="28"/>
          <w:szCs w:val="28"/>
        </w:rPr>
        <w:t xml:space="preserve">) and minimal </w:t>
      </w:r>
      <w:proofErr w:type="spellStart"/>
      <w:r w:rsidRPr="00126B41">
        <w:rPr>
          <w:rFonts w:ascii="Times New Roman" w:hAnsi="Times New Roman" w:cs="Times New Roman"/>
          <w:sz w:val="28"/>
          <w:szCs w:val="28"/>
        </w:rPr>
        <w:t>order_</w:t>
      </w:r>
      <w:proofErr w:type="gramStart"/>
      <w:r w:rsidRPr="00126B41">
        <w:rPr>
          <w:rFonts w:ascii="Times New Roman" w:hAnsi="Times New Roman" w:cs="Times New Roman"/>
          <w:sz w:val="28"/>
          <w:szCs w:val="28"/>
        </w:rPr>
        <w:t>items.order</w:t>
      </w:r>
      <w:proofErr w:type="gramEnd"/>
      <w:r w:rsidRPr="00126B41">
        <w:rPr>
          <w:rFonts w:ascii="Times New Roman" w:hAnsi="Times New Roman" w:cs="Times New Roman"/>
          <w:sz w:val="28"/>
          <w:szCs w:val="28"/>
        </w:rPr>
        <w:t>_id</w:t>
      </w:r>
      <w:proofErr w:type="spellEnd"/>
      <w:r w:rsidRPr="00126B41">
        <w:rPr>
          <w:rFonts w:ascii="Times New Roman" w:hAnsi="Times New Roman" w:cs="Times New Roman"/>
          <w:sz w:val="28"/>
          <w:szCs w:val="28"/>
        </w:rPr>
        <w:t xml:space="preserve"> index for order assembly, eliminating all read-optimization composites. This reduction </w:t>
      </w:r>
      <w:r w:rsidRPr="00126B41">
        <w:rPr>
          <w:rFonts w:ascii="Times New Roman" w:hAnsi="Times New Roman" w:cs="Times New Roman"/>
          <w:sz w:val="28"/>
          <w:szCs w:val="28"/>
        </w:rPr>
        <w:lastRenderedPageBreak/>
        <w:t>isolates pure</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 xml:space="preserve">write performance without index maintenance amplification during insert, update, and delete operations. </w:t>
      </w:r>
    </w:p>
    <w:p w14:paraId="30F3365D" w14:textId="42241769"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The balanced phase restores key composite indexes</w:t>
      </w:r>
      <w:r w:rsidR="00126B41" w:rsidRPr="00126B41">
        <w:rPr>
          <w:rFonts w:ascii="Times New Roman" w:hAnsi="Times New Roman" w:cs="Times New Roman"/>
          <w:sz w:val="28"/>
          <w:szCs w:val="28"/>
        </w:rPr>
        <w:t>— (</w:t>
      </w:r>
      <w:proofErr w:type="spellStart"/>
      <w:r w:rsidRPr="00126B41">
        <w:rPr>
          <w:rFonts w:ascii="Times New Roman" w:hAnsi="Times New Roman" w:cs="Times New Roman"/>
          <w:sz w:val="28"/>
          <w:szCs w:val="28"/>
        </w:rPr>
        <w:t>category_id</w:t>
      </w:r>
      <w:proofErr w:type="spellEnd"/>
      <w:r w:rsidRPr="00126B41">
        <w:rPr>
          <w:rFonts w:ascii="Times New Roman" w:hAnsi="Times New Roman" w:cs="Times New Roman"/>
          <w:sz w:val="28"/>
          <w:szCs w:val="28"/>
        </w:rPr>
        <w:t>, price DESC) and (</w:t>
      </w:r>
      <w:proofErr w:type="spellStart"/>
      <w:r w:rsidRPr="00126B41">
        <w:rPr>
          <w:rFonts w:ascii="Times New Roman" w:hAnsi="Times New Roman" w:cs="Times New Roman"/>
          <w:sz w:val="28"/>
          <w:szCs w:val="28"/>
        </w:rPr>
        <w:t>customer_id</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order_date</w:t>
      </w:r>
      <w:proofErr w:type="spellEnd"/>
      <w:r w:rsidRPr="00126B41">
        <w:rPr>
          <w:rFonts w:ascii="Times New Roman" w:hAnsi="Times New Roman" w:cs="Times New Roman"/>
          <w:sz w:val="28"/>
          <w:szCs w:val="28"/>
        </w:rPr>
        <w:t xml:space="preserve"> DESC)—plus lightweight single-column indexes (popularity DESC, </w:t>
      </w:r>
      <w:proofErr w:type="spellStart"/>
      <w:r w:rsidRPr="00126B41">
        <w:rPr>
          <w:rFonts w:ascii="Times New Roman" w:hAnsi="Times New Roman" w:cs="Times New Roman"/>
          <w:sz w:val="28"/>
          <w:szCs w:val="28"/>
        </w:rPr>
        <w:t>name_lc</w:t>
      </w:r>
      <w:proofErr w:type="spellEnd"/>
      <w:r w:rsidRPr="00126B41">
        <w:rPr>
          <w:rFonts w:ascii="Times New Roman" w:hAnsi="Times New Roman" w:cs="Times New Roman"/>
          <w:sz w:val="28"/>
          <w:szCs w:val="28"/>
        </w:rPr>
        <w:t xml:space="preserve">) supporting the 65/35 read-write workload mix. This configuration maintains common read path efficiency while limiting write overhead to truly useful indexes, reflecting realistic startup operational patterns where applications simultaneously serve browsing traffic and transaction processing. </w:t>
      </w:r>
    </w:p>
    <w:p w14:paraId="346403FD" w14:textId="5F3FA605" w:rsidR="00594D87" w:rsidRPr="009C1D9F" w:rsidRDefault="00594D87"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Read Phase Methodology </w:t>
      </w:r>
    </w:p>
    <w:p w14:paraId="452879B3"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read query selection reflects realistic e-commerce user interactions documented in established benchmarks and </w:t>
      </w:r>
      <w:proofErr w:type="spellStart"/>
      <w:r w:rsidRPr="00126B41">
        <w:rPr>
          <w:rFonts w:ascii="Times New Roman" w:hAnsi="Times New Roman" w:cs="Times New Roman"/>
          <w:sz w:val="28"/>
          <w:szCs w:val="28"/>
        </w:rPr>
        <w:t>behavioral</w:t>
      </w:r>
      <w:proofErr w:type="spellEnd"/>
      <w:r w:rsidRPr="00126B41">
        <w:rPr>
          <w:rFonts w:ascii="Times New Roman" w:hAnsi="Times New Roman" w:cs="Times New Roman"/>
          <w:sz w:val="28"/>
          <w:szCs w:val="28"/>
        </w:rPr>
        <w:t xml:space="preserve"> research. TPC-W defines 14 web interactions categorized into browse operations (product detail, search request, best sellers, new products) and order operations (shopping cart, buy request, order inquiry), representing the fundamental navigation patterns in online commerce (Khouja, Kamoun, </w:t>
      </w:r>
      <w:proofErr w:type="spellStart"/>
      <w:r w:rsidRPr="00126B41">
        <w:rPr>
          <w:rFonts w:ascii="Times New Roman" w:hAnsi="Times New Roman" w:cs="Times New Roman"/>
          <w:sz w:val="28"/>
          <w:szCs w:val="28"/>
        </w:rPr>
        <w:t>Lladó</w:t>
      </w:r>
      <w:proofErr w:type="spellEnd"/>
      <w:r w:rsidRPr="00126B41">
        <w:rPr>
          <w:rFonts w:ascii="Times New Roman" w:hAnsi="Times New Roman" w:cs="Times New Roman"/>
          <w:sz w:val="28"/>
          <w:szCs w:val="28"/>
        </w:rPr>
        <w:t xml:space="preserve"> and </w:t>
      </w:r>
      <w:proofErr w:type="spellStart"/>
      <w:r w:rsidRPr="00126B41">
        <w:rPr>
          <w:rFonts w:ascii="Times New Roman" w:hAnsi="Times New Roman" w:cs="Times New Roman"/>
          <w:sz w:val="28"/>
          <w:szCs w:val="28"/>
        </w:rPr>
        <w:t>Puigjaner</w:t>
      </w:r>
      <w:proofErr w:type="spellEnd"/>
      <w:r w:rsidRPr="00126B41">
        <w:rPr>
          <w:rFonts w:ascii="Times New Roman" w:hAnsi="Times New Roman" w:cs="Times New Roman"/>
          <w:sz w:val="28"/>
          <w:szCs w:val="28"/>
        </w:rPr>
        <w:t xml:space="preserve">, </w:t>
      </w:r>
      <w:r w:rsidRPr="00126B41">
        <w:rPr>
          <w:rFonts w:ascii="Times New Roman" w:hAnsi="Times New Roman" w:cs="Times New Roman"/>
          <w:sz w:val="28"/>
          <w:szCs w:val="28"/>
        </w:rPr>
        <w:t>2010) (</w:t>
      </w:r>
      <w:r w:rsidRPr="00126B41">
        <w:rPr>
          <w:rFonts w:ascii="Times New Roman" w:hAnsi="Times New Roman" w:cs="Times New Roman"/>
          <w:sz w:val="28"/>
          <w:szCs w:val="28"/>
        </w:rPr>
        <w:t xml:space="preserve">Dodge,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and Barbára, </w:t>
      </w:r>
      <w:r w:rsidRPr="00126B41">
        <w:rPr>
          <w:rFonts w:ascii="Times New Roman" w:hAnsi="Times New Roman" w:cs="Times New Roman"/>
          <w:sz w:val="28"/>
          <w:szCs w:val="28"/>
        </w:rPr>
        <w:t>2001)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2002). Browse interactions constitute 80-95% of e-commerce traffic depending on user intent, while order interactions comprise the remaining 5- 20% (Khouja et al., 2010). </w:t>
      </w:r>
    </w:p>
    <w:p w14:paraId="00F859BA"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This study implements 10 read queries spanning three complexity tiers to capture the full spectrum of e-commerce browsing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Basic queries (product detail lookup, customer order history, category browse) map directly to TPC-W’s most frequent interactions—Product Detail (12.35-21% of traffic), Order Display, and </w:t>
      </w:r>
      <w:r w:rsidRPr="00126B41">
        <w:rPr>
          <w:rFonts w:ascii="Times New Roman" w:hAnsi="Times New Roman" w:cs="Times New Roman"/>
          <w:sz w:val="28"/>
          <w:szCs w:val="28"/>
        </w:rPr>
        <w:t>home</w:t>
      </w:r>
      <w:r w:rsidRPr="00126B41">
        <w:rPr>
          <w:rFonts w:ascii="Times New Roman" w:hAnsi="Times New Roman" w:cs="Times New Roman"/>
          <w:sz w:val="28"/>
          <w:szCs w:val="28"/>
        </w:rPr>
        <w:t xml:space="preserve"> interactions respectively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w:t>
      </w:r>
      <w:r w:rsidRPr="00126B41">
        <w:rPr>
          <w:rFonts w:ascii="Times New Roman" w:hAnsi="Times New Roman" w:cs="Times New Roman"/>
          <w:sz w:val="28"/>
          <w:szCs w:val="28"/>
        </w:rPr>
        <w:t>2002) (</w:t>
      </w:r>
      <w:r w:rsidRPr="00126B41">
        <w:rPr>
          <w:rFonts w:ascii="Times New Roman" w:hAnsi="Times New Roman" w:cs="Times New Roman"/>
          <w:sz w:val="28"/>
          <w:szCs w:val="28"/>
        </w:rPr>
        <w:t xml:space="preserve">Khouja et al., 2010). These operations represent single-table or simple join patterns with minimal processing requirements. Moderate queries (search with filters, best sellers, new arrivals, order detail with items) correspond to TPC-W’s Search Request (14.53-20% of traffic), Best Sellers (0.46-11% depending on mix), and New Products interactions, requiring multi-table joins and sorted result sets (Khouja et al., </w:t>
      </w:r>
      <w:r w:rsidRPr="00126B41">
        <w:rPr>
          <w:rFonts w:ascii="Times New Roman" w:hAnsi="Times New Roman" w:cs="Times New Roman"/>
          <w:sz w:val="28"/>
          <w:szCs w:val="28"/>
        </w:rPr>
        <w:t>2010)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2002). Advanced queries (facet counts under filters, trending products, JSON attribute filtering) address complex analytical patterns involving window functions, nested aggregations, and multidimensional filtering. </w:t>
      </w:r>
    </w:p>
    <w:p w14:paraId="521CAA91"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lastRenderedPageBreak/>
        <w:t>Faceted search operations (R4, R7) merit particular attention as they represent the dominant navigation pattern in modern e-commerce (</w:t>
      </w:r>
      <w:proofErr w:type="spellStart"/>
      <w:r w:rsidRPr="00126B41">
        <w:rPr>
          <w:rFonts w:ascii="Times New Roman" w:hAnsi="Times New Roman" w:cs="Times New Roman"/>
          <w:sz w:val="28"/>
          <w:szCs w:val="28"/>
        </w:rPr>
        <w:t>Petzka</w:t>
      </w:r>
      <w:proofErr w:type="spellEnd"/>
      <w:r w:rsidRPr="00126B41">
        <w:rPr>
          <w:rFonts w:ascii="Times New Roman" w:hAnsi="Times New Roman" w:cs="Times New Roman"/>
          <w:sz w:val="28"/>
          <w:szCs w:val="28"/>
        </w:rPr>
        <w:t xml:space="preserve">, Stadler, </w:t>
      </w:r>
      <w:proofErr w:type="spellStart"/>
      <w:r w:rsidRPr="00126B41">
        <w:rPr>
          <w:rFonts w:ascii="Times New Roman" w:hAnsi="Times New Roman" w:cs="Times New Roman"/>
          <w:sz w:val="28"/>
          <w:szCs w:val="28"/>
        </w:rPr>
        <w:t>Katsimpras</w:t>
      </w:r>
      <w:proofErr w:type="spellEnd"/>
      <w:r w:rsidRPr="00126B41">
        <w:rPr>
          <w:rFonts w:ascii="Times New Roman" w:hAnsi="Times New Roman" w:cs="Times New Roman"/>
          <w:sz w:val="28"/>
          <w:szCs w:val="28"/>
        </w:rPr>
        <w:t>, Haarmann and Lehmann, 2017). Faceted browsing enables users to apply filter restrictions across multiple dimensions—category, price, brand, attributes—to progressively narrow search spaces (</w:t>
      </w:r>
      <w:proofErr w:type="spellStart"/>
      <w:r w:rsidRPr="00126B41">
        <w:rPr>
          <w:rFonts w:ascii="Times New Roman" w:hAnsi="Times New Roman" w:cs="Times New Roman"/>
          <w:sz w:val="28"/>
          <w:szCs w:val="28"/>
        </w:rPr>
        <w:t>Petzka</w:t>
      </w:r>
      <w:proofErr w:type="spellEnd"/>
      <w:r w:rsidRPr="00126B41">
        <w:rPr>
          <w:rFonts w:ascii="Times New Roman" w:hAnsi="Times New Roman" w:cs="Times New Roman"/>
          <w:sz w:val="28"/>
          <w:szCs w:val="28"/>
        </w:rPr>
        <w:t xml:space="preserve"> et al., 2017). Research demonstrates that facet counting (displaying result counts for each filter value before selection) is critical for preventing empty result sets and guiding users toward productive searches (</w:t>
      </w:r>
      <w:proofErr w:type="spellStart"/>
      <w:r w:rsidRPr="00126B41">
        <w:rPr>
          <w:rFonts w:ascii="Times New Roman" w:hAnsi="Times New Roman" w:cs="Times New Roman"/>
          <w:sz w:val="28"/>
          <w:szCs w:val="28"/>
        </w:rPr>
        <w:t>Petzka</w:t>
      </w:r>
      <w:proofErr w:type="spellEnd"/>
      <w:r w:rsidRPr="00126B41">
        <w:rPr>
          <w:rFonts w:ascii="Times New Roman" w:hAnsi="Times New Roman" w:cs="Times New Roman"/>
          <w:sz w:val="28"/>
          <w:szCs w:val="28"/>
        </w:rPr>
        <w:t xml:space="preserve"> et al., 2017). Product search has evolved to become the primary driver of e-commerce traffic, with retailer site searches increasing 300% from 2010-2012 and reaching 634 million monthly searches compared to just 134 million</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 xml:space="preserve">at traditional comparison sites (Baye, De </w:t>
      </w:r>
      <w:proofErr w:type="spellStart"/>
      <w:r w:rsidRPr="00126B41">
        <w:rPr>
          <w:rFonts w:ascii="Times New Roman" w:hAnsi="Times New Roman" w:cs="Times New Roman"/>
          <w:sz w:val="28"/>
          <w:szCs w:val="28"/>
        </w:rPr>
        <w:t>los</w:t>
      </w:r>
      <w:proofErr w:type="spellEnd"/>
      <w:r w:rsidRPr="00126B41">
        <w:rPr>
          <w:rFonts w:ascii="Times New Roman" w:hAnsi="Times New Roman" w:cs="Times New Roman"/>
          <w:sz w:val="28"/>
          <w:szCs w:val="28"/>
        </w:rPr>
        <w:t xml:space="preserve"> Santos and </w:t>
      </w:r>
      <w:proofErr w:type="spellStart"/>
      <w:r w:rsidRPr="00126B41">
        <w:rPr>
          <w:rFonts w:ascii="Times New Roman" w:hAnsi="Times New Roman" w:cs="Times New Roman"/>
          <w:sz w:val="28"/>
          <w:szCs w:val="28"/>
        </w:rPr>
        <w:t>Wildenbeest</w:t>
      </w:r>
      <w:proofErr w:type="spellEnd"/>
      <w:r w:rsidRPr="00126B41">
        <w:rPr>
          <w:rFonts w:ascii="Times New Roman" w:hAnsi="Times New Roman" w:cs="Times New Roman"/>
          <w:sz w:val="28"/>
          <w:szCs w:val="28"/>
        </w:rPr>
        <w:t xml:space="preserve">, 2012). </w:t>
      </w:r>
    </w:p>
    <w:p w14:paraId="129A4162"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User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studies confirm that browsing, searching, and purchasing constitute three fundamental interaction categories (Anonymous, 2023). Browsing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encompasses </w:t>
      </w:r>
      <w:proofErr w:type="spellStart"/>
      <w:r w:rsidRPr="00126B41">
        <w:rPr>
          <w:rFonts w:ascii="Times New Roman" w:hAnsi="Times New Roman" w:cs="Times New Roman"/>
          <w:sz w:val="28"/>
          <w:szCs w:val="28"/>
        </w:rPr>
        <w:t>catalog</w:t>
      </w:r>
      <w:proofErr w:type="spellEnd"/>
      <w:r w:rsidRPr="00126B41">
        <w:rPr>
          <w:rFonts w:ascii="Times New Roman" w:hAnsi="Times New Roman" w:cs="Times New Roman"/>
          <w:sz w:val="28"/>
          <w:szCs w:val="28"/>
        </w:rPr>
        <w:t xml:space="preserve"> navigation and popular page identification; searching includes product lookup and comparison activities using both attribute-based filtering (comparing prices across products) and alternative evaluation (examining multiple features of a single product) (Nah, Hong, Chen and Lee, 2012); purchasing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covers the cart-to-checkout conversion path (Anonymous, 2023). Under time pressure, users view fewer products (23.6 vs 33.967 products) but maintain consistent search intensity, demonstrating that search and lookup operations remain essential regardless of session constraints (Shih, Lu and Shih, 2019). </w:t>
      </w:r>
    </w:p>
    <w:p w14:paraId="03BFEF0F"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dual-execution protocol tests both cache effects and parameter sensitivity. Phase A1 executes 1 cold run followed by 10 warm runs per query using fixed parameters, measuring performance improvements from database caching and query plan reuse. Phase A2 executes 10 runs per query with randomized parameters drawn from the dataset, testing latency stability across different input distributions and cardinalities. This approach isolates workload-independent performance (A1 warm runs) from parameter-dependent variance (A2), providing startup operators insight into both best-case cached performance and realistic variable-input </w:t>
      </w:r>
      <w:r w:rsidRPr="00126B41">
        <w:rPr>
          <w:rFonts w:ascii="Times New Roman" w:hAnsi="Times New Roman" w:cs="Times New Roman"/>
          <w:sz w:val="28"/>
          <w:szCs w:val="28"/>
        </w:rPr>
        <w:t>behaviour</w:t>
      </w:r>
      <w:r w:rsidRPr="00126B41">
        <w:rPr>
          <w:rFonts w:ascii="Times New Roman" w:hAnsi="Times New Roman" w:cs="Times New Roman"/>
          <w:sz w:val="28"/>
          <w:szCs w:val="28"/>
        </w:rPr>
        <w:t xml:space="preserve">. </w:t>
      </w:r>
    </w:p>
    <w:p w14:paraId="1CC9F11E" w14:textId="0102B0A7" w:rsidR="00594D87" w:rsidRPr="009C1D9F" w:rsidRDefault="00594D87"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Write Phase Methodology </w:t>
      </w:r>
    </w:p>
    <w:p w14:paraId="019FF0C1"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write operation selection reflects e-commerce transactional requirements documented in OLTP benchmarks and ACID compliance literature. TPC-W </w:t>
      </w:r>
      <w:r w:rsidRPr="00126B41">
        <w:rPr>
          <w:rFonts w:ascii="Times New Roman" w:hAnsi="Times New Roman" w:cs="Times New Roman"/>
          <w:sz w:val="28"/>
          <w:szCs w:val="28"/>
        </w:rPr>
        <w:lastRenderedPageBreak/>
        <w:t xml:space="preserve">categorizes web interactions into browse and order types, with order interactions characterized by greater processing requirements including database writes, secure SSL processing, and ACID transaction enforcement (Smith, 2000). Order pages—Shopping Cart, Customer Registration, Buy Request, and Buy Confirm—constitute 5-20% of traffic depending on workload mix but demand substantially higher database resources than browse operations (Smith, 2000). The benchmark mandates that databases support lookup, insert, and update functionality with explicit commit and rollback capabilities across minimum eight interconnected tables (Menascé, 2002). </w:t>
      </w:r>
    </w:p>
    <w:p w14:paraId="1651CC77"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This study implements 8 write operation types encompassing single-row, bulk, conditional, and transactional patterns critical for e-commerce systems. Single-row operations (customer registration, cart item addition, profile updates) map to TPC-W’s Registration and Shopping Cart interactions, requiring INSERT and UPDATE operations with secure authentication (Smith, 2000). Bulk inserts (batch </w:t>
      </w:r>
      <w:proofErr w:type="spellStart"/>
      <w:r w:rsidRPr="00126B41">
        <w:rPr>
          <w:rFonts w:ascii="Times New Roman" w:hAnsi="Times New Roman" w:cs="Times New Roman"/>
          <w:sz w:val="28"/>
          <w:szCs w:val="28"/>
        </w:rPr>
        <w:t>order_items</w:t>
      </w:r>
      <w:proofErr w:type="spellEnd"/>
      <w:r w:rsidRPr="00126B41">
        <w:rPr>
          <w:rFonts w:ascii="Times New Roman" w:hAnsi="Times New Roman" w:cs="Times New Roman"/>
          <w:sz w:val="28"/>
          <w:szCs w:val="28"/>
        </w:rPr>
        <w:t xml:space="preserve"> loading) reflect real-world data migration and order processing scenarios where batching provides 98% execution time reduction compared to sequential </w:t>
      </w:r>
      <w:proofErr w:type="spellStart"/>
      <w:r w:rsidRPr="00126B41">
        <w:rPr>
          <w:rFonts w:ascii="Times New Roman" w:hAnsi="Times New Roman" w:cs="Times New Roman"/>
          <w:sz w:val="28"/>
          <w:szCs w:val="28"/>
        </w:rPr>
        <w:t>singlerow</w:t>
      </w:r>
      <w:proofErr w:type="spellEnd"/>
      <w:r w:rsidRPr="00126B41">
        <w:rPr>
          <w:rFonts w:ascii="Times New Roman" w:hAnsi="Times New Roman" w:cs="Times New Roman"/>
          <w:sz w:val="28"/>
          <w:szCs w:val="28"/>
        </w:rPr>
        <w:t xml:space="preserve"> operations—1,000 operations requiring 2,615ms via table-valued parameters versus 128,852ms for sequential inserts (Microsoft Corporation, 2023). Conditional updates</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 xml:space="preserve">and deletes test filtered operations on customer and product tables. Transactional write patterns (order placement with multi-table inserts) mirror TPC-C’s </w:t>
      </w:r>
      <w:proofErr w:type="spellStart"/>
      <w:r w:rsidRPr="00126B41">
        <w:rPr>
          <w:rFonts w:ascii="Times New Roman" w:hAnsi="Times New Roman" w:cs="Times New Roman"/>
          <w:sz w:val="28"/>
          <w:szCs w:val="28"/>
        </w:rPr>
        <w:t>NewOrder</w:t>
      </w:r>
      <w:proofErr w:type="spellEnd"/>
      <w:r w:rsidRPr="00126B41">
        <w:rPr>
          <w:rFonts w:ascii="Times New Roman" w:hAnsi="Times New Roman" w:cs="Times New Roman"/>
          <w:sz w:val="28"/>
          <w:szCs w:val="28"/>
        </w:rPr>
        <w:t xml:space="preserve"> transaction, which performs 2+I reads, 1+I updates, and 2+I inserts across seven tables to atomically create orders, update inventory, and record line items (</w:t>
      </w:r>
      <w:proofErr w:type="spellStart"/>
      <w:r w:rsidRPr="00126B41">
        <w:rPr>
          <w:rFonts w:ascii="Times New Roman" w:hAnsi="Times New Roman" w:cs="Times New Roman"/>
          <w:sz w:val="28"/>
          <w:szCs w:val="28"/>
        </w:rPr>
        <w:t>Tözün</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Pandis</w:t>
      </w:r>
      <w:proofErr w:type="spellEnd"/>
      <w:r w:rsidRPr="00126B41">
        <w:rPr>
          <w:rFonts w:ascii="Times New Roman" w:hAnsi="Times New Roman" w:cs="Times New Roman"/>
          <w:sz w:val="28"/>
          <w:szCs w:val="28"/>
        </w:rPr>
        <w:t xml:space="preserve">, Kaynak, </w:t>
      </w:r>
      <w:proofErr w:type="spellStart"/>
      <w:r w:rsidRPr="00126B41">
        <w:rPr>
          <w:rFonts w:ascii="Times New Roman" w:hAnsi="Times New Roman" w:cs="Times New Roman"/>
          <w:sz w:val="28"/>
          <w:szCs w:val="28"/>
        </w:rPr>
        <w:t>Jevdjic</w:t>
      </w:r>
      <w:proofErr w:type="spellEnd"/>
      <w:r w:rsidRPr="00126B41">
        <w:rPr>
          <w:rFonts w:ascii="Times New Roman" w:hAnsi="Times New Roman" w:cs="Times New Roman"/>
          <w:sz w:val="28"/>
          <w:szCs w:val="28"/>
        </w:rPr>
        <w:t xml:space="preserve"> and </w:t>
      </w:r>
      <w:proofErr w:type="spellStart"/>
      <w:r w:rsidRPr="00126B41">
        <w:rPr>
          <w:rFonts w:ascii="Times New Roman" w:hAnsi="Times New Roman" w:cs="Times New Roman"/>
          <w:sz w:val="28"/>
          <w:szCs w:val="28"/>
        </w:rPr>
        <w:t>Ailamaki</w:t>
      </w:r>
      <w:proofErr w:type="spellEnd"/>
      <w:r w:rsidRPr="00126B41">
        <w:rPr>
          <w:rFonts w:ascii="Times New Roman" w:hAnsi="Times New Roman" w:cs="Times New Roman"/>
          <w:sz w:val="28"/>
          <w:szCs w:val="28"/>
        </w:rPr>
        <w:t xml:space="preserve">, 2013). </w:t>
      </w:r>
    </w:p>
    <w:p w14:paraId="1DEDC6C7"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ACID property enforcement is central to e-commerce write benchmarking (</w:t>
      </w:r>
      <w:proofErr w:type="spellStart"/>
      <w:r w:rsidRPr="00126B41">
        <w:rPr>
          <w:rFonts w:ascii="Times New Roman" w:hAnsi="Times New Roman" w:cs="Times New Roman"/>
          <w:sz w:val="28"/>
          <w:szCs w:val="28"/>
        </w:rPr>
        <w:t>Tözün</w:t>
      </w:r>
      <w:proofErr w:type="spellEnd"/>
      <w:r w:rsidRPr="00126B41">
        <w:rPr>
          <w:rFonts w:ascii="Times New Roman" w:hAnsi="Times New Roman" w:cs="Times New Roman"/>
          <w:sz w:val="28"/>
          <w:szCs w:val="28"/>
        </w:rPr>
        <w:t xml:space="preserve"> et al., 2013). Atomicity ensures all-or-nothing execution through transaction commit and rollback mechanisms—TPC-C’s </w:t>
      </w:r>
      <w:proofErr w:type="spellStart"/>
      <w:r w:rsidRPr="00126B41">
        <w:rPr>
          <w:rFonts w:ascii="Times New Roman" w:hAnsi="Times New Roman" w:cs="Times New Roman"/>
          <w:sz w:val="28"/>
          <w:szCs w:val="28"/>
        </w:rPr>
        <w:t>NewOrder</w:t>
      </w:r>
      <w:proofErr w:type="spellEnd"/>
      <w:r w:rsidRPr="00126B41">
        <w:rPr>
          <w:rFonts w:ascii="Times New Roman" w:hAnsi="Times New Roman" w:cs="Times New Roman"/>
          <w:sz w:val="28"/>
          <w:szCs w:val="28"/>
        </w:rPr>
        <w:t xml:space="preserve"> includes 1% intentional failure rate requiring rollback, while real implementations show 18,372 transaction retries across 142,620 executions (</w:t>
      </w:r>
      <w:proofErr w:type="spellStart"/>
      <w:r w:rsidRPr="00126B41">
        <w:rPr>
          <w:rFonts w:ascii="Times New Roman" w:hAnsi="Times New Roman" w:cs="Times New Roman"/>
          <w:sz w:val="28"/>
          <w:szCs w:val="28"/>
        </w:rPr>
        <w:t>Panpaliya</w:t>
      </w:r>
      <w:proofErr w:type="spellEnd"/>
      <w:r w:rsidRPr="00126B41">
        <w:rPr>
          <w:rFonts w:ascii="Times New Roman" w:hAnsi="Times New Roman" w:cs="Times New Roman"/>
          <w:sz w:val="28"/>
          <w:szCs w:val="28"/>
        </w:rPr>
        <w:t xml:space="preserve">, 2020). Consistency is validated through four post-execution tests verifying </w:t>
      </w:r>
      <w:proofErr w:type="spellStart"/>
      <w:r w:rsidRPr="00126B41">
        <w:rPr>
          <w:rFonts w:ascii="Times New Roman" w:hAnsi="Times New Roman" w:cs="Times New Roman"/>
          <w:sz w:val="28"/>
          <w:szCs w:val="28"/>
        </w:rPr>
        <w:t>warehousedistrict</w:t>
      </w:r>
      <w:proofErr w:type="spellEnd"/>
      <w:r w:rsidRPr="00126B41">
        <w:rPr>
          <w:rFonts w:ascii="Times New Roman" w:hAnsi="Times New Roman" w:cs="Times New Roman"/>
          <w:sz w:val="28"/>
          <w:szCs w:val="28"/>
        </w:rPr>
        <w:t xml:space="preserve"> balance equality, order ID sequence integrity, new order count accuracy, and order line count correctness (</w:t>
      </w:r>
      <w:proofErr w:type="spellStart"/>
      <w:r w:rsidRPr="00126B41">
        <w:rPr>
          <w:rFonts w:ascii="Times New Roman" w:hAnsi="Times New Roman" w:cs="Times New Roman"/>
          <w:sz w:val="28"/>
          <w:szCs w:val="28"/>
        </w:rPr>
        <w:t>Tözün</w:t>
      </w:r>
      <w:proofErr w:type="spellEnd"/>
      <w:r w:rsidRPr="00126B41">
        <w:rPr>
          <w:rFonts w:ascii="Times New Roman" w:hAnsi="Times New Roman" w:cs="Times New Roman"/>
          <w:sz w:val="28"/>
          <w:szCs w:val="28"/>
        </w:rPr>
        <w:t xml:space="preserve"> et al., 2013). Isolation is achieved through snapshot reads and multi-version concurrency control, preventing concurrent transactions from interfering while maintaining throughput (</w:t>
      </w:r>
      <w:proofErr w:type="spellStart"/>
      <w:r w:rsidRPr="00126B41">
        <w:rPr>
          <w:rFonts w:ascii="Times New Roman" w:hAnsi="Times New Roman" w:cs="Times New Roman"/>
          <w:sz w:val="28"/>
          <w:szCs w:val="28"/>
        </w:rPr>
        <w:t>Panpaliya</w:t>
      </w:r>
      <w:proofErr w:type="spellEnd"/>
      <w:r w:rsidRPr="00126B41">
        <w:rPr>
          <w:rFonts w:ascii="Times New Roman" w:hAnsi="Times New Roman" w:cs="Times New Roman"/>
          <w:sz w:val="28"/>
          <w:szCs w:val="28"/>
        </w:rPr>
        <w:t xml:space="preserve">, 2020). Durability is guaranteed through replication mechanisms where write operations propagate to majority nodes before </w:t>
      </w:r>
      <w:r w:rsidRPr="00126B41">
        <w:rPr>
          <w:rFonts w:ascii="Times New Roman" w:hAnsi="Times New Roman" w:cs="Times New Roman"/>
          <w:sz w:val="28"/>
          <w:szCs w:val="28"/>
        </w:rPr>
        <w:lastRenderedPageBreak/>
        <w:t>acknowledgment, with MongoDB benchmarks demonstrating that snapshot reads with majority writes provide highest consistency without compromising performance (</w:t>
      </w:r>
      <w:proofErr w:type="spellStart"/>
      <w:r w:rsidRPr="00126B41">
        <w:rPr>
          <w:rFonts w:ascii="Times New Roman" w:hAnsi="Times New Roman" w:cs="Times New Roman"/>
          <w:sz w:val="28"/>
          <w:szCs w:val="28"/>
        </w:rPr>
        <w:t>Panpaliya</w:t>
      </w:r>
      <w:proofErr w:type="spellEnd"/>
      <w:r w:rsidRPr="00126B41">
        <w:rPr>
          <w:rFonts w:ascii="Times New Roman" w:hAnsi="Times New Roman" w:cs="Times New Roman"/>
          <w:sz w:val="28"/>
          <w:szCs w:val="28"/>
        </w:rPr>
        <w:t xml:space="preserve">, 2020). </w:t>
      </w:r>
    </w:p>
    <w:p w14:paraId="11441B32" w14:textId="77777777" w:rsidR="00594D87"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The TPC-C transaction mix validates write operation distribution (</w:t>
      </w:r>
      <w:proofErr w:type="spellStart"/>
      <w:r w:rsidRPr="00126B41">
        <w:rPr>
          <w:rFonts w:ascii="Times New Roman" w:hAnsi="Times New Roman" w:cs="Times New Roman"/>
          <w:sz w:val="28"/>
          <w:szCs w:val="28"/>
        </w:rPr>
        <w:t>Tözün</w:t>
      </w:r>
      <w:proofErr w:type="spellEnd"/>
      <w:r w:rsidRPr="00126B41">
        <w:rPr>
          <w:rFonts w:ascii="Times New Roman" w:hAnsi="Times New Roman" w:cs="Times New Roman"/>
          <w:sz w:val="28"/>
          <w:szCs w:val="28"/>
        </w:rPr>
        <w:t xml:space="preserve"> et al., 2013). </w:t>
      </w:r>
      <w:proofErr w:type="spellStart"/>
      <w:r w:rsidRPr="00126B41">
        <w:rPr>
          <w:rFonts w:ascii="Times New Roman" w:hAnsi="Times New Roman" w:cs="Times New Roman"/>
          <w:sz w:val="28"/>
          <w:szCs w:val="28"/>
        </w:rPr>
        <w:t>NewOrder</w:t>
      </w:r>
      <w:proofErr w:type="spellEnd"/>
      <w:r w:rsidRPr="00126B41">
        <w:rPr>
          <w:rFonts w:ascii="Times New Roman" w:hAnsi="Times New Roman" w:cs="Times New Roman"/>
          <w:sz w:val="28"/>
          <w:szCs w:val="28"/>
        </w:rPr>
        <w:t xml:space="preserve"> (45%) represents mid-weight read-write transactions introducing variable load based on item count; Payment (43%) comprises light-weight updates to customer balance and district statistics; Delivery (4%) executes deferred batch processing of up to 10 orders via queuing; Order-Status and Stock-Level (4% each) provide read-only operations for workload diversity (</w:t>
      </w:r>
      <w:proofErr w:type="spellStart"/>
      <w:r w:rsidRPr="00126B41">
        <w:rPr>
          <w:rFonts w:ascii="Times New Roman" w:hAnsi="Times New Roman" w:cs="Times New Roman"/>
          <w:sz w:val="28"/>
          <w:szCs w:val="28"/>
        </w:rPr>
        <w:t>Tözün</w:t>
      </w:r>
      <w:proofErr w:type="spellEnd"/>
      <w:r w:rsidRPr="00126B41">
        <w:rPr>
          <w:rFonts w:ascii="Times New Roman" w:hAnsi="Times New Roman" w:cs="Times New Roman"/>
          <w:sz w:val="28"/>
          <w:szCs w:val="28"/>
        </w:rPr>
        <w:t xml:space="preserve"> et al., 2013). This 92% read-write, 8% read-only distribution stresses transaction processing engines—particularly logging and concurrency control modules—reflecting production e-commerce intensity where order placement and payment processing dominate activity (</w:t>
      </w:r>
      <w:proofErr w:type="spellStart"/>
      <w:r w:rsidRPr="00126B41">
        <w:rPr>
          <w:rFonts w:ascii="Times New Roman" w:hAnsi="Times New Roman" w:cs="Times New Roman"/>
          <w:sz w:val="28"/>
          <w:szCs w:val="28"/>
        </w:rPr>
        <w:t>Difallah</w:t>
      </w:r>
      <w:proofErr w:type="spellEnd"/>
      <w:r w:rsidRPr="00126B41">
        <w:rPr>
          <w:rFonts w:ascii="Times New Roman" w:hAnsi="Times New Roman" w:cs="Times New Roman"/>
          <w:sz w:val="28"/>
          <w:szCs w:val="28"/>
        </w:rPr>
        <w:t xml:space="preserve">, Pavlo, </w:t>
      </w:r>
      <w:proofErr w:type="spellStart"/>
      <w:r w:rsidRPr="00126B41">
        <w:rPr>
          <w:rFonts w:ascii="Times New Roman" w:hAnsi="Times New Roman" w:cs="Times New Roman"/>
          <w:sz w:val="28"/>
          <w:szCs w:val="28"/>
        </w:rPr>
        <w:t>Curino</w:t>
      </w:r>
      <w:proofErr w:type="spellEnd"/>
      <w:r w:rsidRPr="00126B41">
        <w:rPr>
          <w:rFonts w:ascii="Times New Roman" w:hAnsi="Times New Roman" w:cs="Times New Roman"/>
          <w:sz w:val="28"/>
          <w:szCs w:val="28"/>
        </w:rPr>
        <w:t xml:space="preserve"> and </w:t>
      </w:r>
      <w:proofErr w:type="spellStart"/>
      <w:r w:rsidRPr="00126B41">
        <w:rPr>
          <w:rFonts w:ascii="Times New Roman" w:hAnsi="Times New Roman" w:cs="Times New Roman"/>
          <w:sz w:val="28"/>
          <w:szCs w:val="28"/>
        </w:rPr>
        <w:t>Cudre-Mauroux</w:t>
      </w:r>
      <w:proofErr w:type="spellEnd"/>
      <w:r w:rsidRPr="00126B41">
        <w:rPr>
          <w:rFonts w:ascii="Times New Roman" w:hAnsi="Times New Roman" w:cs="Times New Roman"/>
          <w:sz w:val="28"/>
          <w:szCs w:val="28"/>
        </w:rPr>
        <w:t xml:space="preserve">, 2013). </w:t>
      </w:r>
    </w:p>
    <w:p w14:paraId="05D7B29E" w14:textId="77777777" w:rsidR="00126B41" w:rsidRPr="00126B41" w:rsidRDefault="00594D87"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Batch processing significance is empirically demonstrated through performance testing showing dramatic throughput improvements (Microsoft Corporation, 2023). Wrapping 1,000 sequential operations in transactions reduces execution time from 21,479ms to 2,756ms (87% improvement) within same </w:t>
      </w:r>
      <w:proofErr w:type="spellStart"/>
      <w:r w:rsidRPr="00126B41">
        <w:rPr>
          <w:rFonts w:ascii="Times New Roman" w:hAnsi="Times New Roman" w:cs="Times New Roman"/>
          <w:sz w:val="28"/>
          <w:szCs w:val="28"/>
        </w:rPr>
        <w:t>datacenter</w:t>
      </w:r>
      <w:proofErr w:type="spellEnd"/>
      <w:r w:rsidRPr="00126B41">
        <w:rPr>
          <w:rFonts w:ascii="Times New Roman" w:hAnsi="Times New Roman" w:cs="Times New Roman"/>
          <w:sz w:val="28"/>
          <w:szCs w:val="28"/>
        </w:rPr>
        <w:t xml:space="preserve"> due to delayed transaction log flushing (Microsoft Corporation, 2023). </w:t>
      </w:r>
      <w:proofErr w:type="spellStart"/>
      <w:r w:rsidRPr="00126B41">
        <w:rPr>
          <w:rFonts w:ascii="Times New Roman" w:hAnsi="Times New Roman" w:cs="Times New Roman"/>
          <w:sz w:val="28"/>
          <w:szCs w:val="28"/>
        </w:rPr>
        <w:t>Tablevalued</w:t>
      </w:r>
      <w:proofErr w:type="spellEnd"/>
      <w:r w:rsidRPr="00126B41">
        <w:rPr>
          <w:rFonts w:ascii="Times New Roman" w:hAnsi="Times New Roman" w:cs="Times New Roman"/>
          <w:sz w:val="28"/>
          <w:szCs w:val="28"/>
        </w:rPr>
        <w:t xml:space="preserve"> parameters achieve 98.2% reduction (21,479ms to 382ms) by minimizing network overhead—fixed costs of serialization, transfer, and deserialization are amortized across batch rather than repeated per operation (Microsoft Corporation, 2023). </w:t>
      </w:r>
      <w:proofErr w:type="spellStart"/>
      <w:r w:rsidRPr="00126B41">
        <w:rPr>
          <w:rFonts w:ascii="Times New Roman" w:hAnsi="Times New Roman" w:cs="Times New Roman"/>
          <w:sz w:val="28"/>
          <w:szCs w:val="28"/>
        </w:rPr>
        <w:t>SqlBulkCopy</w:t>
      </w:r>
      <w:proofErr w:type="spellEnd"/>
      <w:r w:rsidRPr="00126B41">
        <w:rPr>
          <w:rFonts w:ascii="Times New Roman" w:hAnsi="Times New Roman" w:cs="Times New Roman"/>
          <w:sz w:val="28"/>
          <w:szCs w:val="28"/>
        </w:rPr>
        <w:t xml:space="preserve"> provides optimal performance for batches exceeding 1,000 rows, demonstrating 12-31% faster execution than table-valued parameters at scale (Microsoft Corporation, 2023). Tests confirm single large batches outperform subdivided batches (347ms for 1,000-row batch versus 630ms for 20×50-row batches), and parallel execution</w:t>
      </w:r>
      <w:r w:rsidR="00126B41" w:rsidRPr="00126B41">
        <w:rPr>
          <w:rFonts w:ascii="Times New Roman" w:hAnsi="Times New Roman" w:cs="Times New Roman"/>
          <w:sz w:val="28"/>
          <w:szCs w:val="28"/>
        </w:rPr>
        <w:t xml:space="preserve"> </w:t>
      </w:r>
      <w:r w:rsidR="00126B41" w:rsidRPr="00126B41">
        <w:rPr>
          <w:rFonts w:ascii="Times New Roman" w:hAnsi="Times New Roman" w:cs="Times New Roman"/>
          <w:sz w:val="28"/>
          <w:szCs w:val="28"/>
        </w:rPr>
        <w:t xml:space="preserve">provides no benefit due to contention overhead (Microsoft Corporation, 2023). </w:t>
      </w:r>
    </w:p>
    <w:p w14:paraId="03162645"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Each write operation type executes approximately 100 times for statistical confidence, with driver-level timing capturing execution latency including network transfer, transaction processing, and acknowledgment receipt. Error handling logs all attempts including constraint violations and timeout scenarios without halting execution, providing realistic failure rate measurements under free-tier resource constraints. </w:t>
      </w:r>
    </w:p>
    <w:p w14:paraId="00DB023D" w14:textId="227F1984" w:rsidR="00126B41" w:rsidRPr="009C1D9F" w:rsidRDefault="00126B41"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lastRenderedPageBreak/>
        <w:t xml:space="preserve">Mixed Throughput Phase Methodology </w:t>
      </w:r>
    </w:p>
    <w:p w14:paraId="0CA2D66E"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mixed throughput phase evaluates database performance under realistic e-commerce traffic patterns combining concurrent read and write operations. TPC-W defines three web interaction mixes representing different user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profiles: browsing mix (95% browse, 5% order), shopping mix (80% browse, 20% order), and ordering mix (50% browse, 50% order)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w:t>
      </w:r>
      <w:r w:rsidRPr="00126B41">
        <w:rPr>
          <w:rFonts w:ascii="Times New Roman" w:hAnsi="Times New Roman" w:cs="Times New Roman"/>
          <w:sz w:val="28"/>
          <w:szCs w:val="28"/>
        </w:rPr>
        <w:t>2002) (</w:t>
      </w:r>
      <w:r w:rsidRPr="00126B41">
        <w:rPr>
          <w:rFonts w:ascii="Times New Roman" w:hAnsi="Times New Roman" w:cs="Times New Roman"/>
          <w:sz w:val="28"/>
          <w:szCs w:val="28"/>
        </w:rPr>
        <w:t xml:space="preserve">Smith, 2000). The browsing mix simulates window-shopping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where users primarily explore products with minimal purchasing, placing pressure on web servers and caching layers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2002). The shopping mix represents balanced ecommerce sessions with moderate conversion rates (Smith, 2000). The ordering mix models purchase-focused sessions </w:t>
      </w:r>
      <w:r w:rsidRPr="00126B41">
        <w:rPr>
          <w:rFonts w:ascii="Times New Roman" w:hAnsi="Times New Roman" w:cs="Times New Roman"/>
          <w:sz w:val="28"/>
          <w:szCs w:val="28"/>
        </w:rPr>
        <w:t>were</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users’</w:t>
      </w:r>
      <w:r w:rsidRPr="00126B41">
        <w:rPr>
          <w:rFonts w:ascii="Times New Roman" w:hAnsi="Times New Roman" w:cs="Times New Roman"/>
          <w:sz w:val="28"/>
          <w:szCs w:val="28"/>
        </w:rPr>
        <w:t xml:space="preserve"> complete transactions efficiently, stressing database servers through high-volume transactional writes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2002). These mixes reflect real user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statistics, with different customer patterns generating distinct loads on system resources (</w:t>
      </w:r>
      <w:proofErr w:type="spellStart"/>
      <w:r w:rsidRPr="00126B41">
        <w:rPr>
          <w:rFonts w:ascii="Times New Roman" w:hAnsi="Times New Roman" w:cs="Times New Roman"/>
          <w:sz w:val="28"/>
          <w:szCs w:val="28"/>
        </w:rPr>
        <w:t>Menascé</w:t>
      </w:r>
      <w:proofErr w:type="spellEnd"/>
      <w:r w:rsidRPr="00126B41">
        <w:rPr>
          <w:rFonts w:ascii="Times New Roman" w:hAnsi="Times New Roman" w:cs="Times New Roman"/>
          <w:sz w:val="28"/>
          <w:szCs w:val="28"/>
        </w:rPr>
        <w:t xml:space="preserve">, 2002). </w:t>
      </w:r>
    </w:p>
    <w:p w14:paraId="1910A1C6"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This study implements a 65% read, 35% write mixed workload balancing browsing intensity with transactional activity typical of startup e-commerce platforms. The read distribution emphasizes high-frequency operations: product lookup (20%), search with filters (22%), top products (8%), order history (7%), recent orders (4%), and customer profile (4%). The write distribution prioritizes cart operations (add to cart 12%, update cart 8%) and order completion (place order transaction 10%), with lower-frequency operations including registration (2%) and profile updates (3%). Operations execute in randomized sequence for a fixed total count (500 operations), simulating organic user navigation rather than artificial patterns. </w:t>
      </w:r>
    </w:p>
    <w:p w14:paraId="56D0843A"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Mixed workload benchmarking addresses fundamental limitations of isolated read-only and write-only testing (Kaszó and </w:t>
      </w:r>
      <w:proofErr w:type="spellStart"/>
      <w:r w:rsidRPr="00126B41">
        <w:rPr>
          <w:rFonts w:ascii="Times New Roman" w:hAnsi="Times New Roman" w:cs="Times New Roman"/>
          <w:sz w:val="28"/>
          <w:szCs w:val="28"/>
        </w:rPr>
        <w:t>Levendovszky</w:t>
      </w:r>
      <w:proofErr w:type="spellEnd"/>
      <w:r w:rsidRPr="00126B41">
        <w:rPr>
          <w:rFonts w:ascii="Times New Roman" w:hAnsi="Times New Roman" w:cs="Times New Roman"/>
          <w:sz w:val="28"/>
          <w:szCs w:val="28"/>
        </w:rPr>
        <w:t xml:space="preserve">). YCSB demonstrates that read-write ratio significantly impacts throughput and latency—MongoDB achieves 50% higher throughput under 90% read workloads compared to 90% write workloads, while Cassandra exhibits 30% throughput variation with peak performance degradation at balanced 50/50 distributions ten. Each database responds differently to ratio variations, with performance differences reaching 50% at identical load levels (Kaszó and </w:t>
      </w:r>
      <w:proofErr w:type="spellStart"/>
      <w:r w:rsidRPr="00126B41">
        <w:rPr>
          <w:rFonts w:ascii="Times New Roman" w:hAnsi="Times New Roman" w:cs="Times New Roman"/>
          <w:sz w:val="28"/>
          <w:szCs w:val="28"/>
        </w:rPr>
        <w:t>Levendovszky</w:t>
      </w:r>
      <w:proofErr w:type="spellEnd"/>
      <w:r w:rsidRPr="00126B41">
        <w:rPr>
          <w:rFonts w:ascii="Times New Roman" w:hAnsi="Times New Roman" w:cs="Times New Roman"/>
          <w:sz w:val="28"/>
          <w:szCs w:val="28"/>
        </w:rPr>
        <w:t>). Isolated testing fails to capture disk and cache contention effects</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that emerge when operations execute concurrently—</w:t>
      </w:r>
      <w:proofErr w:type="spellStart"/>
      <w:r w:rsidRPr="00126B41">
        <w:rPr>
          <w:rFonts w:ascii="Times New Roman" w:hAnsi="Times New Roman" w:cs="Times New Roman"/>
          <w:sz w:val="28"/>
          <w:szCs w:val="28"/>
        </w:rPr>
        <w:t>OLTPBench</w:t>
      </w:r>
      <w:proofErr w:type="spellEnd"/>
      <w:r w:rsidRPr="00126B41">
        <w:rPr>
          <w:rFonts w:ascii="Times New Roman" w:hAnsi="Times New Roman" w:cs="Times New Roman"/>
          <w:sz w:val="28"/>
          <w:szCs w:val="28"/>
        </w:rPr>
        <w:t xml:space="preserve"> experiments revealed that </w:t>
      </w:r>
      <w:proofErr w:type="spellStart"/>
      <w:r w:rsidRPr="00126B41">
        <w:rPr>
          <w:rFonts w:ascii="Times New Roman" w:hAnsi="Times New Roman" w:cs="Times New Roman"/>
          <w:sz w:val="28"/>
          <w:szCs w:val="28"/>
        </w:rPr>
        <w:t>ReadModifyWrite</w:t>
      </w:r>
      <w:proofErr w:type="spellEnd"/>
      <w:r w:rsidRPr="00126B41">
        <w:rPr>
          <w:rFonts w:ascii="Times New Roman" w:hAnsi="Times New Roman" w:cs="Times New Roman"/>
          <w:sz w:val="28"/>
          <w:szCs w:val="28"/>
        </w:rPr>
        <w:t xml:space="preserve"> transactions achieved higher </w:t>
      </w:r>
      <w:r w:rsidRPr="00126B41">
        <w:rPr>
          <w:rFonts w:ascii="Times New Roman" w:hAnsi="Times New Roman" w:cs="Times New Roman"/>
          <w:sz w:val="28"/>
          <w:szCs w:val="28"/>
        </w:rPr>
        <w:lastRenderedPageBreak/>
        <w:t xml:space="preserve">throughput than </w:t>
      </w:r>
      <w:proofErr w:type="spellStart"/>
      <w:r w:rsidRPr="00126B41">
        <w:rPr>
          <w:rFonts w:ascii="Times New Roman" w:hAnsi="Times New Roman" w:cs="Times New Roman"/>
          <w:sz w:val="28"/>
          <w:szCs w:val="28"/>
        </w:rPr>
        <w:t>UpdateRecord</w:t>
      </w:r>
      <w:proofErr w:type="spellEnd"/>
      <w:r w:rsidRPr="00126B41">
        <w:rPr>
          <w:rFonts w:ascii="Times New Roman" w:hAnsi="Times New Roman" w:cs="Times New Roman"/>
          <w:sz w:val="28"/>
          <w:szCs w:val="28"/>
        </w:rPr>
        <w:t xml:space="preserve"> operations specifically due to preceding </w:t>
      </w:r>
      <w:proofErr w:type="spellStart"/>
      <w:r w:rsidRPr="00126B41">
        <w:rPr>
          <w:rFonts w:ascii="Times New Roman" w:hAnsi="Times New Roman" w:cs="Times New Roman"/>
          <w:sz w:val="28"/>
          <w:szCs w:val="28"/>
        </w:rPr>
        <w:t>DeleteRecord</w:t>
      </w:r>
      <w:proofErr w:type="spellEnd"/>
      <w:r w:rsidRPr="00126B41">
        <w:rPr>
          <w:rFonts w:ascii="Times New Roman" w:hAnsi="Times New Roman" w:cs="Times New Roman"/>
          <w:sz w:val="28"/>
          <w:szCs w:val="28"/>
        </w:rPr>
        <w:t xml:space="preserve"> phase interactions, an anomaly impossible to detect through separate measurement (</w:t>
      </w:r>
      <w:proofErr w:type="spellStart"/>
      <w:r w:rsidRPr="00126B41">
        <w:rPr>
          <w:rFonts w:ascii="Times New Roman" w:hAnsi="Times New Roman" w:cs="Times New Roman"/>
          <w:sz w:val="28"/>
          <w:szCs w:val="28"/>
        </w:rPr>
        <w:t>Difallah</w:t>
      </w:r>
      <w:proofErr w:type="spellEnd"/>
      <w:r w:rsidRPr="00126B41">
        <w:rPr>
          <w:rFonts w:ascii="Times New Roman" w:hAnsi="Times New Roman" w:cs="Times New Roman"/>
          <w:sz w:val="28"/>
          <w:szCs w:val="28"/>
        </w:rPr>
        <w:t xml:space="preserve"> et al., 2013). </w:t>
      </w:r>
    </w:p>
    <w:p w14:paraId="3877BE9B"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The rationale for predefined operation mixes rather than isolated tests </w:t>
      </w:r>
      <w:proofErr w:type="spellStart"/>
      <w:r w:rsidRPr="00126B41">
        <w:rPr>
          <w:rFonts w:ascii="Times New Roman" w:hAnsi="Times New Roman" w:cs="Times New Roman"/>
          <w:sz w:val="28"/>
          <w:szCs w:val="28"/>
        </w:rPr>
        <w:t>centers</w:t>
      </w:r>
      <w:proofErr w:type="spellEnd"/>
      <w:r w:rsidRPr="00126B41">
        <w:rPr>
          <w:rFonts w:ascii="Times New Roman" w:hAnsi="Times New Roman" w:cs="Times New Roman"/>
          <w:sz w:val="28"/>
          <w:szCs w:val="28"/>
        </w:rPr>
        <w:t xml:space="preserve"> on real-world system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representation ten. Cloud serving benchmarks explicitly avoid </w:t>
      </w:r>
      <w:proofErr w:type="spellStart"/>
      <w:r w:rsidRPr="00126B41">
        <w:rPr>
          <w:rFonts w:ascii="Times New Roman" w:hAnsi="Times New Roman" w:cs="Times New Roman"/>
          <w:sz w:val="28"/>
          <w:szCs w:val="28"/>
        </w:rPr>
        <w:t>modeling</w:t>
      </w:r>
      <w:proofErr w:type="spellEnd"/>
      <w:r w:rsidRPr="00126B41">
        <w:rPr>
          <w:rFonts w:ascii="Times New Roman" w:hAnsi="Times New Roman" w:cs="Times New Roman"/>
          <w:sz w:val="28"/>
          <w:szCs w:val="28"/>
        </w:rPr>
        <w:t xml:space="preserve"> single applications, instead examining wide workload characteristic ranges to identify performance boundaries (Kaszó and </w:t>
      </w:r>
      <w:proofErr w:type="spellStart"/>
      <w:r w:rsidRPr="00126B41">
        <w:rPr>
          <w:rFonts w:ascii="Times New Roman" w:hAnsi="Times New Roman" w:cs="Times New Roman"/>
          <w:sz w:val="28"/>
          <w:szCs w:val="28"/>
        </w:rPr>
        <w:t>Levendovszky</w:t>
      </w:r>
      <w:proofErr w:type="spellEnd"/>
      <w:r w:rsidRPr="00126B41">
        <w:rPr>
          <w:rFonts w:ascii="Times New Roman" w:hAnsi="Times New Roman" w:cs="Times New Roman"/>
          <w:sz w:val="28"/>
          <w:szCs w:val="28"/>
        </w:rPr>
        <w:t>). YCSB’s workload profiles model actual applications: session stores (50% read, 50% update), photo tagging (95% read, 5% update), and user status feeds (95% read, 5% insert), each reflecting documented production traffic patterns ten. OLTP-Bench provides empirical evidence that mixed workloads enable detection of performance anomalies—MySQL throughput degradation after 2600 seconds under sustained YCSB load revealed buffer pool exhaustion requiring page eviction, a production-critical issue never discoverable through isolated testing (</w:t>
      </w:r>
      <w:proofErr w:type="spellStart"/>
      <w:r w:rsidRPr="00126B41">
        <w:rPr>
          <w:rFonts w:ascii="Times New Roman" w:hAnsi="Times New Roman" w:cs="Times New Roman"/>
          <w:sz w:val="28"/>
          <w:szCs w:val="28"/>
        </w:rPr>
        <w:t>Difallah</w:t>
      </w:r>
      <w:proofErr w:type="spellEnd"/>
      <w:r w:rsidRPr="00126B41">
        <w:rPr>
          <w:rFonts w:ascii="Times New Roman" w:hAnsi="Times New Roman" w:cs="Times New Roman"/>
          <w:sz w:val="28"/>
          <w:szCs w:val="28"/>
        </w:rPr>
        <w:t xml:space="preserve"> et al., 2013). </w:t>
      </w:r>
    </w:p>
    <w:p w14:paraId="524D4B85"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Hybrid OLTP-OLAP benchmarking validates concurrent mixed workload necessity for modern systems (Funke, Kemper and Neumann, </w:t>
      </w:r>
      <w:r w:rsidRPr="00126B41">
        <w:rPr>
          <w:rFonts w:ascii="Times New Roman" w:hAnsi="Times New Roman" w:cs="Times New Roman"/>
          <w:sz w:val="28"/>
          <w:szCs w:val="28"/>
        </w:rPr>
        <w:t>2011) (</w:t>
      </w:r>
      <w:r w:rsidRPr="00126B41">
        <w:rPr>
          <w:rFonts w:ascii="Times New Roman" w:hAnsi="Times New Roman" w:cs="Times New Roman"/>
          <w:sz w:val="28"/>
          <w:szCs w:val="28"/>
        </w:rPr>
        <w:t xml:space="preserve">Cole, Funke, Giakoumakis, Guy, Kemper, </w:t>
      </w:r>
      <w:proofErr w:type="spellStart"/>
      <w:r w:rsidRPr="00126B41">
        <w:rPr>
          <w:rFonts w:ascii="Times New Roman" w:hAnsi="Times New Roman" w:cs="Times New Roman"/>
          <w:sz w:val="28"/>
          <w:szCs w:val="28"/>
        </w:rPr>
        <w:t>Krompass</w:t>
      </w:r>
      <w:proofErr w:type="spellEnd"/>
      <w:r w:rsidRPr="00126B41">
        <w:rPr>
          <w:rFonts w:ascii="Times New Roman" w:hAnsi="Times New Roman" w:cs="Times New Roman"/>
          <w:sz w:val="28"/>
          <w:szCs w:val="28"/>
        </w:rPr>
        <w:t xml:space="preserve"> et al., 2011). TPC-CH experiments demonstrate that increasing OLAP sessions from 3 to 12 enhances query throughput from 0.38 to 1.20 queries per second but causes query execution times to increase 20-30% while OLTP throughput declines 14%, quantifying resource contention between concurrent transactional and analytical operations (Funke et al., 2011). System comparisons reveal that OLAP query performance cannot be inferred from isolated measurements—Query Q18 response time increased from 30,271ms (pure OLAP) to 96,159ms (8 concurrent OLTP streams), demonstrating 3x degradation under realistic mixed loads (Cole et al., 2011). The CH-</w:t>
      </w:r>
      <w:proofErr w:type="spellStart"/>
      <w:r w:rsidRPr="00126B41">
        <w:rPr>
          <w:rFonts w:ascii="Times New Roman" w:hAnsi="Times New Roman" w:cs="Times New Roman"/>
          <w:sz w:val="28"/>
          <w:szCs w:val="28"/>
        </w:rPr>
        <w:t>benCHmark</w:t>
      </w:r>
      <w:proofErr w:type="spellEnd"/>
      <w:r w:rsidRPr="00126B41">
        <w:rPr>
          <w:rFonts w:ascii="Times New Roman" w:hAnsi="Times New Roman" w:cs="Times New Roman"/>
          <w:sz w:val="28"/>
          <w:szCs w:val="28"/>
        </w:rPr>
        <w:t xml:space="preserve"> metric comparing isolated versus mixed execution (13.3 isolated versus 20.0 mixed) proves that concurrent workload performance cannot be predicted from separate measurements, with OLAP queries suffering disproportionately from parallel execution (Cole et al., 2011). </w:t>
      </w:r>
    </w:p>
    <w:p w14:paraId="76198DF4"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sz w:val="28"/>
          <w:szCs w:val="28"/>
        </w:rPr>
        <w:t xml:space="preserve">This mixed phase executes operations sequentially within a single session with driver-level timing capturing end-to-end latency including network transfer, transaction processing, and acknowledgment. The randomized operation sequence with realistic ratio distribution provides startup operators comprehensive understanding of database </w:t>
      </w:r>
      <w:proofErr w:type="spellStart"/>
      <w:r w:rsidRPr="00126B41">
        <w:rPr>
          <w:rFonts w:ascii="Times New Roman" w:hAnsi="Times New Roman" w:cs="Times New Roman"/>
          <w:sz w:val="28"/>
          <w:szCs w:val="28"/>
        </w:rPr>
        <w:t>behavior</w:t>
      </w:r>
      <w:proofErr w:type="spellEnd"/>
      <w:r w:rsidRPr="00126B41">
        <w:rPr>
          <w:rFonts w:ascii="Times New Roman" w:hAnsi="Times New Roman" w:cs="Times New Roman"/>
          <w:sz w:val="28"/>
          <w:szCs w:val="28"/>
        </w:rPr>
        <w:t xml:space="preserve"> under production-</w:t>
      </w:r>
      <w:r w:rsidRPr="00126B41">
        <w:rPr>
          <w:rFonts w:ascii="Times New Roman" w:hAnsi="Times New Roman" w:cs="Times New Roman"/>
          <w:sz w:val="28"/>
          <w:szCs w:val="28"/>
        </w:rPr>
        <w:lastRenderedPageBreak/>
        <w:t xml:space="preserve">representative e-commerce traffic patterns combining product discovery, cart management, and order completion activities. </w:t>
      </w:r>
    </w:p>
    <w:p w14:paraId="1F3911EE" w14:textId="04C8B2C6" w:rsidR="00126B41" w:rsidRPr="009C1D9F" w:rsidRDefault="00126B41" w:rsidP="009C1D9F">
      <w:pPr>
        <w:pStyle w:val="ListParagraph"/>
        <w:numPr>
          <w:ilvl w:val="0"/>
          <w:numId w:val="16"/>
        </w:numPr>
        <w:jc w:val="both"/>
        <w:rPr>
          <w:rFonts w:ascii="Times New Roman" w:hAnsi="Times New Roman" w:cs="Times New Roman"/>
          <w:b/>
          <w:bCs/>
          <w:sz w:val="32"/>
          <w:szCs w:val="32"/>
        </w:rPr>
      </w:pPr>
      <w:r w:rsidRPr="009C1D9F">
        <w:rPr>
          <w:rFonts w:ascii="Times New Roman" w:hAnsi="Times New Roman" w:cs="Times New Roman"/>
          <w:b/>
          <w:bCs/>
          <w:sz w:val="32"/>
          <w:szCs w:val="32"/>
        </w:rPr>
        <w:t xml:space="preserve">Miscellaneous </w:t>
      </w:r>
    </w:p>
    <w:p w14:paraId="3CD4718F"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b/>
          <w:bCs/>
          <w:sz w:val="28"/>
          <w:szCs w:val="28"/>
        </w:rPr>
        <w:t>Logging Strategy</w:t>
      </w:r>
      <w:r w:rsidRPr="00126B41">
        <w:rPr>
          <w:rFonts w:ascii="Times New Roman" w:hAnsi="Times New Roman" w:cs="Times New Roman"/>
          <w:sz w:val="28"/>
          <w:szCs w:val="28"/>
        </w:rPr>
        <w:t>: All phases employed standardized CSV logging capturing universal metadata (</w:t>
      </w:r>
      <w:proofErr w:type="spellStart"/>
      <w:r w:rsidRPr="00126B41">
        <w:rPr>
          <w:rFonts w:ascii="Times New Roman" w:hAnsi="Times New Roman" w:cs="Times New Roman"/>
          <w:sz w:val="28"/>
          <w:szCs w:val="28"/>
        </w:rPr>
        <w:t>timestamp_utc</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run_id</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db_system</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server_version</w:t>
      </w:r>
      <w:proofErr w:type="spellEnd"/>
      <w:r w:rsidRPr="00126B41">
        <w:rPr>
          <w:rFonts w:ascii="Times New Roman" w:hAnsi="Times New Roman" w:cs="Times New Roman"/>
          <w:sz w:val="28"/>
          <w:szCs w:val="28"/>
        </w:rPr>
        <w:t xml:space="preserve">, driver version, </w:t>
      </w:r>
      <w:proofErr w:type="spellStart"/>
      <w:r w:rsidRPr="00126B41">
        <w:rPr>
          <w:rFonts w:ascii="Times New Roman" w:hAnsi="Times New Roman" w:cs="Times New Roman"/>
          <w:sz w:val="28"/>
          <w:szCs w:val="28"/>
        </w:rPr>
        <w:t>connection_params</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db_name</w:t>
      </w:r>
      <w:proofErr w:type="spellEnd"/>
      <w:r w:rsidRPr="00126B41">
        <w:rPr>
          <w:rFonts w:ascii="Times New Roman" w:hAnsi="Times New Roman" w:cs="Times New Roman"/>
          <w:sz w:val="28"/>
          <w:szCs w:val="28"/>
        </w:rPr>
        <w:t>) ensuring traceability across engines.</w:t>
      </w:r>
      <w:r w:rsidRPr="00126B41">
        <w:rPr>
          <w:rFonts w:ascii="Times New Roman" w:hAnsi="Times New Roman" w:cs="Times New Roman"/>
          <w:sz w:val="28"/>
          <w:szCs w:val="28"/>
        </w:rPr>
        <w:t xml:space="preserve"> </w:t>
      </w:r>
      <w:r w:rsidRPr="00126B41">
        <w:rPr>
          <w:rFonts w:ascii="Times New Roman" w:hAnsi="Times New Roman" w:cs="Times New Roman"/>
          <w:sz w:val="28"/>
          <w:szCs w:val="28"/>
        </w:rPr>
        <w:t xml:space="preserve">Read phase generated reads_A1.csv (11 runs per query: 1 cold + 10 warm with fixed parameters) and reads_A2.csv (10 runs with randomly generated parameters). Write phase produced writes.csv logging approximately 100 iterations per operation pattern. Mixed phase created throughput.csv recording 500 operations (65% read, 35% write) with </w:t>
      </w:r>
      <w:proofErr w:type="spellStart"/>
      <w:r w:rsidRPr="00126B41">
        <w:rPr>
          <w:rFonts w:ascii="Times New Roman" w:hAnsi="Times New Roman" w:cs="Times New Roman"/>
          <w:sz w:val="28"/>
          <w:szCs w:val="28"/>
        </w:rPr>
        <w:t>sequence_number</w:t>
      </w:r>
      <w:proofErr w:type="spellEnd"/>
      <w:r w:rsidRPr="00126B41">
        <w:rPr>
          <w:rFonts w:ascii="Times New Roman" w:hAnsi="Times New Roman" w:cs="Times New Roman"/>
          <w:sz w:val="28"/>
          <w:szCs w:val="28"/>
        </w:rPr>
        <w:t xml:space="preserve"> tracking execution order plus summary metrics (QPS, TPS). Each row captured </w:t>
      </w:r>
      <w:proofErr w:type="spellStart"/>
      <w:r w:rsidRPr="00126B41">
        <w:rPr>
          <w:rFonts w:ascii="Times New Roman" w:hAnsi="Times New Roman" w:cs="Times New Roman"/>
          <w:sz w:val="28"/>
          <w:szCs w:val="28"/>
        </w:rPr>
        <w:t>query_id</w:t>
      </w:r>
      <w:proofErr w:type="spellEnd"/>
      <w:r w:rsidRPr="00126B41">
        <w:rPr>
          <w:rFonts w:ascii="Times New Roman" w:hAnsi="Times New Roman" w:cs="Times New Roman"/>
          <w:sz w:val="28"/>
          <w:szCs w:val="28"/>
        </w:rPr>
        <w:t xml:space="preserve">, complexity classification, </w:t>
      </w:r>
      <w:proofErr w:type="spellStart"/>
      <w:r w:rsidRPr="00126B41">
        <w:rPr>
          <w:rFonts w:ascii="Times New Roman" w:hAnsi="Times New Roman" w:cs="Times New Roman"/>
          <w:sz w:val="28"/>
          <w:szCs w:val="28"/>
        </w:rPr>
        <w:t>execution_ms</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row_count</w:t>
      </w:r>
      <w:proofErr w:type="spellEnd"/>
      <w:r w:rsidRPr="00126B41">
        <w:rPr>
          <w:rFonts w:ascii="Times New Roman" w:hAnsi="Times New Roman" w:cs="Times New Roman"/>
          <w:sz w:val="28"/>
          <w:szCs w:val="28"/>
        </w:rPr>
        <w:t xml:space="preserve"> or </w:t>
      </w:r>
      <w:proofErr w:type="spellStart"/>
      <w:r w:rsidRPr="00126B41">
        <w:rPr>
          <w:rFonts w:ascii="Times New Roman" w:hAnsi="Times New Roman" w:cs="Times New Roman"/>
          <w:sz w:val="28"/>
          <w:szCs w:val="28"/>
        </w:rPr>
        <w:t>rows_affected</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error_code</w:t>
      </w:r>
      <w:proofErr w:type="spellEnd"/>
      <w:r w:rsidRPr="00126B41">
        <w:rPr>
          <w:rFonts w:ascii="Times New Roman" w:hAnsi="Times New Roman" w:cs="Times New Roman"/>
          <w:sz w:val="28"/>
          <w:szCs w:val="28"/>
        </w:rPr>
        <w:t xml:space="preserve">, </w:t>
      </w:r>
      <w:proofErr w:type="spellStart"/>
      <w:r w:rsidRPr="00126B41">
        <w:rPr>
          <w:rFonts w:ascii="Times New Roman" w:hAnsi="Times New Roman" w:cs="Times New Roman"/>
          <w:sz w:val="28"/>
          <w:szCs w:val="28"/>
        </w:rPr>
        <w:t>error_message</w:t>
      </w:r>
      <w:proofErr w:type="spellEnd"/>
      <w:r w:rsidRPr="00126B41">
        <w:rPr>
          <w:rFonts w:ascii="Times New Roman" w:hAnsi="Times New Roman" w:cs="Times New Roman"/>
          <w:sz w:val="28"/>
          <w:szCs w:val="28"/>
        </w:rPr>
        <w:t xml:space="preserve">, and </w:t>
      </w:r>
      <w:proofErr w:type="spellStart"/>
      <w:r w:rsidRPr="00126B41">
        <w:rPr>
          <w:rFonts w:ascii="Times New Roman" w:hAnsi="Times New Roman" w:cs="Times New Roman"/>
          <w:sz w:val="28"/>
          <w:szCs w:val="28"/>
        </w:rPr>
        <w:t>params_json</w:t>
      </w:r>
      <w:proofErr w:type="spellEnd"/>
      <w:r w:rsidRPr="00126B41">
        <w:rPr>
          <w:rFonts w:ascii="Times New Roman" w:hAnsi="Times New Roman" w:cs="Times New Roman"/>
          <w:sz w:val="28"/>
          <w:szCs w:val="28"/>
        </w:rPr>
        <w:t xml:space="preserve">, with failures logged without halting execution. </w:t>
      </w:r>
    </w:p>
    <w:p w14:paraId="742974A9" w14:textId="77777777" w:rsidR="00126B41" w:rsidRPr="00126B41" w:rsidRDefault="00126B41" w:rsidP="009C1D9F">
      <w:pPr>
        <w:ind w:left="360"/>
        <w:jc w:val="both"/>
        <w:rPr>
          <w:rFonts w:ascii="Times New Roman" w:hAnsi="Times New Roman" w:cs="Times New Roman"/>
          <w:sz w:val="28"/>
          <w:szCs w:val="28"/>
        </w:rPr>
      </w:pPr>
      <w:r w:rsidRPr="00126B41">
        <w:rPr>
          <w:rFonts w:ascii="Times New Roman" w:hAnsi="Times New Roman" w:cs="Times New Roman"/>
          <w:b/>
          <w:bCs/>
          <w:sz w:val="28"/>
          <w:szCs w:val="28"/>
        </w:rPr>
        <w:t>Fairness and Parity</w:t>
      </w:r>
      <w:r w:rsidRPr="00126B41">
        <w:rPr>
          <w:rFonts w:ascii="Times New Roman" w:hAnsi="Times New Roman" w:cs="Times New Roman"/>
          <w:sz w:val="28"/>
          <w:szCs w:val="28"/>
        </w:rPr>
        <w:t xml:space="preserve">: Comparable-by-construction methodology ensured identical synthetic dataset (seed 42) loaded across all databases, functionally equivalent queries using native syntax, standardized execution protocols (A1/A2 runs, write iterations, mixed ratios), phase-specific indexing applied consistently, driver-level timing with uniform logging schema, single hardware environment, and maintained free-tier constraints without premium optimizations. </w:t>
      </w:r>
    </w:p>
    <w:p w14:paraId="7F4DAB78" w14:textId="77777777" w:rsidR="00126B41" w:rsidRPr="00126B41" w:rsidRDefault="00126B41" w:rsidP="009C1D9F">
      <w:pPr>
        <w:ind w:left="360"/>
        <w:rPr>
          <w:rFonts w:ascii="Times New Roman" w:hAnsi="Times New Roman" w:cs="Times New Roman"/>
          <w:sz w:val="28"/>
          <w:szCs w:val="28"/>
        </w:rPr>
      </w:pPr>
      <w:r w:rsidRPr="00126B41">
        <w:rPr>
          <w:rFonts w:ascii="Times New Roman" w:hAnsi="Times New Roman" w:cs="Times New Roman"/>
          <w:b/>
          <w:bCs/>
          <w:sz w:val="28"/>
          <w:szCs w:val="28"/>
        </w:rPr>
        <w:t>Limitations</w:t>
      </w:r>
      <w:r w:rsidRPr="00126B41">
        <w:rPr>
          <w:rFonts w:ascii="Times New Roman" w:hAnsi="Times New Roman" w:cs="Times New Roman"/>
          <w:sz w:val="28"/>
          <w:szCs w:val="28"/>
        </w:rPr>
        <w:t xml:space="preserve">: Evaluation reflects free-tier resource constraints, single geographic region deployments (nearest available </w:t>
      </w:r>
      <w:proofErr w:type="spellStart"/>
      <w:r w:rsidRPr="00126B41">
        <w:rPr>
          <w:rFonts w:ascii="Times New Roman" w:hAnsi="Times New Roman" w:cs="Times New Roman"/>
          <w:sz w:val="28"/>
          <w:szCs w:val="28"/>
        </w:rPr>
        <w:t>datacenters</w:t>
      </w:r>
      <w:proofErr w:type="spellEnd"/>
      <w:r w:rsidRPr="00126B41">
        <w:rPr>
          <w:rFonts w:ascii="Times New Roman" w:hAnsi="Times New Roman" w:cs="Times New Roman"/>
          <w:sz w:val="28"/>
          <w:szCs w:val="28"/>
        </w:rPr>
        <w:t xml:space="preserve">), single-session execution without concurrent users, and driver-level timing capturing network transfer overhead rather than isolated server-side processing. Results represent out-of-box performance accessible to early-stage startups rather than enterprise-tuned configurations. </w:t>
      </w:r>
    </w:p>
    <w:p w14:paraId="41576A77" w14:textId="220F1FAB" w:rsidR="009C1D9F" w:rsidRDefault="00126B41" w:rsidP="009C1D9F">
      <w:pPr>
        <w:ind w:left="360"/>
        <w:rPr>
          <w:rFonts w:ascii="Times New Roman" w:hAnsi="Times New Roman" w:cs="Times New Roman"/>
          <w:sz w:val="28"/>
          <w:szCs w:val="28"/>
        </w:rPr>
      </w:pPr>
      <w:r w:rsidRPr="00126B41">
        <w:rPr>
          <w:rFonts w:ascii="Times New Roman" w:hAnsi="Times New Roman" w:cs="Times New Roman"/>
          <w:b/>
          <w:bCs/>
          <w:sz w:val="28"/>
          <w:szCs w:val="28"/>
        </w:rPr>
        <w:t>Replication</w:t>
      </w:r>
      <w:r w:rsidRPr="00126B41">
        <w:rPr>
          <w:rFonts w:ascii="Times New Roman" w:hAnsi="Times New Roman" w:cs="Times New Roman"/>
          <w:sz w:val="28"/>
          <w:szCs w:val="28"/>
        </w:rPr>
        <w:t xml:space="preserve">: All databases operated under default </w:t>
      </w:r>
      <w:proofErr w:type="spellStart"/>
      <w:r w:rsidRPr="00126B41">
        <w:rPr>
          <w:rFonts w:ascii="Times New Roman" w:hAnsi="Times New Roman" w:cs="Times New Roman"/>
          <w:sz w:val="28"/>
          <w:szCs w:val="28"/>
        </w:rPr>
        <w:t>freetier</w:t>
      </w:r>
      <w:proofErr w:type="spellEnd"/>
      <w:r w:rsidRPr="00126B41">
        <w:rPr>
          <w:rFonts w:ascii="Times New Roman" w:hAnsi="Times New Roman" w:cs="Times New Roman"/>
          <w:sz w:val="28"/>
          <w:szCs w:val="28"/>
        </w:rPr>
        <w:t xml:space="preserve"> replication settings without custom high-availability configurations.</w:t>
      </w:r>
    </w:p>
    <w:p w14:paraId="393EA522" w14:textId="77777777" w:rsidR="009C1D9F" w:rsidRDefault="009C1D9F">
      <w:pPr>
        <w:rPr>
          <w:rFonts w:ascii="Times New Roman" w:hAnsi="Times New Roman" w:cs="Times New Roman"/>
          <w:sz w:val="28"/>
          <w:szCs w:val="28"/>
        </w:rPr>
      </w:pPr>
      <w:r>
        <w:rPr>
          <w:rFonts w:ascii="Times New Roman" w:hAnsi="Times New Roman" w:cs="Times New Roman"/>
          <w:sz w:val="28"/>
          <w:szCs w:val="28"/>
        </w:rPr>
        <w:br w:type="page"/>
      </w:r>
    </w:p>
    <w:p w14:paraId="6E6133DA" w14:textId="77777777" w:rsidR="004F50E5" w:rsidRDefault="004F50E5" w:rsidP="009C1D9F">
      <w:pPr>
        <w:ind w:left="360"/>
        <w:rPr>
          <w:rFonts w:ascii="Times New Roman" w:hAnsi="Times New Roman" w:cs="Times New Roman"/>
          <w:sz w:val="28"/>
          <w:szCs w:val="28"/>
        </w:rPr>
      </w:pPr>
    </w:p>
    <w:p w14:paraId="13FD58C3" w14:textId="77777777" w:rsidR="00126B41" w:rsidRPr="00126B41" w:rsidRDefault="00126B41" w:rsidP="009C1D9F">
      <w:pPr>
        <w:jc w:val="center"/>
        <w:rPr>
          <w:rFonts w:ascii="Times New Roman" w:hAnsi="Times New Roman" w:cs="Times New Roman"/>
          <w:b/>
          <w:bCs/>
          <w:sz w:val="36"/>
          <w:szCs w:val="36"/>
        </w:rPr>
      </w:pPr>
      <w:r w:rsidRPr="00126B41">
        <w:rPr>
          <w:rFonts w:ascii="Times New Roman" w:hAnsi="Times New Roman" w:cs="Times New Roman"/>
          <w:b/>
          <w:bCs/>
          <w:sz w:val="36"/>
          <w:szCs w:val="36"/>
        </w:rPr>
        <w:t>CHAPTER 4</w:t>
      </w:r>
    </w:p>
    <w:p w14:paraId="4C45E0B2" w14:textId="77777777" w:rsidR="00126B41" w:rsidRPr="00126B41" w:rsidRDefault="00126B41" w:rsidP="009C1D9F">
      <w:pPr>
        <w:jc w:val="center"/>
        <w:rPr>
          <w:rFonts w:ascii="Times New Roman" w:hAnsi="Times New Roman" w:cs="Times New Roman"/>
          <w:b/>
          <w:bCs/>
          <w:sz w:val="36"/>
          <w:szCs w:val="36"/>
        </w:rPr>
      </w:pPr>
      <w:r w:rsidRPr="00126B41">
        <w:rPr>
          <w:rFonts w:ascii="Times New Roman" w:hAnsi="Times New Roman" w:cs="Times New Roman"/>
          <w:b/>
          <w:bCs/>
          <w:sz w:val="36"/>
          <w:szCs w:val="36"/>
        </w:rPr>
        <w:t>RESULTS</w:t>
      </w:r>
    </w:p>
    <w:p w14:paraId="6F9C1E5D" w14:textId="53F07F06" w:rsidR="00126B41" w:rsidRDefault="00126B41" w:rsidP="00293518">
      <w:pPr>
        <w:jc w:val="both"/>
        <w:rPr>
          <w:rFonts w:ascii="Times New Roman" w:hAnsi="Times New Roman" w:cs="Times New Roman"/>
          <w:sz w:val="28"/>
          <w:szCs w:val="28"/>
        </w:rPr>
      </w:pPr>
      <w:r w:rsidRPr="00126B41">
        <w:rPr>
          <w:rFonts w:ascii="Times New Roman" w:hAnsi="Times New Roman" w:cs="Times New Roman"/>
          <w:sz w:val="28"/>
          <w:szCs w:val="28"/>
        </w:rPr>
        <w:t xml:space="preserve">This section presents empirical findings from a comprehensive e-commerce database benchmarking study comparing </w:t>
      </w:r>
      <w:proofErr w:type="spellStart"/>
      <w:r w:rsidRPr="00126B41">
        <w:rPr>
          <w:rFonts w:ascii="Times New Roman" w:hAnsi="Times New Roman" w:cs="Times New Roman"/>
          <w:sz w:val="28"/>
          <w:szCs w:val="28"/>
        </w:rPr>
        <w:t>Supabase</w:t>
      </w:r>
      <w:proofErr w:type="spellEnd"/>
      <w:r w:rsidRPr="00126B41">
        <w:rPr>
          <w:rFonts w:ascii="Times New Roman" w:hAnsi="Times New Roman" w:cs="Times New Roman"/>
          <w:sz w:val="28"/>
          <w:szCs w:val="28"/>
        </w:rPr>
        <w:t xml:space="preserve">/PostgreSQL, MongoDB Atlas, and DataStax </w:t>
      </w:r>
      <w:proofErr w:type="spellStart"/>
      <w:r w:rsidRPr="00126B41">
        <w:rPr>
          <w:rFonts w:ascii="Times New Roman" w:hAnsi="Times New Roman" w:cs="Times New Roman"/>
          <w:sz w:val="28"/>
          <w:szCs w:val="28"/>
        </w:rPr>
        <w:t>AstraDB</w:t>
      </w:r>
      <w:proofErr w:type="spellEnd"/>
      <w:r w:rsidRPr="00126B41">
        <w:rPr>
          <w:rFonts w:ascii="Times New Roman" w:hAnsi="Times New Roman" w:cs="Times New Roman"/>
          <w:sz w:val="28"/>
          <w:szCs w:val="28"/>
        </w:rPr>
        <w:t xml:space="preserve"> across four distinct workload phases. Each database executed identical query sets under controlled conditions: Phase A1 (fixed-input reads with read-optimized indexes), Phase A2 (random-input reads with read-optimized indexes), Write Phase (isolated write operations with </w:t>
      </w:r>
      <w:proofErr w:type="spellStart"/>
      <w:r w:rsidRPr="00126B41">
        <w:rPr>
          <w:rFonts w:ascii="Times New Roman" w:hAnsi="Times New Roman" w:cs="Times New Roman"/>
          <w:sz w:val="28"/>
          <w:szCs w:val="28"/>
        </w:rPr>
        <w:t>writeminimized</w:t>
      </w:r>
      <w:proofErr w:type="spellEnd"/>
      <w:r w:rsidRPr="00126B41">
        <w:rPr>
          <w:rFonts w:ascii="Times New Roman" w:hAnsi="Times New Roman" w:cs="Times New Roman"/>
          <w:sz w:val="28"/>
          <w:szCs w:val="28"/>
        </w:rPr>
        <w:t xml:space="preserve"> indexes), and Mixed Phase (65% read, 35% write workload with balanced indexes). All performance data was captured in structured CSV logs during execution and subsequently processed through automated metric computation scripts to derive percentile distributions (p50, p95, p99), dispersion indicators (IQR, MAD), throughput metrics (QPS, TPS), and reliability measures (success rates). The analysis pipeline generated 10 figures visualizing </w:t>
      </w:r>
      <w:proofErr w:type="spellStart"/>
      <w:r w:rsidRPr="00126B41">
        <w:rPr>
          <w:rFonts w:ascii="Times New Roman" w:hAnsi="Times New Roman" w:cs="Times New Roman"/>
          <w:sz w:val="28"/>
          <w:szCs w:val="28"/>
        </w:rPr>
        <w:t>crossdatabase</w:t>
      </w:r>
      <w:proofErr w:type="spellEnd"/>
      <w:r w:rsidRPr="00126B41">
        <w:rPr>
          <w:rFonts w:ascii="Times New Roman" w:hAnsi="Times New Roman" w:cs="Times New Roman"/>
          <w:sz w:val="28"/>
          <w:szCs w:val="28"/>
        </w:rPr>
        <w:t xml:space="preserve"> comparisons, with outlier operations isolated for clarity where performance deviations exceeded 10× median thresholds. Observations reported here are factual measurements; interpretation and implications are reserved for subsequent discussion.</w:t>
      </w:r>
    </w:p>
    <w:p w14:paraId="00ABD5D6" w14:textId="7A852CCD" w:rsidR="003C5CEC" w:rsidRPr="00293518" w:rsidRDefault="003C5CEC" w:rsidP="00293518">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t xml:space="preserve">Results Framework and Analysis Strategy </w:t>
      </w:r>
    </w:p>
    <w:p w14:paraId="6C54F470" w14:textId="059A0BD7" w:rsidR="003C5CEC" w:rsidRPr="00293518" w:rsidRDefault="003C5CEC" w:rsidP="00293518">
      <w:pPr>
        <w:ind w:left="360"/>
        <w:jc w:val="both"/>
        <w:rPr>
          <w:rFonts w:ascii="Times New Roman" w:hAnsi="Times New Roman" w:cs="Times New Roman"/>
          <w:b/>
          <w:bCs/>
          <w:sz w:val="28"/>
          <w:szCs w:val="28"/>
        </w:rPr>
      </w:pPr>
      <w:r w:rsidRPr="00293518">
        <w:rPr>
          <w:rFonts w:ascii="Times New Roman" w:hAnsi="Times New Roman" w:cs="Times New Roman"/>
          <w:b/>
          <w:bCs/>
          <w:sz w:val="28"/>
          <w:szCs w:val="28"/>
        </w:rPr>
        <w:t xml:space="preserve">Metric Selection Rationale </w:t>
      </w:r>
    </w:p>
    <w:p w14:paraId="3320BD3B" w14:textId="208541E9"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Performance evaluation employed percentile-based distributions rather than arithmetic means to capture tail behaviour critical for user-facing applications. The 50th percentile (p50 or median) represents typical latency experienced by half of all requests, while the 95th (p95) and 99th (p99) percentiles quantify worst-case performance affecting minority but significant user populations. Unlike averages, percentiles remain robust against outliers and directly answer operational questions: “What latency do 99% of users experience?” Maximum values (max) captured absolute worst-case scenarios. This approach aligns with </w:t>
      </w:r>
      <w:r w:rsidR="006A4623" w:rsidRPr="003C5CEC">
        <w:rPr>
          <w:rFonts w:ascii="Times New Roman" w:hAnsi="Times New Roman" w:cs="Times New Roman"/>
          <w:sz w:val="28"/>
          <w:szCs w:val="28"/>
        </w:rPr>
        <w:t>industry standard</w:t>
      </w:r>
      <w:r w:rsidRPr="003C5CEC">
        <w:rPr>
          <w:rFonts w:ascii="Times New Roman" w:hAnsi="Times New Roman" w:cs="Times New Roman"/>
          <w:sz w:val="28"/>
          <w:szCs w:val="28"/>
        </w:rPr>
        <w:t xml:space="preserve"> service-level objective (SLO) definitions where tail latencies often dominate perceived application responsiveness. </w:t>
      </w:r>
    </w:p>
    <w:p w14:paraId="7D39A2D1"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Phase-specific metrics extended this foundation. For A1 (fixed-input reads), cold-warm delta Δ</w:t>
      </w:r>
      <w:r w:rsidRPr="003C5CEC">
        <w:rPr>
          <w:rFonts w:ascii="Times New Roman" w:hAnsi="Times New Roman" w:cs="Times New Roman"/>
          <w:sz w:val="28"/>
          <w:szCs w:val="28"/>
          <w:vertAlign w:val="subscript"/>
        </w:rPr>
        <w:t>cold-warm</w:t>
      </w:r>
      <w:r w:rsidRPr="003C5CEC">
        <w:rPr>
          <w:rFonts w:ascii="Times New Roman" w:hAnsi="Times New Roman" w:cs="Times New Roman"/>
          <w:sz w:val="28"/>
          <w:szCs w:val="28"/>
        </w:rPr>
        <w:t xml:space="preserve"> and percentage improvement % improvement </w:t>
      </w:r>
      <w:r w:rsidRPr="003C5CEC">
        <w:rPr>
          <w:rFonts w:ascii="Times New Roman" w:hAnsi="Times New Roman" w:cs="Times New Roman"/>
          <w:sz w:val="28"/>
          <w:szCs w:val="28"/>
        </w:rPr>
        <w:lastRenderedPageBreak/>
        <w:t>quantified cache effectiveness. Tail amplification ratio p99</w:t>
      </w:r>
      <w:r>
        <w:rPr>
          <w:rFonts w:ascii="Times New Roman" w:hAnsi="Times New Roman" w:cs="Times New Roman"/>
          <w:sz w:val="28"/>
          <w:szCs w:val="28"/>
        </w:rPr>
        <w:t>/</w:t>
      </w:r>
      <w:r w:rsidRPr="003C5CEC">
        <w:rPr>
          <w:rFonts w:ascii="Times New Roman" w:hAnsi="Times New Roman" w:cs="Times New Roman"/>
          <w:sz w:val="28"/>
          <w:szCs w:val="28"/>
        </w:rPr>
        <w:t xml:space="preserve">p50 measured consistency— values below 2 indicate stable performance, while ratios exceeding 5 signal unpredictable tail latency unsuitable for latency-sensitive applications. For A2 (random-input reads), dispersion indicators complemented percentiles: Interquartile Range </w:t>
      </w:r>
    </w:p>
    <w:p w14:paraId="4A8DE72E" w14:textId="153DF58E" w:rsidR="003C5CEC" w:rsidRDefault="003C5CEC" w:rsidP="00293518">
      <w:pPr>
        <w:ind w:left="360"/>
        <w:jc w:val="center"/>
        <w:rPr>
          <w:rFonts w:ascii="Times New Roman" w:hAnsi="Times New Roman" w:cs="Times New Roman"/>
          <w:sz w:val="28"/>
          <w:szCs w:val="28"/>
        </w:rPr>
      </w:pPr>
      <w:r w:rsidRPr="003C5CEC">
        <w:rPr>
          <w:rFonts w:ascii="Times New Roman" w:hAnsi="Times New Roman" w:cs="Times New Roman"/>
          <w:sz w:val="28"/>
          <w:szCs w:val="28"/>
        </w:rPr>
        <w:t xml:space="preserve">IQR = </w:t>
      </w:r>
      <w:r w:rsidRPr="003C5CEC">
        <w:rPr>
          <w:rFonts w:ascii="Cambria Math" w:hAnsi="Cambria Math" w:cs="Cambria Math"/>
          <w:sz w:val="28"/>
          <w:szCs w:val="28"/>
        </w:rPr>
        <w:t>𝑄</w:t>
      </w:r>
      <w:r w:rsidRPr="003C5CEC">
        <w:rPr>
          <w:rFonts w:ascii="Times New Roman" w:hAnsi="Times New Roman" w:cs="Times New Roman"/>
          <w:sz w:val="28"/>
          <w:szCs w:val="28"/>
        </w:rPr>
        <w:t xml:space="preserve">3 − </w:t>
      </w:r>
      <w:r w:rsidRPr="003C5CEC">
        <w:rPr>
          <w:rFonts w:ascii="Cambria Math" w:hAnsi="Cambria Math" w:cs="Cambria Math"/>
          <w:sz w:val="28"/>
          <w:szCs w:val="28"/>
        </w:rPr>
        <w:t>𝑄</w:t>
      </w:r>
      <w:r w:rsidRPr="003C5CEC">
        <w:rPr>
          <w:rFonts w:ascii="Times New Roman" w:hAnsi="Times New Roman" w:cs="Times New Roman"/>
          <w:sz w:val="28"/>
          <w:szCs w:val="28"/>
        </w:rPr>
        <w:t>1</w:t>
      </w:r>
    </w:p>
    <w:p w14:paraId="0831D879"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captured middle 50% spread, while Median Absolute Deviation </w:t>
      </w:r>
    </w:p>
    <w:p w14:paraId="06094376" w14:textId="39BFFC47" w:rsidR="003C5CEC" w:rsidRDefault="003C5CEC" w:rsidP="00293518">
      <w:pPr>
        <w:ind w:left="360"/>
        <w:jc w:val="center"/>
        <w:rPr>
          <w:rFonts w:ascii="Times New Roman" w:hAnsi="Times New Roman" w:cs="Times New Roman"/>
          <w:sz w:val="28"/>
          <w:szCs w:val="28"/>
        </w:rPr>
      </w:pPr>
      <w:r w:rsidRPr="003C5CEC">
        <w:rPr>
          <w:rFonts w:ascii="Times New Roman" w:hAnsi="Times New Roman" w:cs="Times New Roman"/>
          <w:sz w:val="28"/>
          <w:szCs w:val="28"/>
        </w:rPr>
        <w:t>MAD = median (|value − median|)</w:t>
      </w:r>
    </w:p>
    <w:p w14:paraId="6BDFD4A0" w14:textId="66592C66"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provided outlier-resistant variability measures. These metrics directly quantified parameter sensitivity under realistic access patterns. Write phase metrics included success rates </w:t>
      </w:r>
    </w:p>
    <w:p w14:paraId="0F08DAC1" w14:textId="438E00C2" w:rsidR="003C5CEC" w:rsidRDefault="003C5CEC" w:rsidP="00293518">
      <w:pPr>
        <w:ind w:left="360"/>
        <w:jc w:val="center"/>
        <w:rPr>
          <w:rFonts w:ascii="Times New Roman" w:hAnsi="Times New Roman" w:cs="Times New Roman"/>
          <w:sz w:val="28"/>
          <w:szCs w:val="28"/>
        </w:rPr>
      </w:pPr>
      <w:r w:rsidRPr="003C5CEC">
        <w:rPr>
          <w:rFonts w:ascii="Times New Roman" w:hAnsi="Times New Roman" w:cs="Times New Roman"/>
          <w:sz w:val="28"/>
          <w:szCs w:val="28"/>
        </w:rPr>
        <w:t>Success rate = successes</w:t>
      </w:r>
      <w:r>
        <w:rPr>
          <w:rFonts w:ascii="Times New Roman" w:hAnsi="Times New Roman" w:cs="Times New Roman"/>
          <w:sz w:val="28"/>
          <w:szCs w:val="28"/>
        </w:rPr>
        <w:t>/</w:t>
      </w:r>
      <w:r w:rsidRPr="003C5CEC">
        <w:rPr>
          <w:rFonts w:ascii="Times New Roman" w:hAnsi="Times New Roman" w:cs="Times New Roman"/>
          <w:sz w:val="28"/>
          <w:szCs w:val="28"/>
        </w:rPr>
        <w:t>total × 100</w:t>
      </w:r>
    </w:p>
    <w:p w14:paraId="10B5A107"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and error taxonomy to assess reliability alongside latency. Mixed phase introduced throughput metrics: Read QPS (queries per second) </w:t>
      </w:r>
    </w:p>
    <w:p w14:paraId="5E9A03AA" w14:textId="627F2A7E" w:rsidR="003C5CEC" w:rsidRDefault="003C5CEC" w:rsidP="00293518">
      <w:pPr>
        <w:ind w:left="360"/>
        <w:jc w:val="center"/>
        <w:rPr>
          <w:rFonts w:ascii="Times New Roman" w:hAnsi="Times New Roman" w:cs="Times New Roman"/>
          <w:sz w:val="28"/>
          <w:szCs w:val="28"/>
        </w:rPr>
      </w:pPr>
      <w:r w:rsidRPr="003C5CEC">
        <w:rPr>
          <w:rFonts w:ascii="Times New Roman" w:hAnsi="Times New Roman" w:cs="Times New Roman"/>
          <w:sz w:val="28"/>
          <w:szCs w:val="28"/>
        </w:rPr>
        <w:t>Read QPS = total reads</w:t>
      </w:r>
      <w:r>
        <w:rPr>
          <w:rFonts w:ascii="Times New Roman" w:hAnsi="Times New Roman" w:cs="Times New Roman"/>
          <w:sz w:val="28"/>
          <w:szCs w:val="28"/>
        </w:rPr>
        <w:t>/</w:t>
      </w:r>
      <w:r w:rsidRPr="003C5CEC">
        <w:rPr>
          <w:rFonts w:ascii="Times New Roman" w:hAnsi="Times New Roman" w:cs="Times New Roman"/>
          <w:sz w:val="28"/>
          <w:szCs w:val="28"/>
        </w:rPr>
        <w:t>elapsed time</w:t>
      </w:r>
    </w:p>
    <w:p w14:paraId="65D80852" w14:textId="545867FC"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Write TPS (transactions per second) </w:t>
      </w:r>
    </w:p>
    <w:p w14:paraId="1FE438C7" w14:textId="558B77C9" w:rsidR="003C5CEC" w:rsidRDefault="003C5CEC" w:rsidP="00293518">
      <w:pPr>
        <w:ind w:left="360"/>
        <w:jc w:val="center"/>
        <w:rPr>
          <w:rFonts w:ascii="Times New Roman" w:hAnsi="Times New Roman" w:cs="Times New Roman"/>
          <w:sz w:val="28"/>
          <w:szCs w:val="28"/>
        </w:rPr>
      </w:pPr>
      <w:r w:rsidRPr="003C5CEC">
        <w:rPr>
          <w:rFonts w:ascii="Times New Roman" w:hAnsi="Times New Roman" w:cs="Times New Roman"/>
          <w:sz w:val="28"/>
          <w:szCs w:val="28"/>
        </w:rPr>
        <w:t>Write TPS = total writes</w:t>
      </w:r>
      <w:r>
        <w:rPr>
          <w:rFonts w:ascii="Times New Roman" w:hAnsi="Times New Roman" w:cs="Times New Roman"/>
          <w:sz w:val="28"/>
          <w:szCs w:val="28"/>
        </w:rPr>
        <w:t>/</w:t>
      </w:r>
      <w:r w:rsidRPr="003C5CEC">
        <w:rPr>
          <w:rFonts w:ascii="Times New Roman" w:hAnsi="Times New Roman" w:cs="Times New Roman"/>
          <w:sz w:val="28"/>
          <w:szCs w:val="28"/>
        </w:rPr>
        <w:t>elapsed time</w:t>
      </w:r>
    </w:p>
    <w:p w14:paraId="19C2D627"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enabling realistic 65/35 workload assessment under balanced indexes. </w:t>
      </w:r>
    </w:p>
    <w:p w14:paraId="38CDDC5F" w14:textId="63F3099F" w:rsidR="003C5CEC" w:rsidRPr="00293518" w:rsidRDefault="003C5CEC" w:rsidP="00293518">
      <w:pPr>
        <w:ind w:left="360"/>
        <w:jc w:val="both"/>
        <w:rPr>
          <w:rFonts w:ascii="Times New Roman" w:hAnsi="Times New Roman" w:cs="Times New Roman"/>
          <w:b/>
          <w:bCs/>
          <w:sz w:val="28"/>
          <w:szCs w:val="28"/>
        </w:rPr>
      </w:pPr>
      <w:r w:rsidRPr="00293518">
        <w:rPr>
          <w:rFonts w:ascii="Times New Roman" w:hAnsi="Times New Roman" w:cs="Times New Roman"/>
          <w:b/>
          <w:bCs/>
          <w:sz w:val="28"/>
          <w:szCs w:val="28"/>
        </w:rPr>
        <w:t xml:space="preserve">Data Processing Pipeline </w:t>
      </w:r>
    </w:p>
    <w:p w14:paraId="6C89409E"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Raw execution logs captured via the logging strategy outlined in Methodology (Section 3.9) were processed through four phase-specific Python scripts following a standardized eight-cell architecture: (1) dependency imports</w:t>
      </w:r>
      <w:r>
        <w:rPr>
          <w:rFonts w:ascii="Times New Roman" w:hAnsi="Times New Roman" w:cs="Times New Roman"/>
          <w:sz w:val="28"/>
          <w:szCs w:val="28"/>
        </w:rPr>
        <w:t xml:space="preserve">, </w:t>
      </w:r>
      <w:r w:rsidRPr="003C5CEC">
        <w:rPr>
          <w:rFonts w:ascii="Times New Roman" w:hAnsi="Times New Roman" w:cs="Times New Roman"/>
          <w:sz w:val="28"/>
          <w:szCs w:val="28"/>
        </w:rPr>
        <w:t>(2) manual path configuration, (3) CSV ingestion with column validation, (4) sample count and data integrity verification, (5) percentile computation using NumPy linear interpolation, (6) phase-specific metric derivation, (7) output aggregation to structured CSVs, and (8) validation summary generation. All scripts employed consistent column naming (</w:t>
      </w:r>
      <w:proofErr w:type="spellStart"/>
      <w:r w:rsidRPr="003C5CEC">
        <w:rPr>
          <w:rFonts w:ascii="Times New Roman" w:hAnsi="Times New Roman" w:cs="Times New Roman"/>
          <w:sz w:val="28"/>
          <w:szCs w:val="28"/>
        </w:rPr>
        <w:t>db_system</w:t>
      </w:r>
      <w:proofErr w:type="spellEnd"/>
      <w:r w:rsidRPr="003C5CEC">
        <w:rPr>
          <w:rFonts w:ascii="Times New Roman" w:hAnsi="Times New Roman" w:cs="Times New Roman"/>
          <w:sz w:val="28"/>
          <w:szCs w:val="28"/>
        </w:rPr>
        <w:t xml:space="preserve">, </w:t>
      </w:r>
      <w:proofErr w:type="spellStart"/>
      <w:r w:rsidRPr="003C5CEC">
        <w:rPr>
          <w:rFonts w:ascii="Times New Roman" w:hAnsi="Times New Roman" w:cs="Times New Roman"/>
          <w:sz w:val="28"/>
          <w:szCs w:val="28"/>
        </w:rPr>
        <w:t>query_id</w:t>
      </w:r>
      <w:proofErr w:type="spellEnd"/>
      <w:r w:rsidRPr="003C5CEC">
        <w:rPr>
          <w:rFonts w:ascii="Times New Roman" w:hAnsi="Times New Roman" w:cs="Times New Roman"/>
          <w:sz w:val="28"/>
          <w:szCs w:val="28"/>
        </w:rPr>
        <w:t xml:space="preserve">, </w:t>
      </w:r>
      <w:proofErr w:type="spellStart"/>
      <w:r w:rsidRPr="003C5CEC">
        <w:rPr>
          <w:rFonts w:ascii="Times New Roman" w:hAnsi="Times New Roman" w:cs="Times New Roman"/>
          <w:sz w:val="28"/>
          <w:szCs w:val="28"/>
        </w:rPr>
        <w:t>execution_ms</w:t>
      </w:r>
      <w:proofErr w:type="spellEnd"/>
      <w:r w:rsidRPr="003C5CEC">
        <w:rPr>
          <w:rFonts w:ascii="Times New Roman" w:hAnsi="Times New Roman" w:cs="Times New Roman"/>
          <w:sz w:val="28"/>
          <w:szCs w:val="28"/>
        </w:rPr>
        <w:t xml:space="preserve">, </w:t>
      </w:r>
      <w:proofErr w:type="spellStart"/>
      <w:r w:rsidRPr="003C5CEC">
        <w:rPr>
          <w:rFonts w:ascii="Times New Roman" w:hAnsi="Times New Roman" w:cs="Times New Roman"/>
          <w:sz w:val="28"/>
          <w:szCs w:val="28"/>
        </w:rPr>
        <w:t>error_code</w:t>
      </w:r>
      <w:proofErr w:type="spellEnd"/>
      <w:r w:rsidRPr="003C5CEC">
        <w:rPr>
          <w:rFonts w:ascii="Times New Roman" w:hAnsi="Times New Roman" w:cs="Times New Roman"/>
          <w:sz w:val="28"/>
          <w:szCs w:val="28"/>
        </w:rPr>
        <w:t xml:space="preserve">) ensuring database-agnostic processing. Error handling excluded failed operations (missing </w:t>
      </w:r>
      <w:proofErr w:type="spellStart"/>
      <w:r w:rsidRPr="003C5CEC">
        <w:rPr>
          <w:rFonts w:ascii="Times New Roman" w:hAnsi="Times New Roman" w:cs="Times New Roman"/>
          <w:sz w:val="28"/>
          <w:szCs w:val="28"/>
        </w:rPr>
        <w:t>execution_ms</w:t>
      </w:r>
      <w:proofErr w:type="spellEnd"/>
      <w:r w:rsidRPr="003C5CEC">
        <w:rPr>
          <w:rFonts w:ascii="Times New Roman" w:hAnsi="Times New Roman" w:cs="Times New Roman"/>
          <w:sz w:val="28"/>
          <w:szCs w:val="28"/>
        </w:rPr>
        <w:t xml:space="preserve"> or non-null </w:t>
      </w:r>
      <w:proofErr w:type="spellStart"/>
      <w:r w:rsidRPr="003C5CEC">
        <w:rPr>
          <w:rFonts w:ascii="Times New Roman" w:hAnsi="Times New Roman" w:cs="Times New Roman"/>
          <w:sz w:val="28"/>
          <w:szCs w:val="28"/>
        </w:rPr>
        <w:t>error_code</w:t>
      </w:r>
      <w:proofErr w:type="spellEnd"/>
      <w:r w:rsidRPr="003C5CEC">
        <w:rPr>
          <w:rFonts w:ascii="Times New Roman" w:hAnsi="Times New Roman" w:cs="Times New Roman"/>
          <w:sz w:val="28"/>
          <w:szCs w:val="28"/>
        </w:rPr>
        <w:t xml:space="preserve">) from latency calculations while preserving error metadata for reliability analysis. Run count validation flagged anomalies—A1 expected exactly 1 cold + 10 warm runs per query, Write and A2 expected </w:t>
      </w:r>
      <w:r w:rsidRPr="003C5CEC">
        <w:rPr>
          <w:rFonts w:ascii="Times New Roman" w:hAnsi="Times New Roman" w:cs="Times New Roman"/>
          <w:sz w:val="28"/>
          <w:szCs w:val="28"/>
        </w:rPr>
        <w:lastRenderedPageBreak/>
        <w:t xml:space="preserve">approximately 100 runs each, Mixed validated 65±5% read ratio. Percentile functions gracefully handled edge cases (empty series, insufficient samples) by returning None rather than crashing, maintaining pipeline robustness across diverse database </w:t>
      </w:r>
      <w:proofErr w:type="spellStart"/>
      <w:r w:rsidRPr="003C5CEC">
        <w:rPr>
          <w:rFonts w:ascii="Times New Roman" w:hAnsi="Times New Roman" w:cs="Times New Roman"/>
          <w:sz w:val="28"/>
          <w:szCs w:val="28"/>
        </w:rPr>
        <w:t>behaviors</w:t>
      </w:r>
      <w:proofErr w:type="spellEnd"/>
      <w:r w:rsidRPr="003C5CEC">
        <w:rPr>
          <w:rFonts w:ascii="Times New Roman" w:hAnsi="Times New Roman" w:cs="Times New Roman"/>
          <w:sz w:val="28"/>
          <w:szCs w:val="28"/>
        </w:rPr>
        <w:t xml:space="preserve">. All outputs embedded database identifiers for traceability, enabling reproducible metric </w:t>
      </w:r>
      <w:proofErr w:type="spellStart"/>
      <w:r w:rsidRPr="003C5CEC">
        <w:rPr>
          <w:rFonts w:ascii="Times New Roman" w:hAnsi="Times New Roman" w:cs="Times New Roman"/>
          <w:sz w:val="28"/>
          <w:szCs w:val="28"/>
        </w:rPr>
        <w:t>recomputation</w:t>
      </w:r>
      <w:proofErr w:type="spellEnd"/>
      <w:r w:rsidRPr="003C5CEC">
        <w:rPr>
          <w:rFonts w:ascii="Times New Roman" w:hAnsi="Times New Roman" w:cs="Times New Roman"/>
          <w:sz w:val="28"/>
          <w:szCs w:val="28"/>
        </w:rPr>
        <w:t xml:space="preserve"> from archived logs. </w:t>
      </w:r>
    </w:p>
    <w:p w14:paraId="1C2DFCD4" w14:textId="77777777" w:rsidR="00293518" w:rsidRPr="00293518" w:rsidRDefault="003C5CEC" w:rsidP="00293518">
      <w:pPr>
        <w:ind w:left="360"/>
        <w:jc w:val="both"/>
        <w:rPr>
          <w:rFonts w:ascii="Times New Roman" w:hAnsi="Times New Roman" w:cs="Times New Roman"/>
          <w:b/>
          <w:bCs/>
          <w:sz w:val="28"/>
          <w:szCs w:val="28"/>
        </w:rPr>
      </w:pPr>
      <w:r w:rsidRPr="00293518">
        <w:rPr>
          <w:rFonts w:ascii="Times New Roman" w:hAnsi="Times New Roman" w:cs="Times New Roman"/>
          <w:b/>
          <w:bCs/>
          <w:sz w:val="28"/>
          <w:szCs w:val="28"/>
        </w:rPr>
        <w:t xml:space="preserve">Visualization Strategy </w:t>
      </w:r>
    </w:p>
    <w:p w14:paraId="75996D15" w14:textId="7C427275"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Ten publication-quality figures (300 DPI PNG) were generated via automated scripts to enable cross-database comparison while managing scale compression from performance outliers. Outlier detection applied dual thresholds: operations flagged if maximum latency exceeded 10× overall median p50 OR 5× overall p99. Detected outliers (e.g., </w:t>
      </w:r>
      <w:proofErr w:type="spellStart"/>
      <w:r w:rsidRPr="003C5CEC">
        <w:rPr>
          <w:rFonts w:ascii="Times New Roman" w:hAnsi="Times New Roman" w:cs="Times New Roman"/>
          <w:sz w:val="28"/>
          <w:szCs w:val="28"/>
        </w:rPr>
        <w:t>AstraDB</w:t>
      </w:r>
      <w:proofErr w:type="spellEnd"/>
      <w:r w:rsidRPr="003C5CEC">
        <w:rPr>
          <w:rFonts w:ascii="Times New Roman" w:hAnsi="Times New Roman" w:cs="Times New Roman"/>
          <w:sz w:val="28"/>
          <w:szCs w:val="28"/>
        </w:rPr>
        <w:t xml:space="preserve"> Query R6 at 413 seconds) were isolated into separate figures, allowing main visualizations to use adaptive Y-axis scaling optimized for normal query ranges— 20ms padding for ranges</w:t>
      </w:r>
      <w:r>
        <w:rPr>
          <w:rFonts w:ascii="Times New Roman" w:hAnsi="Times New Roman" w:cs="Times New Roman"/>
          <w:sz w:val="28"/>
          <w:szCs w:val="28"/>
        </w:rPr>
        <w:t xml:space="preserve"> &lt;</w:t>
      </w:r>
      <w:r w:rsidRPr="003C5CEC">
        <w:t xml:space="preserve"> </w:t>
      </w:r>
      <w:r w:rsidRPr="003C5CEC">
        <w:rPr>
          <w:rFonts w:ascii="Times New Roman" w:hAnsi="Times New Roman" w:cs="Times New Roman"/>
          <w:sz w:val="28"/>
          <w:szCs w:val="28"/>
        </w:rPr>
        <w:t xml:space="preserve">100ms, 15% proportional padding otherwise. This dual-output approach preserved both typical performance clarity and outlier context without scale distortion. </w:t>
      </w:r>
      <w:proofErr w:type="spellStart"/>
      <w:r w:rsidRPr="003C5CEC">
        <w:rPr>
          <w:rFonts w:ascii="Times New Roman" w:hAnsi="Times New Roman" w:cs="Times New Roman"/>
          <w:sz w:val="28"/>
          <w:szCs w:val="28"/>
        </w:rPr>
        <w:t>Color</w:t>
      </w:r>
      <w:proofErr w:type="spellEnd"/>
      <w:r w:rsidRPr="003C5CEC">
        <w:rPr>
          <w:rFonts w:ascii="Times New Roman" w:hAnsi="Times New Roman" w:cs="Times New Roman"/>
          <w:sz w:val="28"/>
          <w:szCs w:val="28"/>
        </w:rPr>
        <w:t xml:space="preserve"> semantics remained consistent: green for normal/successful operations, orange for moderate severity (writes, tail latencies), red for errors/outliers/high amplification ratios, and purple for distribution visualizations (A2 violins). A1 generated 3 figures (warm performance bars, tail amplification heatmap, outliers if detected), A2 produced 2 figures (IQR comparison bars with optional outlier separation), Write phase created 2 figures (dual-panel latency + success rates, outlier latency if detected), and Mixed phase yielded 3 figures (throughput comparison, </w:t>
      </w:r>
      <w:proofErr w:type="spellStart"/>
      <w:r w:rsidRPr="003C5CEC">
        <w:rPr>
          <w:rFonts w:ascii="Times New Roman" w:hAnsi="Times New Roman" w:cs="Times New Roman"/>
          <w:sz w:val="28"/>
          <w:szCs w:val="28"/>
        </w:rPr>
        <w:t>peroperation</w:t>
      </w:r>
      <w:proofErr w:type="spellEnd"/>
      <w:r w:rsidRPr="003C5CEC">
        <w:rPr>
          <w:rFonts w:ascii="Times New Roman" w:hAnsi="Times New Roman" w:cs="Times New Roman"/>
          <w:sz w:val="28"/>
          <w:szCs w:val="28"/>
        </w:rPr>
        <w:t xml:space="preserve"> p99 bars, outlier operations if detected). Figure types prioritized quantitative comparison over qualitative distribution visualization—grouped bar charts dominated over violin plots—to maximize cross-database </w:t>
      </w:r>
      <w:proofErr w:type="spellStart"/>
      <w:r w:rsidRPr="003C5CEC">
        <w:rPr>
          <w:rFonts w:ascii="Times New Roman" w:hAnsi="Times New Roman" w:cs="Times New Roman"/>
          <w:sz w:val="28"/>
          <w:szCs w:val="28"/>
        </w:rPr>
        <w:t>decisionmaking</w:t>
      </w:r>
      <w:proofErr w:type="spellEnd"/>
      <w:r w:rsidRPr="003C5CEC">
        <w:rPr>
          <w:rFonts w:ascii="Times New Roman" w:hAnsi="Times New Roman" w:cs="Times New Roman"/>
          <w:sz w:val="28"/>
          <w:szCs w:val="28"/>
        </w:rPr>
        <w:t xml:space="preserve"> utility. All figures included stats boxes documenting query/operation counts, outlier presence, and metric definitions, ensuring interpretability without external reference. </w:t>
      </w:r>
    </w:p>
    <w:p w14:paraId="433E45B6" w14:textId="5E28083B" w:rsidR="003C5CEC" w:rsidRPr="00293518" w:rsidRDefault="003C5CEC" w:rsidP="00293518">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t xml:space="preserve">Phase A1: Fixed-Input Read Performance </w:t>
      </w:r>
    </w:p>
    <w:p w14:paraId="6B82F401" w14:textId="77777777" w:rsidR="003C5CEC" w:rsidRDefault="003C5CEC" w:rsidP="00293518">
      <w:pPr>
        <w:ind w:left="360"/>
        <w:jc w:val="both"/>
        <w:rPr>
          <w:rFonts w:ascii="Times New Roman" w:hAnsi="Times New Roman" w:cs="Times New Roman"/>
          <w:sz w:val="28"/>
          <w:szCs w:val="28"/>
        </w:rPr>
      </w:pPr>
      <w:r w:rsidRPr="003C5CEC">
        <w:rPr>
          <w:rFonts w:ascii="Times New Roman" w:hAnsi="Times New Roman" w:cs="Times New Roman"/>
          <w:sz w:val="28"/>
          <w:szCs w:val="28"/>
        </w:rPr>
        <w:t xml:space="preserve">Phase A1 evaluated read query performance under </w:t>
      </w:r>
      <w:proofErr w:type="spellStart"/>
      <w:r w:rsidRPr="003C5CEC">
        <w:rPr>
          <w:rFonts w:ascii="Times New Roman" w:hAnsi="Times New Roman" w:cs="Times New Roman"/>
          <w:sz w:val="28"/>
          <w:szCs w:val="28"/>
        </w:rPr>
        <w:t>fixedparameter</w:t>
      </w:r>
      <w:proofErr w:type="spellEnd"/>
      <w:r w:rsidRPr="003C5CEC">
        <w:rPr>
          <w:rFonts w:ascii="Times New Roman" w:hAnsi="Times New Roman" w:cs="Times New Roman"/>
          <w:sz w:val="28"/>
          <w:szCs w:val="28"/>
        </w:rPr>
        <w:t xml:space="preserve"> conditions with read-optimized indexes across ten queries (R1–R10) spanning basic, moderate, and advanced complexity levels. Each query executed once cold followed by ten warm iterations to assess cache effectiveness. Table 2</w:t>
      </w:r>
      <w:r w:rsidRPr="003C5CEC">
        <w:t xml:space="preserve"> </w:t>
      </w:r>
      <w:r w:rsidRPr="003C5CEC">
        <w:rPr>
          <w:rFonts w:ascii="Times New Roman" w:hAnsi="Times New Roman" w:cs="Times New Roman"/>
          <w:sz w:val="28"/>
          <w:szCs w:val="28"/>
        </w:rPr>
        <w:t xml:space="preserve">presents </w:t>
      </w:r>
      <w:r w:rsidRPr="003C5CEC">
        <w:rPr>
          <w:rFonts w:ascii="Times New Roman" w:hAnsi="Times New Roman" w:cs="Times New Roman"/>
          <w:sz w:val="28"/>
          <w:szCs w:val="28"/>
        </w:rPr>
        <w:lastRenderedPageBreak/>
        <w:t>warm-run latency distributions across all databases, while Table 3 reports tail amplification ratios and cold-</w:t>
      </w:r>
      <w:proofErr w:type="spellStart"/>
      <w:r w:rsidRPr="003C5CEC">
        <w:rPr>
          <w:rFonts w:ascii="Times New Roman" w:hAnsi="Times New Roman" w:cs="Times New Roman"/>
          <w:sz w:val="28"/>
          <w:szCs w:val="28"/>
        </w:rPr>
        <w:t>towarm</w:t>
      </w:r>
      <w:proofErr w:type="spellEnd"/>
      <w:r w:rsidRPr="003C5CEC">
        <w:rPr>
          <w:rFonts w:ascii="Times New Roman" w:hAnsi="Times New Roman" w:cs="Times New Roman"/>
          <w:sz w:val="28"/>
          <w:szCs w:val="28"/>
        </w:rPr>
        <w:t xml:space="preserve"> performance improvements. </w:t>
      </w:r>
    </w:p>
    <w:p w14:paraId="1936B405" w14:textId="77777777" w:rsidR="003C5CEC" w:rsidRDefault="003C5CEC"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Warm-Run Latency</w:t>
      </w:r>
      <w:r w:rsidRPr="003C5CEC">
        <w:rPr>
          <w:rFonts w:ascii="Times New Roman" w:hAnsi="Times New Roman" w:cs="Times New Roman"/>
          <w:sz w:val="28"/>
          <w:szCs w:val="28"/>
        </w:rPr>
        <w:t xml:space="preserve">: MongoDB Atlas demonstrated the lowest median warm p50 at 42.72 ms and median p99 at 43.84 ms, maintaining consistent sub-50ms response times across all queries except R9 (49.79 ms) and R10 (45.61 ms). </w:t>
      </w:r>
      <w:proofErr w:type="spellStart"/>
      <w:r w:rsidRPr="003C5CEC">
        <w:rPr>
          <w:rFonts w:ascii="Times New Roman" w:hAnsi="Times New Roman" w:cs="Times New Roman"/>
          <w:sz w:val="28"/>
          <w:szCs w:val="28"/>
        </w:rPr>
        <w:t>Supabase</w:t>
      </w:r>
      <w:proofErr w:type="spellEnd"/>
      <w:r w:rsidRPr="003C5CEC">
        <w:rPr>
          <w:rFonts w:ascii="Times New Roman" w:hAnsi="Times New Roman" w:cs="Times New Roman"/>
          <w:sz w:val="28"/>
          <w:szCs w:val="28"/>
        </w:rPr>
        <w:t xml:space="preserve">/PostgreSQL exhibited median warm p50 of 96.00 ms and median p99 of 97.20 ms, with highest latencies observed in R5 (136.03 ms p99) and R9 (133.97 ms p99). DataStax </w:t>
      </w:r>
      <w:proofErr w:type="spellStart"/>
      <w:r w:rsidRPr="003C5CEC">
        <w:rPr>
          <w:rFonts w:ascii="Times New Roman" w:hAnsi="Times New Roman" w:cs="Times New Roman"/>
          <w:sz w:val="28"/>
          <w:szCs w:val="28"/>
        </w:rPr>
        <w:t>AstraDB</w:t>
      </w:r>
      <w:proofErr w:type="spellEnd"/>
      <w:r w:rsidRPr="003C5CEC">
        <w:rPr>
          <w:rFonts w:ascii="Times New Roman" w:hAnsi="Times New Roman" w:cs="Times New Roman"/>
          <w:sz w:val="28"/>
          <w:szCs w:val="28"/>
        </w:rPr>
        <w:t xml:space="preserve"> recorded median warm p50 of 202.65 ms and median p99 of 235.71 ms under normal conditions, but queries R6 and R10 triggered extreme outlier </w:t>
      </w:r>
      <w:proofErr w:type="spellStart"/>
      <w:r w:rsidRPr="003C5CEC">
        <w:rPr>
          <w:rFonts w:ascii="Times New Roman" w:hAnsi="Times New Roman" w:cs="Times New Roman"/>
          <w:sz w:val="28"/>
          <w:szCs w:val="28"/>
        </w:rPr>
        <w:t>behavior</w:t>
      </w:r>
      <w:proofErr w:type="spellEnd"/>
      <w:r w:rsidRPr="003C5CEC">
        <w:rPr>
          <w:rFonts w:ascii="Times New Roman" w:hAnsi="Times New Roman" w:cs="Times New Roman"/>
          <w:sz w:val="28"/>
          <w:szCs w:val="28"/>
        </w:rPr>
        <w:t xml:space="preserve"> with p99 values of 413,818.83 ms and 2,349.88 ms respectively, exceeding thresholds by 850× and 24× the overall median p50. These outliers, isolated in Figure 2, corresponded to best-sellers aggregation (R6) and attribute-based filtering with client-side sorting (R10). The remaining eight queries displayed stable performance within expected Cassandra latency ranges, as shown in Figure 1. </w:t>
      </w:r>
    </w:p>
    <w:p w14:paraId="142A18C9" w14:textId="39D512D5" w:rsidR="0044365D" w:rsidRDefault="003C5CEC"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 xml:space="preserve">Tail </w:t>
      </w:r>
      <w:r w:rsidR="00293518" w:rsidRPr="00293518">
        <w:rPr>
          <w:rFonts w:ascii="Times New Roman" w:hAnsi="Times New Roman" w:cs="Times New Roman"/>
          <w:b/>
          <w:bCs/>
          <w:sz w:val="28"/>
          <w:szCs w:val="28"/>
        </w:rPr>
        <w:t>Behaviour</w:t>
      </w:r>
      <w:r w:rsidRPr="00293518">
        <w:rPr>
          <w:rFonts w:ascii="Times New Roman" w:hAnsi="Times New Roman" w:cs="Times New Roman"/>
          <w:b/>
          <w:bCs/>
          <w:sz w:val="28"/>
          <w:szCs w:val="28"/>
        </w:rPr>
        <w:t xml:space="preserve"> Consistency</w:t>
      </w:r>
      <w:r w:rsidRPr="003C5CEC">
        <w:rPr>
          <w:rFonts w:ascii="Times New Roman" w:hAnsi="Times New Roman" w:cs="Times New Roman"/>
          <w:sz w:val="28"/>
          <w:szCs w:val="28"/>
        </w:rPr>
        <w:t xml:space="preserve">: Tail amplification ratios (p99/p50) quantified performance predictability. MongoDB maintained the tightest consistency with median amplification of 1.02, indicating p99 latencies remained within 2% of median values for most queries, except R9 (1.161) and R10 (1.076). </w:t>
      </w:r>
      <w:proofErr w:type="spellStart"/>
      <w:r w:rsidRPr="003C5CEC">
        <w:rPr>
          <w:rFonts w:ascii="Times New Roman" w:hAnsi="Times New Roman" w:cs="Times New Roman"/>
          <w:sz w:val="28"/>
          <w:szCs w:val="28"/>
        </w:rPr>
        <w:t>Supabase</w:t>
      </w:r>
      <w:proofErr w:type="spellEnd"/>
      <w:r w:rsidRPr="003C5CEC">
        <w:rPr>
          <w:rFonts w:ascii="Times New Roman" w:hAnsi="Times New Roman" w:cs="Times New Roman"/>
          <w:sz w:val="28"/>
          <w:szCs w:val="28"/>
        </w:rPr>
        <w:t xml:space="preserve"> achieved median amplification of 1.01, demonstrating exceptional stability with all queries below 1.04 except R1 (1.038) and R8 (1.018). </w:t>
      </w:r>
      <w:proofErr w:type="spellStart"/>
      <w:r w:rsidRPr="003C5CEC">
        <w:rPr>
          <w:rFonts w:ascii="Times New Roman" w:hAnsi="Times New Roman" w:cs="Times New Roman"/>
          <w:sz w:val="28"/>
          <w:szCs w:val="28"/>
        </w:rPr>
        <w:t>AstraDB</w:t>
      </w:r>
      <w:proofErr w:type="spellEnd"/>
      <w:r w:rsidRPr="003C5CEC">
        <w:rPr>
          <w:rFonts w:ascii="Times New Roman" w:hAnsi="Times New Roman" w:cs="Times New Roman"/>
          <w:sz w:val="28"/>
          <w:szCs w:val="28"/>
        </w:rPr>
        <w:t xml:space="preserve"> exhibited median amplification of 1.13 for normal queries, but R10’s extreme tail produced amplification of 4.42, </w:t>
      </w:r>
      <w:proofErr w:type="spellStart"/>
      <w:r w:rsidRPr="003C5CEC">
        <w:rPr>
          <w:rFonts w:ascii="Times New Roman" w:hAnsi="Times New Roman" w:cs="Times New Roman"/>
          <w:sz w:val="28"/>
          <w:szCs w:val="28"/>
        </w:rPr>
        <w:t>signaling</w:t>
      </w:r>
      <w:proofErr w:type="spellEnd"/>
      <w:r w:rsidRPr="003C5CEC">
        <w:rPr>
          <w:rFonts w:ascii="Times New Roman" w:hAnsi="Times New Roman" w:cs="Times New Roman"/>
          <w:sz w:val="28"/>
          <w:szCs w:val="28"/>
        </w:rPr>
        <w:t xml:space="preserve"> high unpredictability under random parameter variation. Figure 3 visualizes these ratios via heatmap, with green cells (</w:t>
      </w:r>
      <w:r>
        <w:rPr>
          <w:rFonts w:ascii="Times New Roman" w:hAnsi="Times New Roman" w:cs="Times New Roman"/>
          <w:sz w:val="28"/>
          <w:szCs w:val="28"/>
        </w:rPr>
        <w:t>&lt;</w:t>
      </w:r>
      <w:r w:rsidR="0044365D" w:rsidRPr="0044365D">
        <w:rPr>
          <w:rFonts w:ascii="Times New Roman" w:hAnsi="Times New Roman" w:cs="Times New Roman"/>
          <w:sz w:val="28"/>
          <w:szCs w:val="28"/>
        </w:rPr>
        <w:t xml:space="preserve">2.0 ratio) dominating </w:t>
      </w:r>
      <w:proofErr w:type="spellStart"/>
      <w:r w:rsidR="0044365D" w:rsidRPr="0044365D">
        <w:rPr>
          <w:rFonts w:ascii="Times New Roman" w:hAnsi="Times New Roman" w:cs="Times New Roman"/>
          <w:sz w:val="28"/>
          <w:szCs w:val="28"/>
        </w:rPr>
        <w:t>Supabase</w:t>
      </w:r>
      <w:proofErr w:type="spellEnd"/>
      <w:r w:rsidR="0044365D" w:rsidRPr="0044365D">
        <w:rPr>
          <w:rFonts w:ascii="Times New Roman" w:hAnsi="Times New Roman" w:cs="Times New Roman"/>
          <w:sz w:val="28"/>
          <w:szCs w:val="28"/>
        </w:rPr>
        <w:t xml:space="preserve"> and MongoDB rows, while </w:t>
      </w:r>
      <w:proofErr w:type="spellStart"/>
      <w:r w:rsidR="0044365D" w:rsidRPr="0044365D">
        <w:rPr>
          <w:rFonts w:ascii="Times New Roman" w:hAnsi="Times New Roman" w:cs="Times New Roman"/>
          <w:sz w:val="28"/>
          <w:szCs w:val="28"/>
        </w:rPr>
        <w:t>AstraDB</w:t>
      </w:r>
      <w:proofErr w:type="spellEnd"/>
      <w:r w:rsidR="0044365D" w:rsidRPr="0044365D">
        <w:rPr>
          <w:rFonts w:ascii="Times New Roman" w:hAnsi="Times New Roman" w:cs="Times New Roman"/>
          <w:sz w:val="28"/>
          <w:szCs w:val="28"/>
        </w:rPr>
        <w:t xml:space="preserve"> displayed orange-to-red cells for R5 (1.261), R9 (1.160), and R10 (4.422). </w:t>
      </w:r>
    </w:p>
    <w:p w14:paraId="272BA9F7"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Cache Effectiveness</w:t>
      </w:r>
      <w:r w:rsidRPr="0044365D">
        <w:rPr>
          <w:rFonts w:ascii="Times New Roman" w:hAnsi="Times New Roman" w:cs="Times New Roman"/>
          <w:sz w:val="28"/>
          <w:szCs w:val="28"/>
        </w:rPr>
        <w:t xml:space="preserve">: Cold-to-warm percentage improvements revealed variable cache utilization.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demonstrated dramatic improvement on R5 (97.68% reduction from 5,785.13 ms cold to 134.32 ms warm), indicating effective query result caching for aggregation-heavy operations. MongoDB showed minimal cold-warm deltas (median 0.43% improvement), suggesting warm cache already active during cold runs or negligible cold-start overhead.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achieved substantial improvements on R1 (22.79%), R7 (11.01%), R9 (18.08%), and R5 (11.53%), but recorded negative improvements on R3 (−1.95%) and R10 (−28.98%), indicating cold executions occasionally </w:t>
      </w:r>
      <w:r w:rsidRPr="0044365D">
        <w:rPr>
          <w:rFonts w:ascii="Times New Roman" w:hAnsi="Times New Roman" w:cs="Times New Roman"/>
          <w:sz w:val="28"/>
          <w:szCs w:val="28"/>
        </w:rPr>
        <w:lastRenderedPageBreak/>
        <w:t xml:space="preserve">outperformed warm runs—likely attributable to partition-level cache eviction or coordinator node selection variability in distributed Cassandra architecture. </w:t>
      </w:r>
    </w:p>
    <w:p w14:paraId="724C640F" w14:textId="254B8B34" w:rsidR="0044365D" w:rsidRPr="00293518" w:rsidRDefault="0044365D" w:rsidP="00293518">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t xml:space="preserve">Phase A2: Random-Input Read Performance </w:t>
      </w:r>
    </w:p>
    <w:p w14:paraId="7D629293" w14:textId="77777777" w:rsidR="0044365D" w:rsidRDefault="0044365D" w:rsidP="00293518">
      <w:pPr>
        <w:ind w:left="360"/>
        <w:jc w:val="both"/>
        <w:rPr>
          <w:rFonts w:ascii="Times New Roman" w:hAnsi="Times New Roman" w:cs="Times New Roman"/>
          <w:sz w:val="28"/>
          <w:szCs w:val="28"/>
        </w:rPr>
      </w:pPr>
      <w:r w:rsidRPr="0044365D">
        <w:rPr>
          <w:rFonts w:ascii="Times New Roman" w:hAnsi="Times New Roman" w:cs="Times New Roman"/>
          <w:sz w:val="28"/>
          <w:szCs w:val="28"/>
        </w:rPr>
        <w:t>Phase A2 assessed read query performance under random parameter variation with read-optimized indexes maintained from A1. Each query executed ten times with randomized input parameters (product IDs, customer IDs, date</w:t>
      </w:r>
      <w:r>
        <w:rPr>
          <w:rFonts w:ascii="Times New Roman" w:hAnsi="Times New Roman" w:cs="Times New Roman"/>
          <w:sz w:val="28"/>
          <w:szCs w:val="28"/>
        </w:rPr>
        <w:t xml:space="preserve"> </w:t>
      </w:r>
      <w:r w:rsidRPr="0044365D">
        <w:rPr>
          <w:rFonts w:ascii="Times New Roman" w:hAnsi="Times New Roman" w:cs="Times New Roman"/>
          <w:sz w:val="28"/>
          <w:szCs w:val="28"/>
        </w:rPr>
        <w:t xml:space="preserve">ranges, category filters) to simulate realistic production access patterns. Table 4 presents latency distributions and IQR dispersion measures, while Table 5 reports MAD values and tail amplification ratios under parameter sensitivity stress. </w:t>
      </w:r>
    </w:p>
    <w:p w14:paraId="5D086532"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Random-Input Latency</w:t>
      </w:r>
      <w:r w:rsidRPr="0044365D">
        <w:rPr>
          <w:rFonts w:ascii="Times New Roman" w:hAnsi="Times New Roman" w:cs="Times New Roman"/>
          <w:sz w:val="28"/>
          <w:szCs w:val="28"/>
        </w:rPr>
        <w:t xml:space="preserve">: MongoDB Atlas sustained median p50 of 42.78 ms and median p99 of 46.35 ms, demonstrating minimal degradation from A1 fixed-input conditions (42.72 ms and 43.84 ms respectively).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/PostgreSQL recorded median p50 of 95.78 ms and median p99 of 98.65 ms, remaining consistent with A1 warm performance (96.00 ms and 97.20 ms). DataStax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exhibited median p50 of 198.87 ms and median p99 of 211.03 ms for normal queries, but R6 and R10 again triggered extreme outliers with p99 values of 388,468.93 ms (386 seconds) and 1,469.58 ms (1.5 seconds) respectively. Query R6 deteriorated further from A1’s 413 seconds to 386 seconds median p50, indicating consistent aggregation performance issues. Query R8 (order detail with items) displayed elevated baseline latency at 384.71 ms p50, suggesting JOIN-equivalent operation overhead in Cassandra’s denormalized model. Figure 4 visualizes IQR distributions across databases, with R6 and R10 isolated in Figure 5 due</w:t>
      </w:r>
      <w:r w:rsidRPr="0044365D">
        <w:t xml:space="preserve"> </w:t>
      </w:r>
      <w:r w:rsidRPr="0044365D">
        <w:rPr>
          <w:rFonts w:ascii="Times New Roman" w:hAnsi="Times New Roman" w:cs="Times New Roman"/>
          <w:sz w:val="28"/>
          <w:szCs w:val="28"/>
        </w:rPr>
        <w:t xml:space="preserve">to IQR values of 1,246.54 ms and 866.32 ms respectively— exceeding the 13.51 ms threshold by 92× and 64×. </w:t>
      </w:r>
    </w:p>
    <w:p w14:paraId="114CEA28"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Parameter Sensitivity</w:t>
      </w:r>
      <w:r w:rsidRPr="0044365D">
        <w:rPr>
          <w:rFonts w:ascii="Times New Roman" w:hAnsi="Times New Roman" w:cs="Times New Roman"/>
          <w:sz w:val="28"/>
          <w:szCs w:val="28"/>
        </w:rPr>
        <w:t xml:space="preserve">: IQR measurements quantified variability induced by random parameter draws. MongoDB achieved tightest parameter control with median IQR of 0.84 ms, indicating middle 50% of observations confined to sub-millisecond range.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recorded median IQR of 0.80 ms, outperforming MongoDB marginally in dispersion control.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exhibited median IQR of 6.63 ms for normal queries (7.9× higher than MongoDB), reflecting partition key distribution sensitivity—queries targeting hot partitions experienced lower latency while cold partition reads incurred coordinator-to-node routing overhead. MAD analysis corroborated IQR </w:t>
      </w:r>
      <w:r w:rsidRPr="0044365D">
        <w:rPr>
          <w:rFonts w:ascii="Times New Roman" w:hAnsi="Times New Roman" w:cs="Times New Roman"/>
          <w:sz w:val="28"/>
          <w:szCs w:val="28"/>
        </w:rPr>
        <w:lastRenderedPageBreak/>
        <w:t xml:space="preserve">findings: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median MAD of 0.47 ms, MongoDB 0.40 ms,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2.89 ms. Queries R1 and R5 demonstrated exceptional parameter insensitivity across all databases (IQR &lt; 2 ms), while R4 (search with facets) and R10 (attribute filtering) exhibited higher sensitivity, particularly in MongoDB (R10 IQR 5.21 ms, 6.2× database median) and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(R10 IQR 866.32 ms excluding R6 outlier). </w:t>
      </w:r>
    </w:p>
    <w:p w14:paraId="2D29EE3A"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Tail Consistency Under Randomization</w:t>
      </w:r>
      <w:r w:rsidRPr="0044365D">
        <w:rPr>
          <w:rFonts w:ascii="Times New Roman" w:hAnsi="Times New Roman" w:cs="Times New Roman"/>
          <w:sz w:val="28"/>
          <w:szCs w:val="28"/>
        </w:rPr>
        <w:t xml:space="preserve">: Tail amplification ratios remained stable relative to A1 despite parameter variation. MongoDB maintained median amplification of 1.05, though R10 escalated to 1.692 (69% p99 degradation from p50) due to client-side JSON attribute filtering overhead.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achieved median amplification of 1.01, with R4 exhibiting highest amplification at 1.056.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recorded median amplification of 1.04 for normal queries, but R10’s extreme tail produced amplification of 2.585, indicating 2.6× p99 inflation relative to median—a significant degradation from A1’s 4.422 ratio, suggesting partial mitigation via randomized partition access reducing hot-spot contention. Queries R5, R6, R7, and R8 maintained amplification below 1.07 across all databases, demonstrating tail stability for aggregation and JOIN-simulation operations when parameters vary within expected ranges. </w:t>
      </w:r>
    </w:p>
    <w:p w14:paraId="2FCA7FCA" w14:textId="0695362A" w:rsidR="00293518" w:rsidRPr="00293518" w:rsidRDefault="0044365D" w:rsidP="00293518">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t xml:space="preserve">Phase Write: Isolated Write Performance </w:t>
      </w:r>
    </w:p>
    <w:p w14:paraId="48AB2F21" w14:textId="10D0A805" w:rsidR="0044365D" w:rsidRDefault="0044365D" w:rsidP="00293518">
      <w:pPr>
        <w:ind w:left="360"/>
        <w:jc w:val="both"/>
        <w:rPr>
          <w:rFonts w:ascii="Times New Roman" w:hAnsi="Times New Roman" w:cs="Times New Roman"/>
          <w:sz w:val="28"/>
          <w:szCs w:val="28"/>
        </w:rPr>
      </w:pPr>
      <w:r w:rsidRPr="0044365D">
        <w:rPr>
          <w:rFonts w:ascii="Times New Roman" w:hAnsi="Times New Roman" w:cs="Times New Roman"/>
          <w:sz w:val="28"/>
          <w:szCs w:val="28"/>
        </w:rPr>
        <w:t xml:space="preserve">Write phase evaluated isolated write operation performance under write-minimized index configurations across eleven operation types (W1A–W7B) spanning basic </w:t>
      </w:r>
      <w:proofErr w:type="spellStart"/>
      <w:r w:rsidRPr="0044365D">
        <w:rPr>
          <w:rFonts w:ascii="Times New Roman" w:hAnsi="Times New Roman" w:cs="Times New Roman"/>
          <w:sz w:val="28"/>
          <w:szCs w:val="28"/>
        </w:rPr>
        <w:t>singlerow</w:t>
      </w:r>
      <w:proofErr w:type="spellEnd"/>
      <w:r w:rsidRPr="0044365D">
        <w:rPr>
          <w:rFonts w:ascii="Times New Roman" w:hAnsi="Times New Roman" w:cs="Times New Roman"/>
          <w:sz w:val="28"/>
          <w:szCs w:val="28"/>
        </w:rPr>
        <w:t xml:space="preserve"> mutations, moderate bulk operations, and advanced transactional workflows. Each operation executed 100 times</w:t>
      </w:r>
      <w:r w:rsidRPr="0044365D">
        <w:t xml:space="preserve"> </w:t>
      </w:r>
      <w:r w:rsidRPr="0044365D">
        <w:rPr>
          <w:rFonts w:ascii="Times New Roman" w:hAnsi="Times New Roman" w:cs="Times New Roman"/>
          <w:sz w:val="28"/>
          <w:szCs w:val="28"/>
        </w:rPr>
        <w:t xml:space="preserve">to assess latency distributions and reliability under controlled write-only conditions. Table 6 presents write latency comparisons, while Table 7 reports success rates and error counts.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lacked W6 (transaction rollback test), and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omitted W3A (conditional update) and W6 due to architectural constraints. </w:t>
      </w:r>
    </w:p>
    <w:p w14:paraId="41C6B307"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Write Latency Performance</w:t>
      </w:r>
      <w:r w:rsidRPr="0044365D">
        <w:rPr>
          <w:rFonts w:ascii="Times New Roman" w:hAnsi="Times New Roman" w:cs="Times New Roman"/>
          <w:sz w:val="28"/>
          <w:szCs w:val="28"/>
        </w:rPr>
        <w:t xml:space="preserve">: MongoDB Atlas achieved lowest median write p50 at 55.12 ms and median p99 at 103.91 ms, demonstrating superior write throughput across most operation types. Single-row operations (W1B, W1C, W4) completed within 42–55 ms p50 and 52–78 ms p99.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recorded median p50 of 192.53 ms and median p99 of 212.31 ms, maintaining consistent 190–205 ms latency for basic operations (W1A–W1C, W2, W4, W5) via eventually-consistent writes.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/PostgreSQL exhibited median </w:t>
      </w:r>
      <w:r w:rsidRPr="0044365D">
        <w:rPr>
          <w:rFonts w:ascii="Times New Roman" w:hAnsi="Times New Roman" w:cs="Times New Roman"/>
          <w:sz w:val="28"/>
          <w:szCs w:val="28"/>
        </w:rPr>
        <w:lastRenderedPageBreak/>
        <w:t>p50 of 258.21 ms and median p99</w:t>
      </w:r>
      <w:r w:rsidRPr="0044365D">
        <w:t xml:space="preserve"> </w:t>
      </w:r>
      <w:r w:rsidRPr="0044365D">
        <w:rPr>
          <w:rFonts w:ascii="Times New Roman" w:hAnsi="Times New Roman" w:cs="Times New Roman"/>
          <w:sz w:val="28"/>
          <w:szCs w:val="28"/>
        </w:rPr>
        <w:t xml:space="preserve">of 479.16 ms, with single-row mutations (W1A, W1B, W4, W7A, W7B) clustered around 255–258 ms p50, but W1C (single-row delete) and W7A/W7B (indexed column updates) triggered tail latency spikes reaching 510–606 ms p99, suggesting occasional write-ahead log (WAL) flush delays or constraint validation overhead. Bulk operations (W2) and transactional workflows (W5) introduced higher baseline latency: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430–513 ms p50, MongoDB 38–440 ms p50,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190–192 ms p50. </w:t>
      </w:r>
    </w:p>
    <w:p w14:paraId="60B27A16"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Conditional Operations and Outliers</w:t>
      </w:r>
      <w:r w:rsidRPr="0044365D">
        <w:rPr>
          <w:rFonts w:ascii="Times New Roman" w:hAnsi="Times New Roman" w:cs="Times New Roman"/>
          <w:sz w:val="28"/>
          <w:szCs w:val="28"/>
        </w:rPr>
        <w:t xml:space="preserve">: Conditional write operations (W3A, W3B) requiring predicate evaluation exhibited elevated latency across all databases. W3B (conditional delete with zero-quantity cleanup) triggered the sole Write phase outlier with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p99 at 1,979.70 ms (1.98 seconds), exceeding the 1,315.63 ms threshold. MongoDB W3B recorded p99 of 1,522.99 ms, while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maintained 554.50 ms p99. Conditional update (W3A) showed similar patterns where executed: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258 ms p50/283 ms p99, MongoDB 380 ms p50/595 ms p99. The W3B outlier, isolated in Figure 7, reflects full-table scan requirements for condition matching in Cassandra’s partition-key-centric model—predicates not aligned with partition keys necessitated coordinator-to-replica broadcast queries across all nodes. MongoDB’s conditional operations leveraged index-supported query planning, while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employed bitmap heap scans with sequential predicate evaluation. Figure 6 visualizes latency distributions for normal operations and 100% success rates across all executed operations. </w:t>
      </w:r>
    </w:p>
    <w:p w14:paraId="1BF7B1D5" w14:textId="1C86DF6D" w:rsidR="003C5CEC"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Write Reliability and Index Maintenance</w:t>
      </w:r>
      <w:r w:rsidRPr="0044365D">
        <w:rPr>
          <w:rFonts w:ascii="Times New Roman" w:hAnsi="Times New Roman" w:cs="Times New Roman"/>
          <w:sz w:val="28"/>
          <w:szCs w:val="28"/>
        </w:rPr>
        <w:t xml:space="preserve">: All three databases achieved 100% success rates (Table 7), with zero errors recorded across 3,000 total write executions (11 operations × 100 runs × 3 databases, accounting for missing operations). MongoDB W6 (transaction rollback on duplicate key constraint) completed successfully at 81.18 ms p50/103.91 ms p99, demonstrating robust ACID transaction handling. Index-aware operations (W7A vs. W7B) revealed differential overhead: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showed minimal distinction (255.62 ms vs. 255.83 ms p50), but tail latencies diverged (510 ms vs. 532 ms p99), suggesting index update batching variability. MongoDB exhibited marginal overhead (54.96 ms vs. 55.12 ms p50), while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maintained near-identical performance (197.61 ms vs. 198.84 ms p50),</w:t>
      </w:r>
      <w:r>
        <w:rPr>
          <w:rFonts w:ascii="Times New Roman" w:hAnsi="Times New Roman" w:cs="Times New Roman"/>
          <w:sz w:val="28"/>
          <w:szCs w:val="28"/>
        </w:rPr>
        <w:t xml:space="preserve"> </w:t>
      </w:r>
      <w:r w:rsidRPr="0044365D">
        <w:rPr>
          <w:rFonts w:ascii="Times New Roman" w:hAnsi="Times New Roman" w:cs="Times New Roman"/>
          <w:sz w:val="28"/>
          <w:szCs w:val="28"/>
        </w:rPr>
        <w:t>consistent with Cassandra’s lightweight secondary index implementation via hidden materialized views.</w:t>
      </w:r>
    </w:p>
    <w:p w14:paraId="6A7598D3" w14:textId="40D09E11" w:rsidR="0044365D" w:rsidRPr="00293518" w:rsidRDefault="0044365D" w:rsidP="009C1D9F">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lastRenderedPageBreak/>
        <w:t xml:space="preserve">Phase Mixed: Realistic 65/35 Workload </w:t>
      </w:r>
    </w:p>
    <w:p w14:paraId="42866DA9" w14:textId="77777777" w:rsidR="0044365D" w:rsidRDefault="0044365D" w:rsidP="00293518">
      <w:pPr>
        <w:ind w:left="360"/>
        <w:jc w:val="both"/>
        <w:rPr>
          <w:rFonts w:ascii="Times New Roman" w:hAnsi="Times New Roman" w:cs="Times New Roman"/>
          <w:sz w:val="28"/>
          <w:szCs w:val="28"/>
        </w:rPr>
      </w:pPr>
      <w:r w:rsidRPr="0044365D">
        <w:rPr>
          <w:rFonts w:ascii="Times New Roman" w:hAnsi="Times New Roman" w:cs="Times New Roman"/>
          <w:sz w:val="28"/>
          <w:szCs w:val="28"/>
        </w:rPr>
        <w:t xml:space="preserve">Mixed phase evaluated concurrent read-write performance under balanced indexing (neither read-optimized nor write-minimized) with a realistic 65% read and 35% write operation distribution. The workload executed 500 total operations (325 reads across six query types R1–R6, 175 writes across five operation types W1–W5) in randomized interleaved fashion to simulate production e-commerce traffic. </w:t>
      </w:r>
    </w:p>
    <w:p w14:paraId="6FF739D8"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Throughput Performance</w:t>
      </w:r>
      <w:r w:rsidRPr="0044365D">
        <w:rPr>
          <w:rFonts w:ascii="Times New Roman" w:hAnsi="Times New Roman" w:cs="Times New Roman"/>
          <w:sz w:val="28"/>
          <w:szCs w:val="28"/>
        </w:rPr>
        <w:t xml:space="preserve">: MongoDB Atlas achieved highest total throughput at 7.58 operations/second (4.93 QPS reads, 2.65 TPS writes), demonstrating 2.6× advantage over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(2.90 ops/sec: 1.89 QPS, 1.02 TPS) and 2.4× over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(3.18 ops/sec: 2.07 QPS, 1.11 TPS). All databases maintained exact 65.0% read and 35.0% write distribution as specified. MongoDB’s throughput dominance reflected consistent sub-50ms median latencies across most operations, while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and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exhibited higher per-operation latencies that constrained overall throughput under sequential execution.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marginally outperformed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(3.18 vs. 2.90 ops/sec), attributable to lower write operation latencies (W1, W3, W5 averaging 185–189ms p50) compared to </w:t>
      </w:r>
      <w:proofErr w:type="spellStart"/>
      <w:r w:rsidRPr="0044365D">
        <w:rPr>
          <w:rFonts w:ascii="Times New Roman" w:hAnsi="Times New Roman" w:cs="Times New Roman"/>
          <w:sz w:val="28"/>
          <w:szCs w:val="28"/>
        </w:rPr>
        <w:t>Supabase’s</w:t>
      </w:r>
      <w:proofErr w:type="spellEnd"/>
      <w:r w:rsidRPr="0044365D">
        <w:rPr>
          <w:rFonts w:ascii="Times New Roman" w:hAnsi="Times New Roman" w:cs="Times New Roman"/>
          <w:sz w:val="28"/>
          <w:szCs w:val="28"/>
        </w:rPr>
        <w:t xml:space="preserve"> 238–258ms baseline. Figure 8 visualizes throughput comparison via grouped bar chart showing Read QPS, Write TPS, and Total throughput per database. </w:t>
      </w:r>
    </w:p>
    <w:p w14:paraId="2BA9C087" w14:textId="77777777"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t>Per-Operation Latency Under Mixed Load</w:t>
      </w:r>
      <w:r w:rsidRPr="0044365D">
        <w:rPr>
          <w:rFonts w:ascii="Times New Roman" w:hAnsi="Times New Roman" w:cs="Times New Roman"/>
          <w:sz w:val="28"/>
          <w:szCs w:val="28"/>
        </w:rPr>
        <w:t xml:space="preserve">: Median per-operation p99 latencies revealed mixed workload amplification effects relative to isolated phases. MongoDB sustained median p99 of 48.70 ms across operations, consistent with A1/A2 isolated read performance (43.84–46.35 ms p99) and Write phase medians (103.91 ms p99), indicating minimal read-write contention.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exhibited median p99 of 563.46 ms, representing 5.8× degradation from A1 warm reads (97.20 ms p99) and 1.2× elevation above Write phase (479.16 ms p99), suggesting resource contention between concurrent read and write transaction processing.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recorded median p99 of 346.48 ms, falling between A2 random-read performance (211.03 ms p99) and Write phase conditional operations (212.31 ms p99 for normal writes), consistent with eventual consistency model tolerating concurrent operations without strong isolation overhead. Seven operations exceeded the 500ms outlier threshold (Figure 10):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R1 (706ms), R4 (694ms), R5 (1,647ms), W1 (500ms);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R3 (2,948ms), R6 (742ms), W4 (1,346ms). </w:t>
      </w:r>
    </w:p>
    <w:p w14:paraId="19FB0C35" w14:textId="777B902C" w:rsidR="0044365D" w:rsidRDefault="0044365D" w:rsidP="00293518">
      <w:pPr>
        <w:ind w:left="360"/>
        <w:jc w:val="both"/>
        <w:rPr>
          <w:rFonts w:ascii="Times New Roman" w:hAnsi="Times New Roman" w:cs="Times New Roman"/>
          <w:sz w:val="28"/>
          <w:szCs w:val="28"/>
        </w:rPr>
      </w:pPr>
      <w:r w:rsidRPr="00293518">
        <w:rPr>
          <w:rFonts w:ascii="Times New Roman" w:hAnsi="Times New Roman" w:cs="Times New Roman"/>
          <w:b/>
          <w:bCs/>
          <w:sz w:val="28"/>
          <w:szCs w:val="28"/>
        </w:rPr>
        <w:lastRenderedPageBreak/>
        <w:t>Read-Write Interaction Effects</w:t>
      </w:r>
      <w:r w:rsidRPr="0044365D">
        <w:rPr>
          <w:rFonts w:ascii="Times New Roman" w:hAnsi="Times New Roman" w:cs="Times New Roman"/>
          <w:sz w:val="28"/>
          <w:szCs w:val="28"/>
        </w:rPr>
        <w:t xml:space="preserve">: Comparing Mixed phase per-operation latencies to isolated A1/A2 and Write phases revealed workload interaction penalties.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read operations R1–R6 exhibited 2.2–12.1× p99 inflation</w:t>
      </w:r>
      <w:r>
        <w:rPr>
          <w:rFonts w:ascii="Times New Roman" w:hAnsi="Times New Roman" w:cs="Times New Roman"/>
          <w:sz w:val="28"/>
          <w:szCs w:val="28"/>
        </w:rPr>
        <w:t xml:space="preserve"> </w:t>
      </w:r>
      <w:r w:rsidRPr="0044365D">
        <w:rPr>
          <w:rFonts w:ascii="Times New Roman" w:hAnsi="Times New Roman" w:cs="Times New Roman"/>
          <w:sz w:val="28"/>
          <w:szCs w:val="28"/>
        </w:rPr>
        <w:t xml:space="preserve">relative to A1 warm performance (e.g., R5: 1,647ms mixed vs. 136ms A1 warm), indicating PostgreSQL MVCC transaction isolation overhead under concurrent write load. MongoDB read operations showed minimal degradation (R1: 48.70ms mixed vs. 43.49ms A1 warm, 1.12× amplification), while write operations experienced comparable Mixed vs. isolated Write phase latencies (W1: 53.25ms mixed vs. 55.20ms isolated).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demonstrated variable interaction effects: normal read operations maintained A2- consistent performance (R1: 205ms mixed vs. 226ms A1 warm), but R3 and R5 exhibited extreme tail amplification (2,948ms and 1,577ms respectively) not present in isolated phases, suggesting partition-level hot-spotting under concurrent mixed access. Write operation W4 (1,346ms p99) mirrored isolated Write phase’s W3B conditional delete slowness (1,980ms p99), confirming coordinator broadcast overhead persists under mixed workloads. Figure 9 visualizes per-operation p99 distributions for eight normal operations, while outliers are isolated for scale preservation.</w:t>
      </w:r>
    </w:p>
    <w:p w14:paraId="0320D9EF" w14:textId="1E4CDBD4" w:rsidR="0044365D" w:rsidRPr="00293518" w:rsidRDefault="0044365D" w:rsidP="00293518">
      <w:pPr>
        <w:pStyle w:val="ListParagraph"/>
        <w:numPr>
          <w:ilvl w:val="0"/>
          <w:numId w:val="13"/>
        </w:numPr>
        <w:jc w:val="both"/>
        <w:rPr>
          <w:rFonts w:ascii="Times New Roman" w:hAnsi="Times New Roman" w:cs="Times New Roman"/>
          <w:b/>
          <w:bCs/>
          <w:sz w:val="32"/>
          <w:szCs w:val="32"/>
        </w:rPr>
      </w:pPr>
      <w:r w:rsidRPr="00293518">
        <w:rPr>
          <w:rFonts w:ascii="Times New Roman" w:hAnsi="Times New Roman" w:cs="Times New Roman"/>
          <w:b/>
          <w:bCs/>
          <w:sz w:val="32"/>
          <w:szCs w:val="32"/>
        </w:rPr>
        <w:t xml:space="preserve">Summary of Findings </w:t>
      </w:r>
    </w:p>
    <w:p w14:paraId="575AE060" w14:textId="77777777" w:rsidR="0044365D" w:rsidRDefault="0044365D" w:rsidP="006A4623">
      <w:pPr>
        <w:ind w:left="360"/>
        <w:jc w:val="both"/>
        <w:rPr>
          <w:rFonts w:ascii="Times New Roman" w:hAnsi="Times New Roman" w:cs="Times New Roman"/>
          <w:sz w:val="28"/>
          <w:szCs w:val="28"/>
        </w:rPr>
      </w:pPr>
      <w:r w:rsidRPr="0044365D">
        <w:rPr>
          <w:rFonts w:ascii="Times New Roman" w:hAnsi="Times New Roman" w:cs="Times New Roman"/>
          <w:sz w:val="28"/>
          <w:szCs w:val="28"/>
        </w:rPr>
        <w:t>Empirical evaluation across four benchmarking phases revealed distinct performance characteristics for each database system under controlled e-commerce workloads. MongoDB Atlas consistently demonstrated lowest latencies in isolated phases: median p50 of 42.72 ms (A1 fixed-input reads), 42.78 ms (A2 random-input reads), and 55.12 ms</w:t>
      </w:r>
      <w:r w:rsidRPr="0044365D">
        <w:t xml:space="preserve"> </w:t>
      </w:r>
      <w:r w:rsidRPr="0044365D">
        <w:rPr>
          <w:rFonts w:ascii="Times New Roman" w:hAnsi="Times New Roman" w:cs="Times New Roman"/>
          <w:sz w:val="28"/>
          <w:szCs w:val="28"/>
        </w:rPr>
        <w:t xml:space="preserve">(Write phase), alongside highest Mixed phase throughput at 7.58 operations/second.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/PostgreSQL exhibited stable sub-100ms read performance (96.00 ms median p50 in A1, 95.78 ms in A2) with exceptional tail consistency (median amplification 1.01), but suffered 2.2–12.1× latency degradation under Mixed workload concurrent execution. DataStax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maintained predictable 190–203 ms latencies for normal operations across all phases, yet encountered systematic performance failures on aggregation queries (R6: 413 seconds A1, 386 seconds A2) and conditional operations (W3B: 1.98 seconds), alongside extreme tail amplification under mixed loads (R3: 2.95 seconds p99, R5: 1.58 seconds p99). All databases achieved 100% write reliability with zero errors across 3,000 total executions. Parameter sensitivity</w:t>
      </w:r>
      <w:r w:rsidRPr="0044365D">
        <w:t xml:space="preserve"> </w:t>
      </w:r>
      <w:r w:rsidRPr="0044365D">
        <w:rPr>
          <w:rFonts w:ascii="Times New Roman" w:hAnsi="Times New Roman" w:cs="Times New Roman"/>
          <w:sz w:val="28"/>
          <w:szCs w:val="28"/>
        </w:rPr>
        <w:t xml:space="preserve">analysis revealed MongoDB and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maintained sub1ms IQR dispersion </w:t>
      </w:r>
      <w:r w:rsidRPr="0044365D">
        <w:rPr>
          <w:rFonts w:ascii="Times New Roman" w:hAnsi="Times New Roman" w:cs="Times New Roman"/>
          <w:sz w:val="28"/>
          <w:szCs w:val="28"/>
        </w:rPr>
        <w:lastRenderedPageBreak/>
        <w:t xml:space="preserve">(0.84 ms and 0.80 ms median respectively), while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exhibited 7.9× higher variability (6.63 ms median IQR) reflecting partition-key distribution sensitivity. These quantitative findings establish empirical foundations for architectural interpretation and practical deployment guidance addressed in subsequent discussion. </w:t>
      </w:r>
    </w:p>
    <w:p w14:paraId="14BC6D5F" w14:textId="04F11990" w:rsidR="00314777" w:rsidRDefault="00314777" w:rsidP="003C5CEC">
      <w:pPr>
        <w:rPr>
          <w:rFonts w:ascii="Times New Roman" w:hAnsi="Times New Roman" w:cs="Times New Roman"/>
          <w:sz w:val="28"/>
          <w:szCs w:val="28"/>
        </w:rPr>
      </w:pPr>
      <w:r w:rsidRPr="00314777">
        <w:rPr>
          <w:rFonts w:ascii="Times New Roman" w:hAnsi="Times New Roman" w:cs="Times New Roman"/>
          <w:sz w:val="28"/>
          <w:szCs w:val="28"/>
        </w:rPr>
        <w:t xml:space="preserve">Table 2 </w:t>
      </w:r>
      <w:r>
        <w:rPr>
          <w:rFonts w:ascii="Times New Roman" w:hAnsi="Times New Roman" w:cs="Times New Roman"/>
          <w:sz w:val="28"/>
          <w:szCs w:val="28"/>
        </w:rPr>
        <w:t xml:space="preserve">                                                           </w:t>
      </w:r>
      <w:r w:rsidRPr="00314777">
        <w:rPr>
          <w:rFonts w:ascii="Times New Roman" w:hAnsi="Times New Roman" w:cs="Times New Roman"/>
          <w:sz w:val="28"/>
          <w:szCs w:val="28"/>
        </w:rPr>
        <w:t>Table 3</w:t>
      </w:r>
      <w:r>
        <w:rPr>
          <w:rFonts w:ascii="Times New Roman" w:hAnsi="Times New Roman" w:cs="Times New Roman"/>
          <w:sz w:val="28"/>
          <w:szCs w:val="28"/>
        </w:rPr>
        <w:t xml:space="preserve">                                                                                 </w:t>
      </w:r>
      <w:r w:rsidRPr="00314777">
        <w:rPr>
          <w:rFonts w:ascii="Times New Roman" w:hAnsi="Times New Roman" w:cs="Times New Roman"/>
          <w:sz w:val="28"/>
          <w:szCs w:val="28"/>
        </w:rPr>
        <w:t xml:space="preserve">Phase A1 Warm-Run Latency </w:t>
      </w:r>
      <w:r w:rsidRPr="00314777">
        <w:rPr>
          <w:rFonts w:ascii="Times New Roman" w:hAnsi="Times New Roman" w:cs="Times New Roman"/>
          <w:sz w:val="28"/>
          <w:szCs w:val="28"/>
        </w:rPr>
        <w:t>ms</w:t>
      </w:r>
      <w:r>
        <w:rPr>
          <w:rFonts w:ascii="Times New Roman" w:hAnsi="Times New Roman" w:cs="Times New Roman"/>
          <w:sz w:val="28"/>
          <w:szCs w:val="28"/>
        </w:rPr>
        <w:t xml:space="preserve">              </w:t>
      </w:r>
      <w:r w:rsidR="00A217FC">
        <w:rPr>
          <w:rFonts w:ascii="Times New Roman" w:hAnsi="Times New Roman" w:cs="Times New Roman"/>
          <w:sz w:val="28"/>
          <w:szCs w:val="28"/>
        </w:rPr>
        <w:t xml:space="preserve"> </w:t>
      </w:r>
      <w:r>
        <w:rPr>
          <w:rFonts w:ascii="Times New Roman" w:hAnsi="Times New Roman" w:cs="Times New Roman"/>
          <w:sz w:val="28"/>
          <w:szCs w:val="28"/>
        </w:rPr>
        <w:t xml:space="preserve">   </w:t>
      </w:r>
      <w:r w:rsidR="00A217FC">
        <w:rPr>
          <w:rFonts w:ascii="Times New Roman" w:hAnsi="Times New Roman" w:cs="Times New Roman"/>
          <w:sz w:val="28"/>
          <w:szCs w:val="28"/>
        </w:rPr>
        <w:t xml:space="preserve"> </w:t>
      </w:r>
      <w:r w:rsidRPr="00314777">
        <w:rPr>
          <w:rFonts w:ascii="Times New Roman" w:hAnsi="Times New Roman" w:cs="Times New Roman"/>
          <w:sz w:val="28"/>
          <w:szCs w:val="28"/>
        </w:rPr>
        <w:t>Phase A1 Tail Amp &amp; Cache</w:t>
      </w:r>
    </w:p>
    <w:p w14:paraId="10D9311E" w14:textId="794A6629" w:rsidR="00314777" w:rsidRDefault="00314777" w:rsidP="003C5CEC">
      <w:pPr>
        <w:rPr>
          <w:rFonts w:ascii="Times New Roman" w:hAnsi="Times New Roman" w:cs="Times New Roman"/>
          <w:sz w:val="28"/>
          <w:szCs w:val="28"/>
        </w:rPr>
      </w:pPr>
      <w:r w:rsidRPr="00314777">
        <w:rPr>
          <w:rFonts w:ascii="Times New Roman" w:hAnsi="Times New Roman" w:cs="Times New Roman"/>
          <w:sz w:val="28"/>
          <w:szCs w:val="28"/>
        </w:rPr>
        <w:drawing>
          <wp:inline distT="0" distB="0" distL="0" distR="0" wp14:anchorId="65859634" wp14:editId="50E04306">
            <wp:extent cx="2560542" cy="1729890"/>
            <wp:effectExtent l="0" t="0" r="0" b="3810"/>
            <wp:docPr id="1367479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79356" name=""/>
                    <pic:cNvPicPr/>
                  </pic:nvPicPr>
                  <pic:blipFill>
                    <a:blip r:embed="rId14"/>
                    <a:stretch>
                      <a:fillRect/>
                    </a:stretch>
                  </pic:blipFill>
                  <pic:spPr>
                    <a:xfrm>
                      <a:off x="0" y="0"/>
                      <a:ext cx="2560542" cy="1729890"/>
                    </a:xfrm>
                    <a:prstGeom prst="rect">
                      <a:avLst/>
                    </a:prstGeom>
                  </pic:spPr>
                </pic:pic>
              </a:graphicData>
            </a:graphic>
          </wp:inline>
        </w:drawing>
      </w:r>
      <w:r w:rsidR="00A217FC">
        <w:rPr>
          <w:rFonts w:ascii="Times New Roman" w:hAnsi="Times New Roman" w:cs="Times New Roman"/>
          <w:sz w:val="28"/>
          <w:szCs w:val="28"/>
        </w:rPr>
        <w:t xml:space="preserve">    </w:t>
      </w:r>
      <w:r w:rsidR="00A217FC" w:rsidRPr="00A217FC">
        <w:rPr>
          <w:rFonts w:ascii="Times New Roman" w:hAnsi="Times New Roman" w:cs="Times New Roman"/>
          <w:sz w:val="28"/>
          <w:szCs w:val="28"/>
        </w:rPr>
        <w:drawing>
          <wp:inline distT="0" distB="0" distL="0" distR="0" wp14:anchorId="5796D64F" wp14:editId="27D73A54">
            <wp:extent cx="2985642" cy="1684020"/>
            <wp:effectExtent l="0" t="0" r="5715" b="0"/>
            <wp:docPr id="423530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530999" name=""/>
                    <pic:cNvPicPr/>
                  </pic:nvPicPr>
                  <pic:blipFill>
                    <a:blip r:embed="rId15"/>
                    <a:stretch>
                      <a:fillRect/>
                    </a:stretch>
                  </pic:blipFill>
                  <pic:spPr>
                    <a:xfrm>
                      <a:off x="0" y="0"/>
                      <a:ext cx="2995242" cy="1689435"/>
                    </a:xfrm>
                    <a:prstGeom prst="rect">
                      <a:avLst/>
                    </a:prstGeom>
                  </pic:spPr>
                </pic:pic>
              </a:graphicData>
            </a:graphic>
          </wp:inline>
        </w:drawing>
      </w:r>
    </w:p>
    <w:p w14:paraId="20DD1BB6" w14:textId="31D3459B" w:rsidR="00A217FC" w:rsidRDefault="00A217FC" w:rsidP="00A217FC">
      <w:pPr>
        <w:spacing w:line="240" w:lineRule="auto"/>
        <w:rPr>
          <w:rFonts w:ascii="Times New Roman" w:hAnsi="Times New Roman" w:cs="Times New Roman"/>
          <w:sz w:val="28"/>
          <w:szCs w:val="28"/>
        </w:rPr>
      </w:pPr>
      <w:r w:rsidRPr="00A217FC">
        <w:rPr>
          <w:rFonts w:ascii="Times New Roman" w:hAnsi="Times New Roman" w:cs="Times New Roman"/>
          <w:sz w:val="28"/>
          <w:szCs w:val="28"/>
        </w:rPr>
        <w:t>Table 4</w:t>
      </w:r>
      <w:r>
        <w:rPr>
          <w:rFonts w:ascii="Times New Roman" w:hAnsi="Times New Roman" w:cs="Times New Roman"/>
          <w:sz w:val="28"/>
          <w:szCs w:val="28"/>
        </w:rPr>
        <w:t xml:space="preserve">                                                         Table 5</w:t>
      </w:r>
      <w:r w:rsidR="0089392E">
        <w:rPr>
          <w:rFonts w:ascii="Times New Roman" w:hAnsi="Times New Roman" w:cs="Times New Roman"/>
          <w:sz w:val="28"/>
          <w:szCs w:val="28"/>
        </w:rPr>
        <w:br/>
      </w:r>
      <w:r w:rsidRPr="00A217FC">
        <w:rPr>
          <w:rFonts w:ascii="Times New Roman" w:hAnsi="Times New Roman" w:cs="Times New Roman"/>
          <w:sz w:val="28"/>
          <w:szCs w:val="28"/>
        </w:rPr>
        <w:t xml:space="preserve">Phase A2 Random-Input Latency </w:t>
      </w:r>
      <w:r>
        <w:rPr>
          <w:rFonts w:ascii="Times New Roman" w:hAnsi="Times New Roman" w:cs="Times New Roman"/>
          <w:sz w:val="28"/>
          <w:szCs w:val="28"/>
        </w:rPr>
        <w:t xml:space="preserve">               </w:t>
      </w:r>
      <w:r w:rsidRPr="00A217FC">
        <w:rPr>
          <w:rFonts w:ascii="Times New Roman" w:hAnsi="Times New Roman" w:cs="Times New Roman"/>
          <w:sz w:val="28"/>
          <w:szCs w:val="28"/>
        </w:rPr>
        <w:t xml:space="preserve">Phase A2 Parameter </w:t>
      </w:r>
      <w:r>
        <w:rPr>
          <w:rFonts w:ascii="Times New Roman" w:hAnsi="Times New Roman" w:cs="Times New Roman"/>
          <w:sz w:val="28"/>
          <w:szCs w:val="28"/>
        </w:rPr>
        <w:t>Sensitivity</w:t>
      </w:r>
      <w:r w:rsidR="0089392E">
        <w:rPr>
          <w:rFonts w:ascii="Times New Roman" w:hAnsi="Times New Roman" w:cs="Times New Roman"/>
          <w:sz w:val="28"/>
          <w:szCs w:val="28"/>
        </w:rPr>
        <w:br/>
      </w:r>
      <w:r w:rsidRPr="00A217FC">
        <w:rPr>
          <w:rFonts w:ascii="Times New Roman" w:hAnsi="Times New Roman" w:cs="Times New Roman"/>
          <w:sz w:val="28"/>
          <w:szCs w:val="28"/>
        </w:rPr>
        <w:t>and Dispersion</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Pr="00A217FC">
        <w:rPr>
          <w:rFonts w:ascii="Times New Roman" w:hAnsi="Times New Roman" w:cs="Times New Roman"/>
          <w:sz w:val="28"/>
          <w:szCs w:val="28"/>
        </w:rPr>
        <w:t>(</w:t>
      </w:r>
      <w:proofErr w:type="gramEnd"/>
      <w:r w:rsidRPr="00A217FC">
        <w:rPr>
          <w:rFonts w:ascii="Times New Roman" w:hAnsi="Times New Roman" w:cs="Times New Roman"/>
          <w:sz w:val="28"/>
          <w:szCs w:val="28"/>
        </w:rPr>
        <w:t>MAD &amp; Amp)</w:t>
      </w:r>
    </w:p>
    <w:p w14:paraId="3695D070" w14:textId="124368E2" w:rsidR="00A217FC" w:rsidRDefault="00A217FC" w:rsidP="003C5CEC">
      <w:pPr>
        <w:rPr>
          <w:noProof/>
        </w:rPr>
      </w:pPr>
      <w:r w:rsidRPr="00A217FC">
        <w:rPr>
          <w:rFonts w:ascii="Times New Roman" w:hAnsi="Times New Roman" w:cs="Times New Roman"/>
          <w:sz w:val="28"/>
          <w:szCs w:val="28"/>
        </w:rPr>
        <w:drawing>
          <wp:inline distT="0" distB="0" distL="0" distR="0" wp14:anchorId="157C54E3" wp14:editId="3262194F">
            <wp:extent cx="2563513" cy="1485900"/>
            <wp:effectExtent l="0" t="0" r="8255" b="0"/>
            <wp:docPr id="792999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999656" name=""/>
                    <pic:cNvPicPr/>
                  </pic:nvPicPr>
                  <pic:blipFill>
                    <a:blip r:embed="rId16"/>
                    <a:stretch>
                      <a:fillRect/>
                    </a:stretch>
                  </pic:blipFill>
                  <pic:spPr>
                    <a:xfrm>
                      <a:off x="0" y="0"/>
                      <a:ext cx="2568308" cy="1488679"/>
                    </a:xfrm>
                    <a:prstGeom prst="rect">
                      <a:avLst/>
                    </a:prstGeom>
                  </pic:spPr>
                </pic:pic>
              </a:graphicData>
            </a:graphic>
          </wp:inline>
        </w:drawing>
      </w:r>
      <w:r>
        <w:rPr>
          <w:noProof/>
        </w:rPr>
        <w:t xml:space="preserve">           </w:t>
      </w:r>
      <w:r w:rsidRPr="00A217FC">
        <w:rPr>
          <w:noProof/>
        </w:rPr>
        <w:t xml:space="preserve"> </w:t>
      </w:r>
      <w:r w:rsidRPr="00A217FC">
        <w:rPr>
          <w:rFonts w:ascii="Times New Roman" w:hAnsi="Times New Roman" w:cs="Times New Roman"/>
          <w:sz w:val="28"/>
          <w:szCs w:val="28"/>
        </w:rPr>
        <w:drawing>
          <wp:inline distT="0" distB="0" distL="0" distR="0" wp14:anchorId="2C9D2C54" wp14:editId="5A604934">
            <wp:extent cx="2587625" cy="1569720"/>
            <wp:effectExtent l="0" t="0" r="3175" b="0"/>
            <wp:docPr id="26649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98934" name=""/>
                    <pic:cNvPicPr/>
                  </pic:nvPicPr>
                  <pic:blipFill>
                    <a:blip r:embed="rId17"/>
                    <a:stretch>
                      <a:fillRect/>
                    </a:stretch>
                  </pic:blipFill>
                  <pic:spPr>
                    <a:xfrm>
                      <a:off x="0" y="0"/>
                      <a:ext cx="2615747" cy="1586780"/>
                    </a:xfrm>
                    <a:prstGeom prst="rect">
                      <a:avLst/>
                    </a:prstGeom>
                  </pic:spPr>
                </pic:pic>
              </a:graphicData>
            </a:graphic>
          </wp:inline>
        </w:drawing>
      </w:r>
    </w:p>
    <w:p w14:paraId="407925EB" w14:textId="77777777" w:rsidR="00A217FC" w:rsidRDefault="00A217FC" w:rsidP="003C5CEC">
      <w:pPr>
        <w:rPr>
          <w:noProof/>
        </w:rPr>
      </w:pPr>
    </w:p>
    <w:p w14:paraId="4827074C" w14:textId="77777777" w:rsidR="00A217FC" w:rsidRDefault="00A217FC" w:rsidP="003C5CEC">
      <w:pPr>
        <w:rPr>
          <w:noProof/>
        </w:rPr>
      </w:pPr>
    </w:p>
    <w:p w14:paraId="3D9E575F" w14:textId="77777777" w:rsidR="00A217FC" w:rsidRDefault="00A217FC" w:rsidP="003C5CEC">
      <w:pPr>
        <w:rPr>
          <w:noProof/>
        </w:rPr>
      </w:pPr>
    </w:p>
    <w:p w14:paraId="2B270B55" w14:textId="2D6CEB5A" w:rsidR="00A217FC" w:rsidRDefault="00A217FC" w:rsidP="003C5CEC">
      <w:pPr>
        <w:rPr>
          <w:noProof/>
        </w:rPr>
      </w:pPr>
      <w:r w:rsidRPr="00A217FC">
        <w:rPr>
          <w:rFonts w:ascii="Times New Roman" w:hAnsi="Times New Roman" w:cs="Times New Roman"/>
          <w:sz w:val="28"/>
          <w:szCs w:val="28"/>
        </w:rPr>
        <w:lastRenderedPageBreak/>
        <w:t xml:space="preserve">Table 6 </w:t>
      </w:r>
      <w:r>
        <w:rPr>
          <w:rFonts w:ascii="Times New Roman" w:hAnsi="Times New Roman" w:cs="Times New Roman"/>
          <w:sz w:val="28"/>
          <w:szCs w:val="28"/>
        </w:rPr>
        <w:t xml:space="preserve">                                                          Table 7</w:t>
      </w:r>
      <w:r>
        <w:rPr>
          <w:rFonts w:ascii="Times New Roman" w:hAnsi="Times New Roman" w:cs="Times New Roman"/>
          <w:sz w:val="28"/>
          <w:szCs w:val="28"/>
        </w:rPr>
        <w:br/>
      </w:r>
      <w:r w:rsidRPr="00A217FC">
        <w:rPr>
          <w:rFonts w:ascii="Times New Roman" w:hAnsi="Times New Roman" w:cs="Times New Roman"/>
          <w:sz w:val="28"/>
          <w:szCs w:val="28"/>
        </w:rPr>
        <w:t>Phase Write Latency Comparison</w:t>
      </w:r>
      <w:r w:rsidRPr="00A217FC">
        <w:t xml:space="preserve"> </w:t>
      </w:r>
      <w:r>
        <w:t xml:space="preserve">                     </w:t>
      </w:r>
      <w:r w:rsidR="00523CD7">
        <w:t xml:space="preserve"> </w:t>
      </w:r>
      <w:r w:rsidRPr="00A217FC">
        <w:rPr>
          <w:rFonts w:ascii="Times New Roman" w:hAnsi="Times New Roman" w:cs="Times New Roman"/>
          <w:sz w:val="28"/>
          <w:szCs w:val="28"/>
        </w:rPr>
        <w:t>Phase Write Reliability</w:t>
      </w:r>
      <w:r w:rsidR="00523CD7">
        <w:rPr>
          <w:rFonts w:ascii="Times New Roman" w:hAnsi="Times New Roman" w:cs="Times New Roman"/>
          <w:sz w:val="28"/>
          <w:szCs w:val="28"/>
        </w:rPr>
        <w:t xml:space="preserve"> </w:t>
      </w:r>
      <w:r w:rsidRPr="00A217FC">
        <w:rPr>
          <w:rFonts w:ascii="Times New Roman" w:hAnsi="Times New Roman" w:cs="Times New Roman"/>
          <w:sz w:val="28"/>
          <w:szCs w:val="28"/>
        </w:rPr>
        <w:t>Assessmen</w:t>
      </w:r>
      <w:r w:rsidR="00523CD7">
        <w:rPr>
          <w:rFonts w:ascii="Times New Roman" w:hAnsi="Times New Roman" w:cs="Times New Roman"/>
          <w:sz w:val="28"/>
          <w:szCs w:val="28"/>
        </w:rPr>
        <w:t>t</w:t>
      </w:r>
      <w:r w:rsidR="00523CD7" w:rsidRPr="00523CD7">
        <w:rPr>
          <w:rFonts w:ascii="Times New Roman" w:hAnsi="Times New Roman" w:cs="Times New Roman"/>
          <w:sz w:val="28"/>
          <w:szCs w:val="28"/>
        </w:rPr>
        <w:drawing>
          <wp:inline distT="0" distB="0" distL="0" distR="0" wp14:anchorId="10759E6B" wp14:editId="0B4B2E90">
            <wp:extent cx="2560542" cy="1806097"/>
            <wp:effectExtent l="0" t="0" r="0" b="3810"/>
            <wp:docPr id="7689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224" name=""/>
                    <pic:cNvPicPr/>
                  </pic:nvPicPr>
                  <pic:blipFill>
                    <a:blip r:embed="rId18"/>
                    <a:stretch>
                      <a:fillRect/>
                    </a:stretch>
                  </pic:blipFill>
                  <pic:spPr>
                    <a:xfrm>
                      <a:off x="0" y="0"/>
                      <a:ext cx="2560542" cy="1806097"/>
                    </a:xfrm>
                    <a:prstGeom prst="rect">
                      <a:avLst/>
                    </a:prstGeom>
                  </pic:spPr>
                </pic:pic>
              </a:graphicData>
            </a:graphic>
          </wp:inline>
        </w:drawing>
      </w:r>
      <w:r w:rsidR="00523CD7" w:rsidRPr="00523CD7">
        <w:rPr>
          <w:noProof/>
        </w:rPr>
        <w:t xml:space="preserve"> </w:t>
      </w:r>
      <w:r w:rsidR="00523CD7">
        <w:rPr>
          <w:noProof/>
        </w:rPr>
        <w:t xml:space="preserve">              </w:t>
      </w:r>
      <w:r w:rsidR="00523CD7" w:rsidRPr="00523CD7">
        <w:rPr>
          <w:rFonts w:ascii="Times New Roman" w:hAnsi="Times New Roman" w:cs="Times New Roman"/>
          <w:sz w:val="28"/>
          <w:szCs w:val="28"/>
        </w:rPr>
        <w:drawing>
          <wp:inline distT="0" distB="0" distL="0" distR="0" wp14:anchorId="30BC037F" wp14:editId="71DCF560">
            <wp:extent cx="2644140" cy="1798320"/>
            <wp:effectExtent l="0" t="0" r="3810" b="0"/>
            <wp:docPr id="100905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51968" name=""/>
                    <pic:cNvPicPr/>
                  </pic:nvPicPr>
                  <pic:blipFill>
                    <a:blip r:embed="rId19"/>
                    <a:stretch>
                      <a:fillRect/>
                    </a:stretch>
                  </pic:blipFill>
                  <pic:spPr>
                    <a:xfrm>
                      <a:off x="0" y="0"/>
                      <a:ext cx="2644369" cy="1798476"/>
                    </a:xfrm>
                    <a:prstGeom prst="rect">
                      <a:avLst/>
                    </a:prstGeom>
                  </pic:spPr>
                </pic:pic>
              </a:graphicData>
            </a:graphic>
          </wp:inline>
        </w:drawing>
      </w:r>
    </w:p>
    <w:p w14:paraId="4435490E" w14:textId="0E995C37" w:rsidR="00523CD7" w:rsidRDefault="00523CD7" w:rsidP="003C5CEC">
      <w:pPr>
        <w:rPr>
          <w:noProof/>
        </w:rPr>
      </w:pPr>
      <w:r>
        <w:rPr>
          <w:rFonts w:ascii="Times New Roman" w:hAnsi="Times New Roman" w:cs="Times New Roman"/>
          <w:sz w:val="28"/>
          <w:szCs w:val="28"/>
        </w:rPr>
        <w:t>Table 8                                                            Table 9</w:t>
      </w:r>
      <w:r>
        <w:rPr>
          <w:rFonts w:ascii="Times New Roman" w:hAnsi="Times New Roman" w:cs="Times New Roman"/>
          <w:sz w:val="28"/>
          <w:szCs w:val="28"/>
        </w:rPr>
        <w:br/>
      </w:r>
      <w:r w:rsidRPr="00523CD7">
        <w:rPr>
          <w:rFonts w:ascii="Times New Roman" w:hAnsi="Times New Roman" w:cs="Times New Roman"/>
          <w:sz w:val="28"/>
          <w:szCs w:val="28"/>
        </w:rPr>
        <w:t>Phase Mixed Throughput Metrics</w:t>
      </w:r>
      <w:r w:rsidR="00366C4A">
        <w:rPr>
          <w:rFonts w:ascii="Times New Roman" w:hAnsi="Times New Roman" w:cs="Times New Roman"/>
          <w:sz w:val="28"/>
          <w:szCs w:val="28"/>
        </w:rPr>
        <w:t xml:space="preserve">                  </w:t>
      </w:r>
      <w:r w:rsidR="0089392E" w:rsidRPr="0089392E">
        <w:rPr>
          <w:rFonts w:ascii="Times New Roman" w:hAnsi="Times New Roman" w:cs="Times New Roman"/>
          <w:sz w:val="28"/>
          <w:szCs w:val="28"/>
        </w:rPr>
        <w:t>Phase Mixed Per-Operation Tai</w:t>
      </w:r>
      <w:r w:rsidR="0089392E">
        <w:rPr>
          <w:rFonts w:ascii="Times New Roman" w:hAnsi="Times New Roman" w:cs="Times New Roman"/>
          <w:sz w:val="28"/>
          <w:szCs w:val="28"/>
        </w:rPr>
        <w:t xml:space="preserve">l </w:t>
      </w:r>
      <w:r w:rsidR="0089392E">
        <w:rPr>
          <w:rFonts w:ascii="Times New Roman" w:hAnsi="Times New Roman" w:cs="Times New Roman"/>
          <w:sz w:val="28"/>
          <w:szCs w:val="28"/>
        </w:rPr>
        <w:br/>
        <w:t xml:space="preserve">(65/35 </w:t>
      </w:r>
      <w:proofErr w:type="gramStart"/>
      <w:r w:rsidR="0089392E">
        <w:rPr>
          <w:rFonts w:ascii="Times New Roman" w:hAnsi="Times New Roman" w:cs="Times New Roman"/>
          <w:sz w:val="28"/>
          <w:szCs w:val="28"/>
        </w:rPr>
        <w:t xml:space="preserve">Workload)   </w:t>
      </w:r>
      <w:proofErr w:type="gramEnd"/>
      <w:r w:rsidR="0089392E">
        <w:rPr>
          <w:rFonts w:ascii="Times New Roman" w:hAnsi="Times New Roman" w:cs="Times New Roman"/>
          <w:sz w:val="28"/>
          <w:szCs w:val="28"/>
        </w:rPr>
        <w:t xml:space="preserve">                                         </w:t>
      </w:r>
      <w:r w:rsidR="0089392E" w:rsidRPr="0089392E">
        <w:rPr>
          <w:rFonts w:ascii="Times New Roman" w:hAnsi="Times New Roman" w:cs="Times New Roman"/>
          <w:sz w:val="28"/>
          <w:szCs w:val="28"/>
        </w:rPr>
        <w:t>Latency (p99 ms)</w:t>
      </w:r>
      <w:r w:rsidR="0089392E">
        <w:rPr>
          <w:rFonts w:ascii="Times New Roman" w:hAnsi="Times New Roman" w:cs="Times New Roman"/>
          <w:sz w:val="28"/>
          <w:szCs w:val="28"/>
        </w:rPr>
        <w:br/>
      </w:r>
      <w:r w:rsidR="0089392E" w:rsidRPr="0089392E">
        <w:rPr>
          <w:rFonts w:ascii="Times New Roman" w:hAnsi="Times New Roman" w:cs="Times New Roman"/>
          <w:sz w:val="28"/>
          <w:szCs w:val="28"/>
        </w:rPr>
        <w:drawing>
          <wp:inline distT="0" distB="0" distL="0" distR="0" wp14:anchorId="505D9C00" wp14:editId="4945BBCE">
            <wp:extent cx="2346112" cy="830580"/>
            <wp:effectExtent l="0" t="0" r="0" b="7620"/>
            <wp:docPr id="184797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7503" name=""/>
                    <pic:cNvPicPr/>
                  </pic:nvPicPr>
                  <pic:blipFill>
                    <a:blip r:embed="rId20"/>
                    <a:stretch>
                      <a:fillRect/>
                    </a:stretch>
                  </pic:blipFill>
                  <pic:spPr>
                    <a:xfrm>
                      <a:off x="0" y="0"/>
                      <a:ext cx="2352196" cy="832734"/>
                    </a:xfrm>
                    <a:prstGeom prst="rect">
                      <a:avLst/>
                    </a:prstGeom>
                  </pic:spPr>
                </pic:pic>
              </a:graphicData>
            </a:graphic>
          </wp:inline>
        </w:drawing>
      </w:r>
      <w:r w:rsidR="0089392E" w:rsidRPr="0089392E">
        <w:rPr>
          <w:noProof/>
        </w:rPr>
        <w:t xml:space="preserve"> </w:t>
      </w:r>
      <w:r w:rsidR="0089392E">
        <w:rPr>
          <w:noProof/>
        </w:rPr>
        <w:t xml:space="preserve">                   </w:t>
      </w:r>
      <w:r w:rsidR="0089392E" w:rsidRPr="0089392E">
        <w:rPr>
          <w:rFonts w:ascii="Times New Roman" w:hAnsi="Times New Roman" w:cs="Times New Roman"/>
          <w:sz w:val="28"/>
          <w:szCs w:val="28"/>
        </w:rPr>
        <w:drawing>
          <wp:inline distT="0" distB="0" distL="0" distR="0" wp14:anchorId="7E16B66B" wp14:editId="7CD138EE">
            <wp:extent cx="2692400" cy="1600146"/>
            <wp:effectExtent l="0" t="0" r="0" b="635"/>
            <wp:docPr id="12582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791" name=""/>
                    <pic:cNvPicPr/>
                  </pic:nvPicPr>
                  <pic:blipFill>
                    <a:blip r:embed="rId21"/>
                    <a:stretch>
                      <a:fillRect/>
                    </a:stretch>
                  </pic:blipFill>
                  <pic:spPr>
                    <a:xfrm>
                      <a:off x="0" y="0"/>
                      <a:ext cx="2709641" cy="1610393"/>
                    </a:xfrm>
                    <a:prstGeom prst="rect">
                      <a:avLst/>
                    </a:prstGeom>
                  </pic:spPr>
                </pic:pic>
              </a:graphicData>
            </a:graphic>
          </wp:inline>
        </w:drawing>
      </w:r>
    </w:p>
    <w:p w14:paraId="72FF4119" w14:textId="17545262"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1: Phase A1 Warm-Run Latency Distributions Across Databases</w:t>
      </w:r>
    </w:p>
    <w:p w14:paraId="2069D6C7" w14:textId="5FBA545C" w:rsidR="00293518" w:rsidRDefault="00293518" w:rsidP="003C5CEC">
      <w:pPr>
        <w:rPr>
          <w:rFonts w:ascii="Times New Roman" w:hAnsi="Times New Roman" w:cs="Times New Roman"/>
          <w:sz w:val="28"/>
          <w:szCs w:val="28"/>
        </w:rPr>
      </w:pPr>
      <w:r>
        <w:rPr>
          <w:noProof/>
        </w:rPr>
        <w:drawing>
          <wp:inline distT="0" distB="0" distL="0" distR="0" wp14:anchorId="2E60C2A7" wp14:editId="5448AEB8">
            <wp:extent cx="5731510" cy="2209165"/>
            <wp:effectExtent l="0" t="0" r="2540" b="635"/>
            <wp:docPr id="3766380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209165"/>
                    </a:xfrm>
                    <a:prstGeom prst="rect">
                      <a:avLst/>
                    </a:prstGeom>
                    <a:noFill/>
                    <a:ln>
                      <a:noFill/>
                    </a:ln>
                  </pic:spPr>
                </pic:pic>
              </a:graphicData>
            </a:graphic>
          </wp:inline>
        </w:drawing>
      </w:r>
    </w:p>
    <w:p w14:paraId="16080E35" w14:textId="4E79441A"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2: Phase A1 Outlier Query Performance (R6, R10)</w:t>
      </w:r>
    </w:p>
    <w:p w14:paraId="3D628AA3" w14:textId="086D6CCE" w:rsidR="00293518" w:rsidRDefault="00293518" w:rsidP="003C5CEC">
      <w:pPr>
        <w:rPr>
          <w:rFonts w:ascii="Times New Roman" w:hAnsi="Times New Roman" w:cs="Times New Roman"/>
          <w:sz w:val="28"/>
          <w:szCs w:val="28"/>
        </w:rPr>
      </w:pPr>
      <w:r>
        <w:rPr>
          <w:noProof/>
        </w:rPr>
        <w:lastRenderedPageBreak/>
        <w:drawing>
          <wp:inline distT="0" distB="0" distL="0" distR="0" wp14:anchorId="0FC5F61C" wp14:editId="65B7B932">
            <wp:extent cx="5731510" cy="2845435"/>
            <wp:effectExtent l="0" t="0" r="2540" b="0"/>
            <wp:docPr id="510523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p>
    <w:p w14:paraId="5E099DD6" w14:textId="3D4F4832"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3: Phase A1 Tail Amplification Ratio Heatmap</w:t>
      </w:r>
    </w:p>
    <w:p w14:paraId="6B7E0D66" w14:textId="3C0DF209" w:rsidR="00293518" w:rsidRDefault="00293518" w:rsidP="003C5CEC">
      <w:pPr>
        <w:rPr>
          <w:rFonts w:ascii="Times New Roman" w:hAnsi="Times New Roman" w:cs="Times New Roman"/>
          <w:sz w:val="28"/>
          <w:szCs w:val="28"/>
        </w:rPr>
      </w:pPr>
      <w:r>
        <w:rPr>
          <w:noProof/>
        </w:rPr>
        <w:drawing>
          <wp:inline distT="0" distB="0" distL="0" distR="0" wp14:anchorId="06BE061F" wp14:editId="6DBF79FC">
            <wp:extent cx="5731510" cy="2110105"/>
            <wp:effectExtent l="0" t="0" r="2540" b="4445"/>
            <wp:docPr id="14758177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110105"/>
                    </a:xfrm>
                    <a:prstGeom prst="rect">
                      <a:avLst/>
                    </a:prstGeom>
                    <a:noFill/>
                    <a:ln>
                      <a:noFill/>
                    </a:ln>
                  </pic:spPr>
                </pic:pic>
              </a:graphicData>
            </a:graphic>
          </wp:inline>
        </w:drawing>
      </w:r>
    </w:p>
    <w:p w14:paraId="3716A397" w14:textId="3A4C99C6"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4: Phase A2 Interquartile Range (IQR) Dispersion Comparison</w:t>
      </w:r>
    </w:p>
    <w:p w14:paraId="1DE70CF1" w14:textId="4597D0A2" w:rsidR="00293518" w:rsidRDefault="00293518" w:rsidP="003C5CEC">
      <w:pPr>
        <w:rPr>
          <w:rFonts w:ascii="Times New Roman" w:hAnsi="Times New Roman" w:cs="Times New Roman"/>
          <w:sz w:val="28"/>
          <w:szCs w:val="28"/>
        </w:rPr>
      </w:pPr>
      <w:r>
        <w:rPr>
          <w:noProof/>
        </w:rPr>
        <w:drawing>
          <wp:inline distT="0" distB="0" distL="0" distR="0" wp14:anchorId="572A0974" wp14:editId="38714DB9">
            <wp:extent cx="5731510" cy="2487295"/>
            <wp:effectExtent l="0" t="0" r="2540" b="8255"/>
            <wp:docPr id="10544158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4E1004CE" w14:textId="2DFD5797"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5: Phase A2 Outlier Query IQR Distribution (R6, R10)</w:t>
      </w:r>
    </w:p>
    <w:p w14:paraId="1C4F2712" w14:textId="4384A71F" w:rsidR="00293518" w:rsidRDefault="00293518" w:rsidP="003C5CEC">
      <w:pPr>
        <w:rPr>
          <w:rFonts w:ascii="Times New Roman" w:hAnsi="Times New Roman" w:cs="Times New Roman"/>
          <w:sz w:val="28"/>
          <w:szCs w:val="28"/>
        </w:rPr>
      </w:pPr>
      <w:r>
        <w:rPr>
          <w:noProof/>
        </w:rPr>
        <w:lastRenderedPageBreak/>
        <w:drawing>
          <wp:inline distT="0" distB="0" distL="0" distR="0" wp14:anchorId="021ED7BA" wp14:editId="572EC611">
            <wp:extent cx="5731510" cy="3323590"/>
            <wp:effectExtent l="0" t="0" r="2540" b="0"/>
            <wp:docPr id="1871110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p>
    <w:p w14:paraId="3A1D84F0" w14:textId="017E76AC"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6: Phase Write: Latency and Success Rate Comparison (Dual Panel)</w:t>
      </w:r>
    </w:p>
    <w:p w14:paraId="43E118DD" w14:textId="7140B5C0" w:rsidR="00293518" w:rsidRDefault="00293518" w:rsidP="003C5CEC">
      <w:pPr>
        <w:rPr>
          <w:rFonts w:ascii="Times New Roman" w:hAnsi="Times New Roman" w:cs="Times New Roman"/>
          <w:sz w:val="28"/>
          <w:szCs w:val="28"/>
        </w:rPr>
      </w:pPr>
      <w:r>
        <w:rPr>
          <w:noProof/>
        </w:rPr>
        <w:drawing>
          <wp:inline distT="0" distB="0" distL="0" distR="0" wp14:anchorId="7A7DAF77" wp14:editId="6B23CAFA">
            <wp:extent cx="5731510" cy="3839845"/>
            <wp:effectExtent l="0" t="0" r="2540" b="8255"/>
            <wp:docPr id="15745230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839845"/>
                    </a:xfrm>
                    <a:prstGeom prst="rect">
                      <a:avLst/>
                    </a:prstGeom>
                    <a:noFill/>
                    <a:ln>
                      <a:noFill/>
                    </a:ln>
                  </pic:spPr>
                </pic:pic>
              </a:graphicData>
            </a:graphic>
          </wp:inline>
        </w:drawing>
      </w:r>
    </w:p>
    <w:p w14:paraId="18330DF0" w14:textId="6C6CD96D"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7: Phase Write: Outlier Operation Performance (W3B)</w:t>
      </w:r>
    </w:p>
    <w:p w14:paraId="1F12B4E3" w14:textId="2D0C2D70" w:rsidR="00293518" w:rsidRDefault="00293518" w:rsidP="003C5CEC">
      <w:pPr>
        <w:rPr>
          <w:rFonts w:ascii="Times New Roman" w:hAnsi="Times New Roman" w:cs="Times New Roman"/>
          <w:sz w:val="28"/>
          <w:szCs w:val="28"/>
        </w:rPr>
      </w:pPr>
      <w:r>
        <w:rPr>
          <w:noProof/>
        </w:rPr>
        <w:lastRenderedPageBreak/>
        <w:drawing>
          <wp:inline distT="0" distB="0" distL="0" distR="0" wp14:anchorId="24C6DECB" wp14:editId="492D5507">
            <wp:extent cx="5731510" cy="2845435"/>
            <wp:effectExtent l="0" t="0" r="2540" b="0"/>
            <wp:docPr id="2113946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845435"/>
                    </a:xfrm>
                    <a:prstGeom prst="rect">
                      <a:avLst/>
                    </a:prstGeom>
                    <a:noFill/>
                    <a:ln>
                      <a:noFill/>
                    </a:ln>
                  </pic:spPr>
                </pic:pic>
              </a:graphicData>
            </a:graphic>
          </wp:inline>
        </w:drawing>
      </w:r>
    </w:p>
    <w:p w14:paraId="2666D104" w14:textId="1DD985B1"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8: Phase Mixed: Throughput Comparison (Read QPS, Write TPS, Total Operations/Second)</w:t>
      </w:r>
    </w:p>
    <w:p w14:paraId="1364AA14" w14:textId="00A3BC79" w:rsidR="00293518" w:rsidRDefault="00293518" w:rsidP="003C5CEC">
      <w:pPr>
        <w:rPr>
          <w:rFonts w:ascii="Times New Roman" w:hAnsi="Times New Roman" w:cs="Times New Roman"/>
          <w:sz w:val="28"/>
          <w:szCs w:val="28"/>
        </w:rPr>
      </w:pPr>
      <w:r>
        <w:rPr>
          <w:noProof/>
        </w:rPr>
        <w:drawing>
          <wp:inline distT="0" distB="0" distL="0" distR="0" wp14:anchorId="4643A803" wp14:editId="722D2690">
            <wp:extent cx="5731510" cy="3323590"/>
            <wp:effectExtent l="0" t="0" r="2540" b="0"/>
            <wp:docPr id="20674009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p>
    <w:p w14:paraId="53511E8C" w14:textId="23CBF95A"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9: Phase Mixed: Per-Operation p99 Latency Distribution</w:t>
      </w:r>
    </w:p>
    <w:p w14:paraId="3FF73145" w14:textId="30A6D2E5" w:rsidR="00293518" w:rsidRDefault="00293518" w:rsidP="003C5CEC">
      <w:pPr>
        <w:rPr>
          <w:rFonts w:ascii="Times New Roman" w:hAnsi="Times New Roman" w:cs="Times New Roman"/>
          <w:sz w:val="28"/>
          <w:szCs w:val="28"/>
        </w:rPr>
      </w:pPr>
      <w:r>
        <w:rPr>
          <w:noProof/>
        </w:rPr>
        <w:lastRenderedPageBreak/>
        <w:drawing>
          <wp:inline distT="0" distB="0" distL="0" distR="0" wp14:anchorId="446FA5CC" wp14:editId="40FE2DBB">
            <wp:extent cx="5731510" cy="2487295"/>
            <wp:effectExtent l="0" t="0" r="2540" b="8255"/>
            <wp:docPr id="11016430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487295"/>
                    </a:xfrm>
                    <a:prstGeom prst="rect">
                      <a:avLst/>
                    </a:prstGeom>
                    <a:noFill/>
                    <a:ln>
                      <a:noFill/>
                    </a:ln>
                  </pic:spPr>
                </pic:pic>
              </a:graphicData>
            </a:graphic>
          </wp:inline>
        </w:drawing>
      </w:r>
    </w:p>
    <w:p w14:paraId="51D4AA29" w14:textId="1D1B348C" w:rsidR="0089392E" w:rsidRDefault="0089392E" w:rsidP="003C5CEC">
      <w:pPr>
        <w:rPr>
          <w:rFonts w:ascii="Times New Roman" w:hAnsi="Times New Roman" w:cs="Times New Roman"/>
          <w:sz w:val="28"/>
          <w:szCs w:val="28"/>
        </w:rPr>
      </w:pPr>
      <w:r w:rsidRPr="0089392E">
        <w:rPr>
          <w:rFonts w:ascii="Times New Roman" w:hAnsi="Times New Roman" w:cs="Times New Roman"/>
          <w:sz w:val="28"/>
          <w:szCs w:val="28"/>
        </w:rPr>
        <w:t>Figure 10: Phase Mixed: Outlier Operation Performance (R1, R3, R4, R5, R6, W1, W4)</w:t>
      </w:r>
    </w:p>
    <w:p w14:paraId="0C790260" w14:textId="14291C90" w:rsidR="00293518" w:rsidRDefault="00293518" w:rsidP="003C5CEC">
      <w:pPr>
        <w:rPr>
          <w:rFonts w:ascii="Times New Roman" w:hAnsi="Times New Roman" w:cs="Times New Roman"/>
          <w:sz w:val="28"/>
          <w:szCs w:val="28"/>
        </w:rPr>
      </w:pPr>
      <w:r w:rsidRPr="00293518">
        <w:rPr>
          <w:rFonts w:ascii="Times New Roman" w:hAnsi="Times New Roman" w:cs="Times New Roman"/>
          <w:noProof/>
          <w:sz w:val="28"/>
          <w:szCs w:val="28"/>
        </w:rPr>
        <w:drawing>
          <wp:inline distT="0" distB="0" distL="0" distR="0" wp14:anchorId="3BF4EBFA" wp14:editId="64D1001C">
            <wp:extent cx="5731510" cy="3323590"/>
            <wp:effectExtent l="0" t="0" r="2540" b="0"/>
            <wp:docPr id="1914641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323590"/>
                    </a:xfrm>
                    <a:prstGeom prst="rect">
                      <a:avLst/>
                    </a:prstGeom>
                    <a:noFill/>
                    <a:ln>
                      <a:noFill/>
                    </a:ln>
                  </pic:spPr>
                </pic:pic>
              </a:graphicData>
            </a:graphic>
          </wp:inline>
        </w:drawing>
      </w:r>
    </w:p>
    <w:p w14:paraId="4DF986BE" w14:textId="4EF1A97E" w:rsidR="0044365D" w:rsidRPr="006A4623" w:rsidRDefault="009C1D9F" w:rsidP="006A4623">
      <w:pPr>
        <w:jc w:val="center"/>
        <w:rPr>
          <w:rFonts w:ascii="Times New Roman" w:hAnsi="Times New Roman" w:cs="Times New Roman"/>
          <w:b/>
          <w:bCs/>
          <w:sz w:val="36"/>
          <w:szCs w:val="36"/>
        </w:rPr>
      </w:pPr>
      <w:r>
        <w:rPr>
          <w:rFonts w:ascii="Times New Roman" w:hAnsi="Times New Roman" w:cs="Times New Roman"/>
          <w:b/>
          <w:bCs/>
          <w:sz w:val="36"/>
          <w:szCs w:val="36"/>
        </w:rPr>
        <w:t xml:space="preserve">CHAPTER </w:t>
      </w:r>
      <w:r w:rsidR="006A4623" w:rsidRPr="006A4623">
        <w:rPr>
          <w:rFonts w:ascii="Times New Roman" w:hAnsi="Times New Roman" w:cs="Times New Roman"/>
          <w:b/>
          <w:bCs/>
          <w:sz w:val="36"/>
          <w:szCs w:val="36"/>
        </w:rPr>
        <w:t>5</w:t>
      </w:r>
      <w:r w:rsidR="006A4623">
        <w:rPr>
          <w:rFonts w:ascii="Times New Roman" w:hAnsi="Times New Roman" w:cs="Times New Roman"/>
          <w:b/>
          <w:bCs/>
          <w:sz w:val="36"/>
          <w:szCs w:val="36"/>
        </w:rPr>
        <w:br/>
      </w:r>
      <w:r>
        <w:rPr>
          <w:rFonts w:ascii="Times New Roman" w:hAnsi="Times New Roman" w:cs="Times New Roman"/>
          <w:b/>
          <w:bCs/>
          <w:sz w:val="36"/>
          <w:szCs w:val="36"/>
        </w:rPr>
        <w:t>DISCUSSION</w:t>
      </w:r>
    </w:p>
    <w:p w14:paraId="08A793C5" w14:textId="12B4B4E3" w:rsidR="0044365D" w:rsidRPr="006A4623" w:rsidRDefault="0044365D" w:rsidP="006A4623">
      <w:pPr>
        <w:pStyle w:val="ListParagraph"/>
        <w:numPr>
          <w:ilvl w:val="0"/>
          <w:numId w:val="14"/>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Architectural Trade-offs for Startup Database Selection </w:t>
      </w:r>
    </w:p>
    <w:p w14:paraId="6B7C341E" w14:textId="77777777" w:rsidR="0044365D" w:rsidRDefault="0044365D" w:rsidP="006A4623">
      <w:pPr>
        <w:ind w:left="360"/>
        <w:jc w:val="both"/>
        <w:rPr>
          <w:rFonts w:ascii="Times New Roman" w:hAnsi="Times New Roman" w:cs="Times New Roman"/>
          <w:sz w:val="28"/>
          <w:szCs w:val="28"/>
        </w:rPr>
      </w:pPr>
      <w:r w:rsidRPr="0044365D">
        <w:rPr>
          <w:rFonts w:ascii="Times New Roman" w:hAnsi="Times New Roman" w:cs="Times New Roman"/>
          <w:sz w:val="28"/>
          <w:szCs w:val="28"/>
        </w:rPr>
        <w:t xml:space="preserve">The performance evaluation reveals three fundamental tensions governing technology choices for early-stage e-commerce platforms. First, the speed-consistency </w:t>
      </w:r>
      <w:proofErr w:type="spellStart"/>
      <w:r w:rsidRPr="0044365D">
        <w:rPr>
          <w:rFonts w:ascii="Times New Roman" w:hAnsi="Times New Roman" w:cs="Times New Roman"/>
          <w:sz w:val="28"/>
          <w:szCs w:val="28"/>
        </w:rPr>
        <w:t>tradeoff</w:t>
      </w:r>
      <w:proofErr w:type="spellEnd"/>
      <w:r w:rsidRPr="0044365D">
        <w:rPr>
          <w:rFonts w:ascii="Times New Roman" w:hAnsi="Times New Roman" w:cs="Times New Roman"/>
          <w:sz w:val="28"/>
          <w:szCs w:val="28"/>
        </w:rPr>
        <w:t xml:space="preserve"> manifests when comparing MongoDB’s throughput advantages against </w:t>
      </w:r>
      <w:proofErr w:type="spellStart"/>
      <w:r w:rsidRPr="0044365D">
        <w:rPr>
          <w:rFonts w:ascii="Times New Roman" w:hAnsi="Times New Roman" w:cs="Times New Roman"/>
          <w:sz w:val="28"/>
          <w:szCs w:val="28"/>
        </w:rPr>
        <w:t>Supabase’s</w:t>
      </w:r>
      <w:proofErr w:type="spellEnd"/>
      <w:r w:rsidRPr="0044365D">
        <w:rPr>
          <w:rFonts w:ascii="Times New Roman" w:hAnsi="Times New Roman" w:cs="Times New Roman"/>
          <w:sz w:val="28"/>
          <w:szCs w:val="28"/>
        </w:rPr>
        <w:t xml:space="preserve"> transactional guarantees. MongoDB’s eventual </w:t>
      </w:r>
      <w:r w:rsidRPr="0044365D">
        <w:rPr>
          <w:rFonts w:ascii="Times New Roman" w:hAnsi="Times New Roman" w:cs="Times New Roman"/>
          <w:sz w:val="28"/>
          <w:szCs w:val="28"/>
        </w:rPr>
        <w:lastRenderedPageBreak/>
        <w:t xml:space="preserve">consistency model enables aggressive optimization strategies yielding superior concurrent performance, making it suitable for user-facing features like product browsing where momentary data staleness remains acceptable. Conversely, </w:t>
      </w:r>
      <w:proofErr w:type="spellStart"/>
      <w:r w:rsidRPr="0044365D">
        <w:rPr>
          <w:rFonts w:ascii="Times New Roman" w:hAnsi="Times New Roman" w:cs="Times New Roman"/>
          <w:sz w:val="28"/>
          <w:szCs w:val="28"/>
        </w:rPr>
        <w:t>Supabase</w:t>
      </w:r>
      <w:proofErr w:type="spellEnd"/>
      <w:r w:rsidRPr="0044365D">
        <w:rPr>
          <w:rFonts w:ascii="Times New Roman" w:hAnsi="Times New Roman" w:cs="Times New Roman"/>
          <w:sz w:val="28"/>
          <w:szCs w:val="28"/>
        </w:rPr>
        <w:t xml:space="preserve"> enforces strict ACID compliance through PostgreSQL’s MVCC mechanisms, introducing throughput constraints under concurrent loads yet ensuring referential integrity essential for financial workflows—checkout processes, payment reconciliation, and inventory deduction—where atomicity violations would compromise business logic. Startups in pre-revenue validation phases may reasonably prioritize MongoDB’s performance characteristics, deferring consistency requirements until transaction volumes justify operational complexity. </w:t>
      </w:r>
    </w:p>
    <w:p w14:paraId="5025159C" w14:textId="77777777" w:rsidR="00314777" w:rsidRDefault="0044365D" w:rsidP="006A4623">
      <w:pPr>
        <w:ind w:left="360"/>
        <w:jc w:val="both"/>
        <w:rPr>
          <w:rFonts w:ascii="Times New Roman" w:hAnsi="Times New Roman" w:cs="Times New Roman"/>
          <w:sz w:val="28"/>
          <w:szCs w:val="28"/>
        </w:rPr>
      </w:pPr>
      <w:r w:rsidRPr="0044365D">
        <w:rPr>
          <w:rFonts w:ascii="Times New Roman" w:hAnsi="Times New Roman" w:cs="Times New Roman"/>
          <w:sz w:val="28"/>
          <w:szCs w:val="28"/>
        </w:rPr>
        <w:t xml:space="preserve">Second, query flexibility versus horizontal scalability surfaces through </w:t>
      </w:r>
      <w:proofErr w:type="spellStart"/>
      <w:r w:rsidRPr="0044365D">
        <w:rPr>
          <w:rFonts w:ascii="Times New Roman" w:hAnsi="Times New Roman" w:cs="Times New Roman"/>
          <w:sz w:val="28"/>
          <w:szCs w:val="28"/>
        </w:rPr>
        <w:t>AstraDB’s</w:t>
      </w:r>
      <w:proofErr w:type="spellEnd"/>
      <w:r w:rsidRPr="0044365D">
        <w:rPr>
          <w:rFonts w:ascii="Times New Roman" w:hAnsi="Times New Roman" w:cs="Times New Roman"/>
          <w:sz w:val="28"/>
          <w:szCs w:val="28"/>
        </w:rPr>
        <w:t xml:space="preserve"> partition-key architectural constraints. While Cassandra’s distributed design theoretically supports petabyte-scale deployments, realizing this capability demands accepting systematic performance degradation on operations requiring cross-partition coordination, as aggregation queries demonstrated. Early-stage workloads operating within single-digit gigabyte scales gain negligible benefit from distributed architectures while inheriting operational overhead. </w:t>
      </w:r>
      <w:proofErr w:type="spellStart"/>
      <w:r w:rsidRPr="0044365D">
        <w:rPr>
          <w:rFonts w:ascii="Times New Roman" w:hAnsi="Times New Roman" w:cs="Times New Roman"/>
          <w:sz w:val="28"/>
          <w:szCs w:val="28"/>
        </w:rPr>
        <w:t>AstraDB</w:t>
      </w:r>
      <w:proofErr w:type="spellEnd"/>
      <w:r w:rsidRPr="0044365D">
        <w:rPr>
          <w:rFonts w:ascii="Times New Roman" w:hAnsi="Times New Roman" w:cs="Times New Roman"/>
          <w:sz w:val="28"/>
          <w:szCs w:val="28"/>
        </w:rPr>
        <w:t xml:space="preserve"> becomes economically justified only post-product-market-fit when write volumes necessitate horizontal scaling and access patterns stabilize</w:t>
      </w:r>
      <w:r w:rsidR="00314777" w:rsidRPr="00314777">
        <w:t xml:space="preserve"> </w:t>
      </w:r>
      <w:r w:rsidR="00314777" w:rsidRPr="00314777">
        <w:rPr>
          <w:rFonts w:ascii="Times New Roman" w:hAnsi="Times New Roman" w:cs="Times New Roman"/>
          <w:sz w:val="28"/>
          <w:szCs w:val="28"/>
        </w:rPr>
        <w:t xml:space="preserve">sufficiently to pre-model partition-aligned data relationships—typically 18–24 months into production trajectories. </w:t>
      </w:r>
    </w:p>
    <w:p w14:paraId="4F61AF53" w14:textId="77777777" w:rsidR="00314777" w:rsidRDefault="00314777" w:rsidP="006A4623">
      <w:pPr>
        <w:ind w:left="360"/>
        <w:jc w:val="both"/>
        <w:rPr>
          <w:rFonts w:ascii="Times New Roman" w:hAnsi="Times New Roman" w:cs="Times New Roman"/>
          <w:sz w:val="28"/>
          <w:szCs w:val="28"/>
        </w:rPr>
      </w:pPr>
      <w:r w:rsidRPr="00314777">
        <w:rPr>
          <w:rFonts w:ascii="Times New Roman" w:hAnsi="Times New Roman" w:cs="Times New Roman"/>
          <w:sz w:val="28"/>
          <w:szCs w:val="28"/>
        </w:rPr>
        <w:t xml:space="preserve">Third, developer velocity versus operational optimization emerges when balancing rapid prototyping against </w:t>
      </w:r>
      <w:proofErr w:type="spellStart"/>
      <w:r w:rsidRPr="00314777">
        <w:rPr>
          <w:rFonts w:ascii="Times New Roman" w:hAnsi="Times New Roman" w:cs="Times New Roman"/>
          <w:sz w:val="28"/>
          <w:szCs w:val="28"/>
        </w:rPr>
        <w:t>longterm</w:t>
      </w:r>
      <w:proofErr w:type="spellEnd"/>
      <w:r w:rsidRPr="00314777">
        <w:rPr>
          <w:rFonts w:ascii="Times New Roman" w:hAnsi="Times New Roman" w:cs="Times New Roman"/>
          <w:sz w:val="28"/>
          <w:szCs w:val="28"/>
        </w:rPr>
        <w:t xml:space="preserve"> maintainability. MongoDB’s schema flexibility accelerates initial development cycles, permitting iterative data model evolution without migration overhead. </w:t>
      </w:r>
      <w:proofErr w:type="spellStart"/>
      <w:r w:rsidRPr="00314777">
        <w:rPr>
          <w:rFonts w:ascii="Times New Roman" w:hAnsi="Times New Roman" w:cs="Times New Roman"/>
          <w:sz w:val="28"/>
          <w:szCs w:val="28"/>
        </w:rPr>
        <w:t>Supabase’s</w:t>
      </w:r>
      <w:proofErr w:type="spellEnd"/>
      <w:r w:rsidRPr="00314777">
        <w:rPr>
          <w:rFonts w:ascii="Times New Roman" w:hAnsi="Times New Roman" w:cs="Times New Roman"/>
          <w:sz w:val="28"/>
          <w:szCs w:val="28"/>
        </w:rPr>
        <w:t xml:space="preserve"> structured schema enforcement introduces upfront design discipline yet prevents technical debt accumulation from unconstrained schema drift. This tension resolves differently across startup lifecycle stages: pre-product-market-fit </w:t>
      </w:r>
      <w:proofErr w:type="spellStart"/>
      <w:r w:rsidRPr="00314777">
        <w:rPr>
          <w:rFonts w:ascii="Times New Roman" w:hAnsi="Times New Roman" w:cs="Times New Roman"/>
          <w:sz w:val="28"/>
          <w:szCs w:val="28"/>
        </w:rPr>
        <w:t>favors</w:t>
      </w:r>
      <w:proofErr w:type="spellEnd"/>
      <w:r w:rsidRPr="00314777">
        <w:rPr>
          <w:rFonts w:ascii="Times New Roman" w:hAnsi="Times New Roman" w:cs="Times New Roman"/>
          <w:sz w:val="28"/>
          <w:szCs w:val="28"/>
        </w:rPr>
        <w:t xml:space="preserve"> velocity, while post-traction environments benefit from structural constraints preventing scalability bottlenecks. </w:t>
      </w:r>
    </w:p>
    <w:p w14:paraId="362F38AE" w14:textId="398C278E" w:rsidR="00314777" w:rsidRPr="006A4623" w:rsidRDefault="00314777" w:rsidP="006A4623">
      <w:pPr>
        <w:pStyle w:val="ListParagraph"/>
        <w:numPr>
          <w:ilvl w:val="0"/>
          <w:numId w:val="14"/>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Reproducible Framework Contribution </w:t>
      </w:r>
    </w:p>
    <w:p w14:paraId="6E41DB9A" w14:textId="77777777" w:rsidR="00314777" w:rsidRDefault="00314777" w:rsidP="006A4623">
      <w:pPr>
        <w:ind w:left="360"/>
        <w:jc w:val="both"/>
        <w:rPr>
          <w:rFonts w:ascii="Times New Roman" w:hAnsi="Times New Roman" w:cs="Times New Roman"/>
          <w:sz w:val="28"/>
          <w:szCs w:val="28"/>
        </w:rPr>
      </w:pPr>
      <w:r w:rsidRPr="00314777">
        <w:rPr>
          <w:rFonts w:ascii="Times New Roman" w:hAnsi="Times New Roman" w:cs="Times New Roman"/>
          <w:sz w:val="28"/>
          <w:szCs w:val="28"/>
        </w:rPr>
        <w:t xml:space="preserve">The standardized evaluation methodology developed here addresses critical gaps in existing database assessment practices. Vendor-provided benchmarks </w:t>
      </w:r>
      <w:r w:rsidRPr="00314777">
        <w:rPr>
          <w:rFonts w:ascii="Times New Roman" w:hAnsi="Times New Roman" w:cs="Times New Roman"/>
          <w:sz w:val="28"/>
          <w:szCs w:val="28"/>
        </w:rPr>
        <w:lastRenderedPageBreak/>
        <w:t xml:space="preserve">optimize for </w:t>
      </w:r>
      <w:proofErr w:type="spellStart"/>
      <w:r w:rsidRPr="00314777">
        <w:rPr>
          <w:rFonts w:ascii="Times New Roman" w:hAnsi="Times New Roman" w:cs="Times New Roman"/>
          <w:sz w:val="28"/>
          <w:szCs w:val="28"/>
        </w:rPr>
        <w:t>bestcase</w:t>
      </w:r>
      <w:proofErr w:type="spellEnd"/>
      <w:r w:rsidRPr="00314777">
        <w:rPr>
          <w:rFonts w:ascii="Times New Roman" w:hAnsi="Times New Roman" w:cs="Times New Roman"/>
          <w:sz w:val="28"/>
          <w:szCs w:val="28"/>
        </w:rPr>
        <w:t xml:space="preserve"> scenarios rather than production-representative workloads reflecting realistic query distributions, cache </w:t>
      </w:r>
      <w:proofErr w:type="spellStart"/>
      <w:r w:rsidRPr="00314777">
        <w:rPr>
          <w:rFonts w:ascii="Times New Roman" w:hAnsi="Times New Roman" w:cs="Times New Roman"/>
          <w:sz w:val="28"/>
          <w:szCs w:val="28"/>
        </w:rPr>
        <w:t>behavior</w:t>
      </w:r>
      <w:proofErr w:type="spellEnd"/>
      <w:r w:rsidRPr="00314777">
        <w:rPr>
          <w:rFonts w:ascii="Times New Roman" w:hAnsi="Times New Roman" w:cs="Times New Roman"/>
          <w:sz w:val="28"/>
          <w:szCs w:val="28"/>
        </w:rPr>
        <w:t xml:space="preserve">, and concurrent access patterns. The modular framework—standardized CSV logging, database-agnostic metric computation, automated visualization generation—enables continuous technology reassessment as cloud offerings evolve and organizational requirements shift. This infrastructure reduces benchmarking iteration cycles from weeks to days, democratizing rigorous performance evaluation for engineering teams lacking dedicated data science resources. </w:t>
      </w:r>
    </w:p>
    <w:p w14:paraId="629EB332" w14:textId="50D64A2D" w:rsidR="00314777" w:rsidRPr="006A4623" w:rsidRDefault="00314777" w:rsidP="006A4623">
      <w:pPr>
        <w:pStyle w:val="ListParagraph"/>
        <w:numPr>
          <w:ilvl w:val="0"/>
          <w:numId w:val="14"/>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Methodological Boundaries </w:t>
      </w:r>
    </w:p>
    <w:p w14:paraId="1D8A2C4B" w14:textId="77777777" w:rsidR="00314777" w:rsidRDefault="00314777" w:rsidP="006A4623">
      <w:pPr>
        <w:ind w:left="360"/>
        <w:jc w:val="both"/>
        <w:rPr>
          <w:rFonts w:ascii="Times New Roman" w:hAnsi="Times New Roman" w:cs="Times New Roman"/>
          <w:sz w:val="28"/>
          <w:szCs w:val="28"/>
        </w:rPr>
      </w:pPr>
      <w:r w:rsidRPr="00314777">
        <w:rPr>
          <w:rFonts w:ascii="Times New Roman" w:hAnsi="Times New Roman" w:cs="Times New Roman"/>
          <w:sz w:val="28"/>
          <w:szCs w:val="28"/>
        </w:rPr>
        <w:t xml:space="preserve">Several constraints circumscribe findings generalizability. Evaluation targeted single-node free-tier deployments representing early-stage configurations, excluding distributed cluster architectures that materially alter performance at higher transaction volumes. The 500,000-record dataset reflects pre-product-market-fit scale; million-record workloads may exhibit different caching </w:t>
      </w:r>
      <w:proofErr w:type="spellStart"/>
      <w:r w:rsidRPr="00314777">
        <w:rPr>
          <w:rFonts w:ascii="Times New Roman" w:hAnsi="Times New Roman" w:cs="Times New Roman"/>
          <w:sz w:val="28"/>
          <w:szCs w:val="28"/>
        </w:rPr>
        <w:t>behaviors</w:t>
      </w:r>
      <w:proofErr w:type="spellEnd"/>
      <w:r w:rsidRPr="00314777">
        <w:rPr>
          <w:rFonts w:ascii="Times New Roman" w:hAnsi="Times New Roman" w:cs="Times New Roman"/>
          <w:sz w:val="28"/>
          <w:szCs w:val="28"/>
        </w:rPr>
        <w:t xml:space="preserve"> and index selectivity patterns. Synthetic query generation with uniform random parameters approximates but cannot fully replicate production traffic exhibiting temporal patterns and user </w:t>
      </w:r>
      <w:proofErr w:type="spellStart"/>
      <w:r w:rsidRPr="00314777">
        <w:rPr>
          <w:rFonts w:ascii="Times New Roman" w:hAnsi="Times New Roman" w:cs="Times New Roman"/>
          <w:sz w:val="28"/>
          <w:szCs w:val="28"/>
        </w:rPr>
        <w:t>behavior</w:t>
      </w:r>
      <w:proofErr w:type="spellEnd"/>
      <w:r w:rsidRPr="00314777">
        <w:rPr>
          <w:rFonts w:ascii="Times New Roman" w:hAnsi="Times New Roman" w:cs="Times New Roman"/>
          <w:sz w:val="28"/>
          <w:szCs w:val="28"/>
        </w:rPr>
        <w:t xml:space="preserve"> clustering influencing cache hit rates. Cost-per-query analysis, operational complexity metrics, and vendor pricing tier variations remain unaddressed despite significance in total ownership calculations. These boundaries establish applicability limits while identifying extensions required for comprehensive deployment guidance. </w:t>
      </w:r>
    </w:p>
    <w:p w14:paraId="0CB795BD" w14:textId="47E88726" w:rsidR="00314777" w:rsidRPr="006A4623" w:rsidRDefault="00314777" w:rsidP="006A4623">
      <w:pPr>
        <w:pStyle w:val="ListParagraph"/>
        <w:numPr>
          <w:ilvl w:val="0"/>
          <w:numId w:val="14"/>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Technology Selection Framework for Startups </w:t>
      </w:r>
    </w:p>
    <w:p w14:paraId="2BB88689" w14:textId="6DFC443C" w:rsidR="0044365D" w:rsidRPr="00126B41" w:rsidRDefault="00314777" w:rsidP="006A4623">
      <w:pPr>
        <w:ind w:left="360"/>
        <w:jc w:val="both"/>
        <w:rPr>
          <w:rFonts w:ascii="Times New Roman" w:hAnsi="Times New Roman" w:cs="Times New Roman"/>
          <w:sz w:val="28"/>
          <w:szCs w:val="28"/>
        </w:rPr>
      </w:pPr>
      <w:r w:rsidRPr="00314777">
        <w:rPr>
          <w:rFonts w:ascii="Times New Roman" w:hAnsi="Times New Roman" w:cs="Times New Roman"/>
          <w:sz w:val="28"/>
          <w:szCs w:val="28"/>
        </w:rPr>
        <w:t xml:space="preserve">Empirical findings translate directly into decision criteria for early-stage platforms. MongoDB suits rapid prototyping scenarios where developer velocity and user experience responsiveness outweigh consistency trade-offs. </w:t>
      </w:r>
      <w:proofErr w:type="spellStart"/>
      <w:r w:rsidRPr="00314777">
        <w:rPr>
          <w:rFonts w:ascii="Times New Roman" w:hAnsi="Times New Roman" w:cs="Times New Roman"/>
          <w:sz w:val="28"/>
          <w:szCs w:val="28"/>
        </w:rPr>
        <w:t>Supabase’s</w:t>
      </w:r>
      <w:proofErr w:type="spellEnd"/>
      <w:r w:rsidRPr="00314777">
        <w:rPr>
          <w:rFonts w:ascii="Times New Roman" w:hAnsi="Times New Roman" w:cs="Times New Roman"/>
          <w:sz w:val="28"/>
          <w:szCs w:val="28"/>
        </w:rPr>
        <w:t xml:space="preserve"> ACID guarantees justify throughput penalties for financial transaction processing requiring strict data integrity. </w:t>
      </w:r>
      <w:proofErr w:type="spellStart"/>
      <w:r w:rsidRPr="00314777">
        <w:rPr>
          <w:rFonts w:ascii="Times New Roman" w:hAnsi="Times New Roman" w:cs="Times New Roman"/>
          <w:sz w:val="28"/>
          <w:szCs w:val="28"/>
        </w:rPr>
        <w:t>AstraDB’s</w:t>
      </w:r>
      <w:proofErr w:type="spellEnd"/>
      <w:r w:rsidRPr="00314777">
        <w:rPr>
          <w:rFonts w:ascii="Times New Roman" w:hAnsi="Times New Roman" w:cs="Times New Roman"/>
          <w:sz w:val="28"/>
          <w:szCs w:val="28"/>
        </w:rPr>
        <w:t xml:space="preserve"> architectural constraints preclude adoption until workload patterns stabilize and write volumes justify distributed complexity. The reproducible benchmarking framework enables systematic reassessment as requirements</w:t>
      </w:r>
      <w:r w:rsidRPr="00314777">
        <w:t xml:space="preserve"> </w:t>
      </w:r>
      <w:r w:rsidRPr="00314777">
        <w:rPr>
          <w:rFonts w:ascii="Times New Roman" w:hAnsi="Times New Roman" w:cs="Times New Roman"/>
          <w:sz w:val="28"/>
          <w:szCs w:val="28"/>
        </w:rPr>
        <w:t>evolve across growth stages, transforming database selection from speculative experimentation into evidence-based architectural decisions aligned with business priorities and resource constraints.</w:t>
      </w:r>
    </w:p>
    <w:p w14:paraId="7F2C512C" w14:textId="77777777" w:rsidR="006A4623" w:rsidRPr="006A4623" w:rsidRDefault="006A4623" w:rsidP="006A4623">
      <w:pPr>
        <w:jc w:val="center"/>
        <w:rPr>
          <w:rFonts w:ascii="Times New Roman" w:hAnsi="Times New Roman" w:cs="Times New Roman"/>
          <w:b/>
          <w:bCs/>
          <w:sz w:val="36"/>
          <w:szCs w:val="36"/>
        </w:rPr>
      </w:pPr>
      <w:r w:rsidRPr="006A4623">
        <w:rPr>
          <w:rFonts w:ascii="Times New Roman" w:hAnsi="Times New Roman" w:cs="Times New Roman"/>
          <w:b/>
          <w:bCs/>
          <w:sz w:val="36"/>
          <w:szCs w:val="36"/>
        </w:rPr>
        <w:lastRenderedPageBreak/>
        <w:t>CHAPTER 6</w:t>
      </w:r>
    </w:p>
    <w:p w14:paraId="0770DA07" w14:textId="565245DD" w:rsidR="006A4623" w:rsidRPr="006A4623" w:rsidRDefault="006A4623" w:rsidP="006A4623">
      <w:pPr>
        <w:jc w:val="center"/>
        <w:rPr>
          <w:rFonts w:ascii="Times New Roman" w:hAnsi="Times New Roman" w:cs="Times New Roman"/>
          <w:b/>
          <w:bCs/>
          <w:sz w:val="36"/>
          <w:szCs w:val="36"/>
        </w:rPr>
      </w:pPr>
      <w:r w:rsidRPr="006A4623">
        <w:rPr>
          <w:rFonts w:ascii="Times New Roman" w:hAnsi="Times New Roman" w:cs="Times New Roman"/>
          <w:b/>
          <w:bCs/>
          <w:sz w:val="36"/>
          <w:szCs w:val="36"/>
        </w:rPr>
        <w:t>CONCLUSION</w:t>
      </w:r>
    </w:p>
    <w:p w14:paraId="47A3A0CA" w14:textId="064C4218" w:rsidR="006A4623" w:rsidRPr="006A4623" w:rsidRDefault="006A4623" w:rsidP="006A4623">
      <w:pPr>
        <w:pStyle w:val="ListParagraph"/>
        <w:numPr>
          <w:ilvl w:val="0"/>
          <w:numId w:val="15"/>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Research Summary </w:t>
      </w:r>
    </w:p>
    <w:p w14:paraId="4F340562" w14:textId="77777777" w:rsidR="006A4623" w:rsidRDefault="006A4623" w:rsidP="006A4623">
      <w:pPr>
        <w:ind w:left="360"/>
        <w:jc w:val="both"/>
        <w:rPr>
          <w:rFonts w:ascii="Times New Roman" w:hAnsi="Times New Roman" w:cs="Times New Roman"/>
          <w:sz w:val="28"/>
          <w:szCs w:val="28"/>
        </w:rPr>
      </w:pPr>
      <w:r w:rsidRPr="006A4623">
        <w:rPr>
          <w:rFonts w:ascii="Times New Roman" w:hAnsi="Times New Roman" w:cs="Times New Roman"/>
          <w:sz w:val="28"/>
          <w:szCs w:val="28"/>
        </w:rPr>
        <w:t xml:space="preserve">This study addressed the database selection challenge faced by early-stage e-commerce startups by conducting a comprehensive performance benchmarking comparison of three widely adopted cloud-hosted database systems: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/PostgreSQL, MongoDB Atlas, and DataStax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A reproducible four-phase testing framework evaluated read performance under fixed and randomized parameter conditions (Phases A1 and A2), isolated write operation efficiency (Write Phase), and realistic concurrent </w:t>
      </w:r>
      <w:proofErr w:type="spellStart"/>
      <w:r w:rsidRPr="006A4623">
        <w:rPr>
          <w:rFonts w:ascii="Times New Roman" w:hAnsi="Times New Roman" w:cs="Times New Roman"/>
          <w:sz w:val="28"/>
          <w:szCs w:val="28"/>
        </w:rPr>
        <w:t>readwrite</w:t>
      </w:r>
      <w:proofErr w:type="spellEnd"/>
      <w:r w:rsidRPr="006A4623">
        <w:rPr>
          <w:rFonts w:ascii="Times New Roman" w:hAnsi="Times New Roman" w:cs="Times New Roman"/>
          <w:sz w:val="28"/>
          <w:szCs w:val="28"/>
        </w:rPr>
        <w:t xml:space="preserve"> workloads (Mixed Phase) using a synthetic 500,000- record e-commerce dataset spanning customers, products, orders, and order items. All benchmarking operations employed phase-specific index strategies, structured CSV logging for metric reproducibility, and automated Python-based data processing pipelines generating percentile distributions, dispersion indicators, throughput metrics, and </w:t>
      </w:r>
      <w:proofErr w:type="spellStart"/>
      <w:r w:rsidRPr="006A4623">
        <w:rPr>
          <w:rFonts w:ascii="Times New Roman" w:hAnsi="Times New Roman" w:cs="Times New Roman"/>
          <w:sz w:val="28"/>
          <w:szCs w:val="28"/>
        </w:rPr>
        <w:t>publicationquality</w:t>
      </w:r>
      <w:proofErr w:type="spellEnd"/>
      <w:r w:rsidRPr="006A4623">
        <w:rPr>
          <w:rFonts w:ascii="Times New Roman" w:hAnsi="Times New Roman" w:cs="Times New Roman"/>
          <w:sz w:val="28"/>
          <w:szCs w:val="28"/>
        </w:rPr>
        <w:t xml:space="preserve"> visualizations across 10 comparative figures and 8 cross-database summary tables. </w:t>
      </w:r>
    </w:p>
    <w:p w14:paraId="5F47D857" w14:textId="699B4FAB" w:rsidR="006A4623" w:rsidRPr="006A4623" w:rsidRDefault="006A4623" w:rsidP="006A4623">
      <w:pPr>
        <w:pStyle w:val="ListParagraph"/>
        <w:numPr>
          <w:ilvl w:val="0"/>
          <w:numId w:val="15"/>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Key Findings Recap </w:t>
      </w:r>
    </w:p>
    <w:p w14:paraId="064CE47D" w14:textId="77777777" w:rsidR="006A4623" w:rsidRDefault="006A4623" w:rsidP="006A4623">
      <w:pPr>
        <w:ind w:left="360"/>
        <w:jc w:val="both"/>
        <w:rPr>
          <w:rFonts w:ascii="Times New Roman" w:hAnsi="Times New Roman" w:cs="Times New Roman"/>
          <w:sz w:val="28"/>
          <w:szCs w:val="28"/>
        </w:rPr>
      </w:pPr>
      <w:r w:rsidRPr="006A4623">
        <w:rPr>
          <w:rFonts w:ascii="Times New Roman" w:hAnsi="Times New Roman" w:cs="Times New Roman"/>
          <w:sz w:val="28"/>
          <w:szCs w:val="28"/>
        </w:rPr>
        <w:t xml:space="preserve">Empirical benchmarking revealed distinct performance profiles across databases: MongoDB Atlas consistently achieved lowest latencies in isolated operations (median p50 of 42.72 ms for fixed-input reads, 42.78 ms for </w:t>
      </w:r>
      <w:proofErr w:type="spellStart"/>
      <w:r w:rsidRPr="006A4623">
        <w:rPr>
          <w:rFonts w:ascii="Times New Roman" w:hAnsi="Times New Roman" w:cs="Times New Roman"/>
          <w:sz w:val="28"/>
          <w:szCs w:val="28"/>
        </w:rPr>
        <w:t>randominput</w:t>
      </w:r>
      <w:proofErr w:type="spellEnd"/>
      <w:r w:rsidRPr="006A4623">
        <w:rPr>
          <w:rFonts w:ascii="Times New Roman" w:hAnsi="Times New Roman" w:cs="Times New Roman"/>
          <w:sz w:val="28"/>
          <w:szCs w:val="28"/>
        </w:rPr>
        <w:t xml:space="preserve"> reads, 55.12 ms for write operations) and dominated realistic workload throughput at 7.58 operations/second under 65/35 read-write mix, demonstrating 2.6× advantage over competitors;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/PostgreSQL exhibited exceptional tail consistency with median tail amplification ratio of 1.01 and tightest parameter sensitivity control (median IQR of 0.80 ms), alongside dramatic cache effectiveness evidenced by 97.68% cold-to-warm latency reduction on aggregation queries, but suffered severe throughput degradation (2.2–12.1× latency inflation) under concurrent mixed workloads attributable to transaction isolation overhead; DataStax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maintained predictable 190–203 ms baseline latencies for normal operations but encountered systematic performance failures on aggregation queries (R6: 413 seconds in A1, 386 seconds in A2) and conditional operations (W3B: 1.98 seconds), alongside 7.9× higher parameter variability (median IQR 6.63 ms) </w:t>
      </w:r>
      <w:r w:rsidRPr="006A4623">
        <w:rPr>
          <w:rFonts w:ascii="Times New Roman" w:hAnsi="Times New Roman" w:cs="Times New Roman"/>
          <w:sz w:val="28"/>
          <w:szCs w:val="28"/>
        </w:rPr>
        <w:lastRenderedPageBreak/>
        <w:t xml:space="preserve">reflecting partition-key sensitivity, with extreme tail amplification under mixed loads (R3: 2,948 ms, R5: 1,577 ms). All three databases achieved 100% write reliability across 3,000 total executions with zero error occurrences. </w:t>
      </w:r>
    </w:p>
    <w:p w14:paraId="0D69AFAE" w14:textId="2A71C4E5" w:rsidR="006A4623" w:rsidRPr="006A4623" w:rsidRDefault="006A4623" w:rsidP="006A4623">
      <w:pPr>
        <w:pStyle w:val="ListParagraph"/>
        <w:numPr>
          <w:ilvl w:val="0"/>
          <w:numId w:val="15"/>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Practical Recommendations </w:t>
      </w:r>
    </w:p>
    <w:p w14:paraId="7A7C521C" w14:textId="11EF8430" w:rsidR="006A4623" w:rsidRDefault="006A4623" w:rsidP="006A4623">
      <w:pPr>
        <w:jc w:val="both"/>
        <w:rPr>
          <w:rFonts w:ascii="Times New Roman" w:hAnsi="Times New Roman" w:cs="Times New Roman"/>
          <w:sz w:val="28"/>
          <w:szCs w:val="28"/>
        </w:rPr>
      </w:pPr>
      <w:r w:rsidRPr="006A4623">
        <w:rPr>
          <w:rFonts w:ascii="Times New Roman" w:hAnsi="Times New Roman" w:cs="Times New Roman"/>
          <w:sz w:val="28"/>
          <w:szCs w:val="28"/>
        </w:rPr>
        <w:t>For early-stage e-commerce startups prioritizing rapid development and operational simplicity, MongoDB Atlas</w:t>
      </w:r>
      <w:r w:rsidRPr="006A4623">
        <w:t xml:space="preserve"> </w:t>
      </w:r>
      <w:r w:rsidRPr="006A4623">
        <w:rPr>
          <w:rFonts w:ascii="Times New Roman" w:hAnsi="Times New Roman" w:cs="Times New Roman"/>
          <w:sz w:val="28"/>
          <w:szCs w:val="28"/>
        </w:rPr>
        <w:t xml:space="preserve">emerges as the optimal general-purpose choice, delivering sub-50ms read latencies across all query complexities, 7.58 operations/second realistic workload throughput, and minimal performance degradation under concurrent read-write scenarios. Startups building </w:t>
      </w:r>
      <w:proofErr w:type="spellStart"/>
      <w:r w:rsidRPr="006A4623">
        <w:rPr>
          <w:rFonts w:ascii="Times New Roman" w:hAnsi="Times New Roman" w:cs="Times New Roman"/>
          <w:sz w:val="28"/>
          <w:szCs w:val="28"/>
        </w:rPr>
        <w:t>latencycritical</w:t>
      </w:r>
      <w:proofErr w:type="spellEnd"/>
      <w:r w:rsidRPr="006A4623">
        <w:rPr>
          <w:rFonts w:ascii="Times New Roman" w:hAnsi="Times New Roman" w:cs="Times New Roman"/>
          <w:sz w:val="28"/>
          <w:szCs w:val="28"/>
        </w:rPr>
        <w:t xml:space="preserve"> features—product search APIs, real-time inventory checks, or sub-100ms recommendation engines—should adopt MongoDB’s document-oriented model, which eliminates JOIN overhead and maintains consistent performance even under parameter randomization (42.78 ms median p50 in A2 versus 42.72 ms in A1 fixed-input conditions). However, this speed advantage trades eventual consistency guarantees for performance; applications requiring strict ACID transactions (multi-step checkout flows, financial reconciliation, referential integrity enforcement) should instead select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/PostgreSQL, which demonstrated exceptional tail consistency (1.01 median amplification ratio) and reliable transactional semantics, despite 2.6× lower throughput (2.90 ops/sec) and vulnerability to concurrent workload contention. The 97.68% cache effectiveness on aggregation queries further positions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 </w:t>
      </w:r>
      <w:proofErr w:type="spellStart"/>
      <w:r w:rsidRPr="006A4623">
        <w:rPr>
          <w:rFonts w:ascii="Times New Roman" w:hAnsi="Times New Roman" w:cs="Times New Roman"/>
          <w:sz w:val="28"/>
          <w:szCs w:val="28"/>
        </w:rPr>
        <w:t>favorably</w:t>
      </w:r>
      <w:proofErr w:type="spellEnd"/>
      <w:r w:rsidRPr="006A4623">
        <w:rPr>
          <w:rFonts w:ascii="Times New Roman" w:hAnsi="Times New Roman" w:cs="Times New Roman"/>
          <w:sz w:val="28"/>
          <w:szCs w:val="28"/>
        </w:rPr>
        <w:t xml:space="preserve"> for </w:t>
      </w:r>
      <w:proofErr w:type="spellStart"/>
      <w:r w:rsidRPr="006A4623">
        <w:rPr>
          <w:rFonts w:ascii="Times New Roman" w:hAnsi="Times New Roman" w:cs="Times New Roman"/>
          <w:sz w:val="28"/>
          <w:szCs w:val="28"/>
        </w:rPr>
        <w:t>analyticsheavy</w:t>
      </w:r>
      <w:proofErr w:type="spellEnd"/>
      <w:r w:rsidRPr="006A4623">
        <w:rPr>
          <w:rFonts w:ascii="Times New Roman" w:hAnsi="Times New Roman" w:cs="Times New Roman"/>
          <w:sz w:val="28"/>
          <w:szCs w:val="28"/>
        </w:rPr>
        <w:t xml:space="preserve"> dashboards or reporting workloads where query result caching provides substantial performance uplift. </w:t>
      </w:r>
    </w:p>
    <w:p w14:paraId="42407AF7" w14:textId="77777777" w:rsidR="006A4623" w:rsidRDefault="006A4623" w:rsidP="006A4623">
      <w:pPr>
        <w:jc w:val="both"/>
        <w:rPr>
          <w:rFonts w:ascii="Times New Roman" w:hAnsi="Times New Roman" w:cs="Times New Roman"/>
          <w:sz w:val="28"/>
          <w:szCs w:val="28"/>
        </w:rPr>
      </w:pPr>
      <w:r w:rsidRPr="006A4623">
        <w:rPr>
          <w:rFonts w:ascii="Times New Roman" w:hAnsi="Times New Roman" w:cs="Times New Roman"/>
          <w:sz w:val="28"/>
          <w:szCs w:val="28"/>
        </w:rPr>
        <w:t xml:space="preserve">DataStax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addresses future horizontal scaling requirements but introduces critical query flexibility constraints unsuitable for early-stage exploration. The 413- second aggregation failure (Query R6) and 1.98-second conditional delete latency (W3B) reflect fundamental architectural limitations in Cassandra’s partition-key-centric design, requiring upfront data </w:t>
      </w:r>
      <w:proofErr w:type="spellStart"/>
      <w:r w:rsidRPr="006A4623">
        <w:rPr>
          <w:rFonts w:ascii="Times New Roman" w:hAnsi="Times New Roman" w:cs="Times New Roman"/>
          <w:sz w:val="28"/>
          <w:szCs w:val="28"/>
        </w:rPr>
        <w:t>modeling</w:t>
      </w:r>
      <w:proofErr w:type="spellEnd"/>
      <w:r w:rsidRPr="006A4623">
        <w:rPr>
          <w:rFonts w:ascii="Times New Roman" w:hAnsi="Times New Roman" w:cs="Times New Roman"/>
          <w:sz w:val="28"/>
          <w:szCs w:val="28"/>
        </w:rPr>
        <w:t xml:space="preserve"> expertise that most startups lack during rapid iteration phases.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becomes viable only after product-market fit when workload patterns stabilize and horizontal write scalability justifies accepting query restrictions—startups anticipating &gt;10,000 writes/second or multi-region active-active replication should evaluate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at that growth inflection point. For hybrid deployment strategies, startups can adopt polyglot persistence: MongoDB for primary transactional workloads,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 for admin dashboards requiring complex JOINs, and eventual migration of high-volume write paths to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once scale </w:t>
      </w:r>
      <w:r w:rsidRPr="006A4623">
        <w:rPr>
          <w:rFonts w:ascii="Times New Roman" w:hAnsi="Times New Roman" w:cs="Times New Roman"/>
          <w:sz w:val="28"/>
          <w:szCs w:val="28"/>
        </w:rPr>
        <w:lastRenderedPageBreak/>
        <w:t xml:space="preserve">demands justify operational complexity. Trade-off priorities crystallize as: MongoDB optimizes for speed and developer velocity; </w:t>
      </w:r>
      <w:proofErr w:type="spellStart"/>
      <w:r w:rsidRPr="006A4623">
        <w:rPr>
          <w:rFonts w:ascii="Times New Roman" w:hAnsi="Times New Roman" w:cs="Times New Roman"/>
          <w:sz w:val="28"/>
          <w:szCs w:val="28"/>
        </w:rPr>
        <w:t>Supabase</w:t>
      </w:r>
      <w:proofErr w:type="spellEnd"/>
      <w:r w:rsidRPr="006A4623">
        <w:rPr>
          <w:rFonts w:ascii="Times New Roman" w:hAnsi="Times New Roman" w:cs="Times New Roman"/>
          <w:sz w:val="28"/>
          <w:szCs w:val="28"/>
        </w:rPr>
        <w:t xml:space="preserve"> prioritizes data correctness and SQL familiarity; </w:t>
      </w:r>
      <w:proofErr w:type="spellStart"/>
      <w:r w:rsidRPr="006A4623">
        <w:rPr>
          <w:rFonts w:ascii="Times New Roman" w:hAnsi="Times New Roman" w:cs="Times New Roman"/>
          <w:sz w:val="28"/>
          <w:szCs w:val="28"/>
        </w:rPr>
        <w:t>AstraDB</w:t>
      </w:r>
      <w:proofErr w:type="spellEnd"/>
      <w:r w:rsidRPr="006A4623">
        <w:rPr>
          <w:rFonts w:ascii="Times New Roman" w:hAnsi="Times New Roman" w:cs="Times New Roman"/>
          <w:sz w:val="28"/>
          <w:szCs w:val="28"/>
        </w:rPr>
        <w:t xml:space="preserve"> targets extreme write scalability at the cost of query expressiveness. Early-stage teams constrained by limited engineering resources should default to MongoDB’s balanced performance profile, deferring architectural diversification until scaling bottlenecks empirically justify the added complexity. </w:t>
      </w:r>
    </w:p>
    <w:p w14:paraId="4D64FC6B" w14:textId="4C13B0C8" w:rsidR="006A4623" w:rsidRPr="006A4623" w:rsidRDefault="006A4623" w:rsidP="006A4623">
      <w:pPr>
        <w:pStyle w:val="ListParagraph"/>
        <w:numPr>
          <w:ilvl w:val="0"/>
          <w:numId w:val="15"/>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Methodological Contribution </w:t>
      </w:r>
    </w:p>
    <w:p w14:paraId="7C257CE6" w14:textId="77777777" w:rsidR="006A4623" w:rsidRDefault="006A4623" w:rsidP="006A4623">
      <w:pPr>
        <w:ind w:left="360"/>
        <w:jc w:val="both"/>
        <w:rPr>
          <w:rFonts w:ascii="Times New Roman" w:hAnsi="Times New Roman" w:cs="Times New Roman"/>
          <w:sz w:val="28"/>
          <w:szCs w:val="28"/>
        </w:rPr>
      </w:pPr>
      <w:r w:rsidRPr="006A4623">
        <w:rPr>
          <w:rFonts w:ascii="Times New Roman" w:hAnsi="Times New Roman" w:cs="Times New Roman"/>
          <w:sz w:val="28"/>
          <w:szCs w:val="28"/>
        </w:rPr>
        <w:t xml:space="preserve">Beyond empirical findings, this research establishes a reproducible benchmarking framework enabling technology teams to conduct rigorous database evaluations without specialized performance engineering expertise. All benchmarking components—query execution scripts with </w:t>
      </w:r>
      <w:proofErr w:type="spellStart"/>
      <w:r w:rsidRPr="006A4623">
        <w:rPr>
          <w:rFonts w:ascii="Times New Roman" w:hAnsi="Times New Roman" w:cs="Times New Roman"/>
          <w:sz w:val="28"/>
          <w:szCs w:val="28"/>
        </w:rPr>
        <w:t>phasespecific</w:t>
      </w:r>
      <w:proofErr w:type="spellEnd"/>
      <w:r w:rsidRPr="006A4623">
        <w:rPr>
          <w:rFonts w:ascii="Times New Roman" w:hAnsi="Times New Roman" w:cs="Times New Roman"/>
          <w:sz w:val="28"/>
          <w:szCs w:val="28"/>
        </w:rPr>
        <w:t xml:space="preserve"> CSV logging, four standardized data processing</w:t>
      </w:r>
      <w:r w:rsidRPr="006A4623">
        <w:t xml:space="preserve"> </w:t>
      </w:r>
      <w:r w:rsidRPr="006A4623">
        <w:rPr>
          <w:rFonts w:ascii="Times New Roman" w:hAnsi="Times New Roman" w:cs="Times New Roman"/>
          <w:sz w:val="28"/>
          <w:szCs w:val="28"/>
        </w:rPr>
        <w:t xml:space="preserve">pipelines computing percentile distributions and dispersion metrics, and automated figure generation tools producing publication-quality visualizations—are fully documented with explicit input/output specifications and modular architecture. Researchers and practitioners can adapt this framework to evaluate alternative database systems (Firebase, </w:t>
      </w:r>
      <w:proofErr w:type="spellStart"/>
      <w:r w:rsidRPr="006A4623">
        <w:rPr>
          <w:rFonts w:ascii="Times New Roman" w:hAnsi="Times New Roman" w:cs="Times New Roman"/>
          <w:sz w:val="28"/>
          <w:szCs w:val="28"/>
        </w:rPr>
        <w:t>CockroachDB</w:t>
      </w:r>
      <w:proofErr w:type="spellEnd"/>
      <w:r w:rsidRPr="006A4623">
        <w:rPr>
          <w:rFonts w:ascii="Times New Roman" w:hAnsi="Times New Roman" w:cs="Times New Roman"/>
          <w:sz w:val="28"/>
          <w:szCs w:val="28"/>
        </w:rPr>
        <w:t xml:space="preserve">, </w:t>
      </w:r>
      <w:proofErr w:type="spellStart"/>
      <w:r w:rsidRPr="006A4623">
        <w:rPr>
          <w:rFonts w:ascii="Times New Roman" w:hAnsi="Times New Roman" w:cs="Times New Roman"/>
          <w:sz w:val="28"/>
          <w:szCs w:val="28"/>
        </w:rPr>
        <w:t>TimescaleDB</w:t>
      </w:r>
      <w:proofErr w:type="spellEnd"/>
      <w:r w:rsidRPr="006A4623">
        <w:rPr>
          <w:rFonts w:ascii="Times New Roman" w:hAnsi="Times New Roman" w:cs="Times New Roman"/>
          <w:sz w:val="28"/>
          <w:szCs w:val="28"/>
        </w:rPr>
        <w:t xml:space="preserve">) by maintaining the standardized CSV schema (columns: </w:t>
      </w:r>
      <w:proofErr w:type="spellStart"/>
      <w:r w:rsidRPr="006A4623">
        <w:rPr>
          <w:rFonts w:ascii="Times New Roman" w:hAnsi="Times New Roman" w:cs="Times New Roman"/>
          <w:sz w:val="28"/>
          <w:szCs w:val="28"/>
        </w:rPr>
        <w:t>db_system</w:t>
      </w:r>
      <w:proofErr w:type="spellEnd"/>
      <w:r w:rsidRPr="006A4623">
        <w:rPr>
          <w:rFonts w:ascii="Times New Roman" w:hAnsi="Times New Roman" w:cs="Times New Roman"/>
          <w:sz w:val="28"/>
          <w:szCs w:val="28"/>
        </w:rPr>
        <w:t xml:space="preserve">, </w:t>
      </w:r>
      <w:proofErr w:type="spellStart"/>
      <w:r w:rsidRPr="006A4623">
        <w:rPr>
          <w:rFonts w:ascii="Times New Roman" w:hAnsi="Times New Roman" w:cs="Times New Roman"/>
          <w:sz w:val="28"/>
          <w:szCs w:val="28"/>
        </w:rPr>
        <w:t>query_id</w:t>
      </w:r>
      <w:proofErr w:type="spellEnd"/>
      <w:r w:rsidRPr="006A4623">
        <w:rPr>
          <w:rFonts w:ascii="Times New Roman" w:hAnsi="Times New Roman" w:cs="Times New Roman"/>
          <w:sz w:val="28"/>
          <w:szCs w:val="28"/>
        </w:rPr>
        <w:t xml:space="preserve">, </w:t>
      </w:r>
      <w:proofErr w:type="spellStart"/>
      <w:r w:rsidRPr="006A4623">
        <w:rPr>
          <w:rFonts w:ascii="Times New Roman" w:hAnsi="Times New Roman" w:cs="Times New Roman"/>
          <w:sz w:val="28"/>
          <w:szCs w:val="28"/>
        </w:rPr>
        <w:t>execution_ms</w:t>
      </w:r>
      <w:proofErr w:type="spellEnd"/>
      <w:r w:rsidRPr="006A4623">
        <w:rPr>
          <w:rFonts w:ascii="Times New Roman" w:hAnsi="Times New Roman" w:cs="Times New Roman"/>
          <w:sz w:val="28"/>
          <w:szCs w:val="28"/>
        </w:rPr>
        <w:t xml:space="preserve">, </w:t>
      </w:r>
      <w:proofErr w:type="spellStart"/>
      <w:r w:rsidRPr="006A4623">
        <w:rPr>
          <w:rFonts w:ascii="Times New Roman" w:hAnsi="Times New Roman" w:cs="Times New Roman"/>
          <w:sz w:val="28"/>
          <w:szCs w:val="28"/>
        </w:rPr>
        <w:t>error_code</w:t>
      </w:r>
      <w:proofErr w:type="spellEnd"/>
      <w:r w:rsidRPr="006A4623">
        <w:rPr>
          <w:rFonts w:ascii="Times New Roman" w:hAnsi="Times New Roman" w:cs="Times New Roman"/>
          <w:sz w:val="28"/>
          <w:szCs w:val="28"/>
        </w:rPr>
        <w:t xml:space="preserve">, timestamp, phase, </w:t>
      </w:r>
      <w:proofErr w:type="spellStart"/>
      <w:r w:rsidRPr="006A4623">
        <w:rPr>
          <w:rFonts w:ascii="Times New Roman" w:hAnsi="Times New Roman" w:cs="Times New Roman"/>
          <w:sz w:val="28"/>
          <w:szCs w:val="28"/>
        </w:rPr>
        <w:t>is_cold</w:t>
      </w:r>
      <w:proofErr w:type="spellEnd"/>
      <w:r w:rsidRPr="006A4623">
        <w:rPr>
          <w:rFonts w:ascii="Times New Roman" w:hAnsi="Times New Roman" w:cs="Times New Roman"/>
          <w:sz w:val="28"/>
          <w:szCs w:val="28"/>
        </w:rPr>
        <w:t xml:space="preserve">) while substituting database-specific connection and query execution logic. The eight-cell </w:t>
      </w:r>
      <w:proofErr w:type="spellStart"/>
      <w:r w:rsidRPr="006A4623">
        <w:rPr>
          <w:rFonts w:ascii="Times New Roman" w:hAnsi="Times New Roman" w:cs="Times New Roman"/>
          <w:sz w:val="28"/>
          <w:szCs w:val="28"/>
        </w:rPr>
        <w:t>Jupyter</w:t>
      </w:r>
      <w:proofErr w:type="spellEnd"/>
      <w:r w:rsidRPr="006A4623">
        <w:rPr>
          <w:rFonts w:ascii="Times New Roman" w:hAnsi="Times New Roman" w:cs="Times New Roman"/>
          <w:sz w:val="28"/>
          <w:szCs w:val="28"/>
        </w:rPr>
        <w:t xml:space="preserve"> notebook structure (imports → configuration → data loading → validation → primary metrics → derived metrics → output → summary) ensures consistent metric computation across heterogeneous systems, while outlier detection thresholds (10× median p50, 5× median p99) and adaptive visualization scaling prevent performance anomalies from distorting comparative analysis. This methodology reduces benchmarking setup time from weeks to days, democratizing performance evaluation for resource-constrained startups lacking dedicated infrastructure teams, and establishes empirical foundations for evidence-based technology adoption decisions in early-stage product development contexts. </w:t>
      </w:r>
    </w:p>
    <w:p w14:paraId="31BBD343" w14:textId="77B09366" w:rsidR="006A4623" w:rsidRPr="006A4623" w:rsidRDefault="006A4623" w:rsidP="006A4623">
      <w:pPr>
        <w:pStyle w:val="ListParagraph"/>
        <w:numPr>
          <w:ilvl w:val="0"/>
          <w:numId w:val="15"/>
        </w:numPr>
        <w:jc w:val="both"/>
        <w:rPr>
          <w:rFonts w:ascii="Times New Roman" w:hAnsi="Times New Roman" w:cs="Times New Roman"/>
          <w:b/>
          <w:bCs/>
          <w:sz w:val="32"/>
          <w:szCs w:val="32"/>
        </w:rPr>
      </w:pPr>
      <w:r w:rsidRPr="006A4623">
        <w:rPr>
          <w:rFonts w:ascii="Times New Roman" w:hAnsi="Times New Roman" w:cs="Times New Roman"/>
          <w:b/>
          <w:bCs/>
          <w:sz w:val="32"/>
          <w:szCs w:val="32"/>
        </w:rPr>
        <w:t xml:space="preserve">Closing Statement </w:t>
      </w:r>
    </w:p>
    <w:p w14:paraId="67B2E5CB" w14:textId="05580DCC" w:rsidR="009C1D9F" w:rsidRDefault="006A4623" w:rsidP="006A4623">
      <w:pPr>
        <w:ind w:left="360"/>
        <w:jc w:val="both"/>
        <w:rPr>
          <w:rFonts w:ascii="Times New Roman" w:hAnsi="Times New Roman" w:cs="Times New Roman"/>
          <w:sz w:val="28"/>
          <w:szCs w:val="28"/>
        </w:rPr>
      </w:pPr>
      <w:r w:rsidRPr="006A4623">
        <w:rPr>
          <w:rFonts w:ascii="Times New Roman" w:hAnsi="Times New Roman" w:cs="Times New Roman"/>
          <w:sz w:val="28"/>
          <w:szCs w:val="28"/>
        </w:rPr>
        <w:t xml:space="preserve">By combining rigorous empirical evaluation with an accessible, reproducible methodology, this research transforms database selection from speculative trial-and-error into evidence-based technology adoption, enabling </w:t>
      </w:r>
      <w:proofErr w:type="spellStart"/>
      <w:r w:rsidRPr="006A4623">
        <w:rPr>
          <w:rFonts w:ascii="Times New Roman" w:hAnsi="Times New Roman" w:cs="Times New Roman"/>
          <w:sz w:val="28"/>
          <w:szCs w:val="28"/>
        </w:rPr>
        <w:t>earlystage</w:t>
      </w:r>
      <w:proofErr w:type="spellEnd"/>
      <w:r w:rsidRPr="006A4623">
        <w:rPr>
          <w:rFonts w:ascii="Times New Roman" w:hAnsi="Times New Roman" w:cs="Times New Roman"/>
          <w:sz w:val="28"/>
          <w:szCs w:val="28"/>
        </w:rPr>
        <w:t xml:space="preserve"> </w:t>
      </w:r>
      <w:r w:rsidRPr="006A4623">
        <w:rPr>
          <w:rFonts w:ascii="Times New Roman" w:hAnsi="Times New Roman" w:cs="Times New Roman"/>
          <w:sz w:val="28"/>
          <w:szCs w:val="28"/>
        </w:rPr>
        <w:lastRenderedPageBreak/>
        <w:t xml:space="preserve">e-commerce startups to allocate scarce engineering resources toward product differentiation rather than infrastructure experimentation. The quantitative performance profiles, scenario-based recommendations, and reusable benchmarking framework collectively reduce the technical risk inherent in foundational architecture decisions during critical </w:t>
      </w:r>
      <w:proofErr w:type="spellStart"/>
      <w:r w:rsidRPr="006A4623">
        <w:rPr>
          <w:rFonts w:ascii="Times New Roman" w:hAnsi="Times New Roman" w:cs="Times New Roman"/>
          <w:sz w:val="28"/>
          <w:szCs w:val="28"/>
        </w:rPr>
        <w:t>earlystage</w:t>
      </w:r>
      <w:proofErr w:type="spellEnd"/>
      <w:r w:rsidRPr="006A4623">
        <w:rPr>
          <w:rFonts w:ascii="Times New Roman" w:hAnsi="Times New Roman" w:cs="Times New Roman"/>
          <w:sz w:val="28"/>
          <w:szCs w:val="28"/>
        </w:rPr>
        <w:t xml:space="preserve"> growth phases when database migration costs would otherwise jeopardize product-market-fit timelines</w:t>
      </w:r>
    </w:p>
    <w:p w14:paraId="1804A5C4" w14:textId="4E9ABDBB" w:rsidR="003C5CEC" w:rsidRDefault="009C1D9F" w:rsidP="009C1D9F">
      <w:pPr>
        <w:rPr>
          <w:rFonts w:ascii="Times New Roman" w:hAnsi="Times New Roman" w:cs="Times New Roman"/>
          <w:sz w:val="28"/>
          <w:szCs w:val="28"/>
        </w:rPr>
      </w:pPr>
      <w:r>
        <w:rPr>
          <w:rFonts w:ascii="Times New Roman" w:hAnsi="Times New Roman" w:cs="Times New Roman"/>
          <w:sz w:val="28"/>
          <w:szCs w:val="28"/>
        </w:rPr>
        <w:br w:type="page"/>
      </w:r>
    </w:p>
    <w:p w14:paraId="652F9747" w14:textId="762D655D" w:rsidR="006A4623" w:rsidRPr="009C1D9F" w:rsidRDefault="009C1D9F" w:rsidP="009C1D9F">
      <w:pPr>
        <w:ind w:left="360"/>
        <w:jc w:val="center"/>
        <w:rPr>
          <w:rFonts w:ascii="Times New Roman" w:hAnsi="Times New Roman" w:cs="Times New Roman"/>
          <w:b/>
          <w:bCs/>
          <w:sz w:val="36"/>
          <w:szCs w:val="36"/>
        </w:rPr>
      </w:pPr>
      <w:r w:rsidRPr="009C1D9F">
        <w:rPr>
          <w:rFonts w:ascii="Times New Roman" w:hAnsi="Times New Roman" w:cs="Times New Roman"/>
          <w:b/>
          <w:bCs/>
          <w:sz w:val="36"/>
          <w:szCs w:val="36"/>
        </w:rPr>
        <w:lastRenderedPageBreak/>
        <w:t>CHAPTER 7</w:t>
      </w:r>
    </w:p>
    <w:p w14:paraId="0B84856C" w14:textId="09DCC991" w:rsidR="009C1D9F" w:rsidRPr="009C1D9F" w:rsidRDefault="009C1D9F" w:rsidP="009C1D9F">
      <w:pPr>
        <w:ind w:left="360"/>
        <w:jc w:val="center"/>
        <w:rPr>
          <w:rFonts w:ascii="Times New Roman" w:hAnsi="Times New Roman" w:cs="Times New Roman"/>
          <w:b/>
          <w:bCs/>
          <w:sz w:val="36"/>
          <w:szCs w:val="36"/>
        </w:rPr>
      </w:pPr>
      <w:r w:rsidRPr="009C1D9F">
        <w:rPr>
          <w:rFonts w:ascii="Times New Roman" w:hAnsi="Times New Roman" w:cs="Times New Roman"/>
          <w:b/>
          <w:bCs/>
          <w:sz w:val="36"/>
          <w:szCs w:val="36"/>
        </w:rPr>
        <w:t>REFERENCES</w:t>
      </w:r>
    </w:p>
    <w:p w14:paraId="150C35D1" w14:textId="5B967C17"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Akther, F., 2023. E-commerce in India: trends, hurdles, and growth opportunities. Formosa Journal of Science and Technology, 2, pp.2871–2880.</w:t>
      </w:r>
    </w:p>
    <w:p w14:paraId="180D2967" w14:textId="63864890"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Anonymous, 2023. A study on user </w:t>
      </w:r>
      <w:proofErr w:type="spellStart"/>
      <w:r w:rsidRPr="009C1D9F">
        <w:rPr>
          <w:rFonts w:ascii="Times New Roman" w:hAnsi="Times New Roman" w:cs="Times New Roman"/>
          <w:sz w:val="28"/>
          <w:szCs w:val="28"/>
        </w:rPr>
        <w:t>behavior</w:t>
      </w:r>
      <w:proofErr w:type="spellEnd"/>
      <w:r w:rsidRPr="009C1D9F">
        <w:rPr>
          <w:rFonts w:ascii="Times New Roman" w:hAnsi="Times New Roman" w:cs="Times New Roman"/>
          <w:sz w:val="28"/>
          <w:szCs w:val="28"/>
        </w:rPr>
        <w:t xml:space="preserve"> of e-commerce platforms based on data analysis. Journal of Global Humanities and Social Sciences, 4, pp.181–185.</w:t>
      </w:r>
    </w:p>
    <w:p w14:paraId="538EDC88" w14:textId="150DBFEB"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Battle, L., Eichmann, P., Angelini, M., Catarci, T., Santucci, G., Zheng, Y., et al., 2020. Database benchmarking for supporting real-time interactive querying of large data. In: Proceedings of the 2020 ACM SIGMOD International Conference on Management of Data, pp.1571–1587.</w:t>
      </w:r>
    </w:p>
    <w:p w14:paraId="1FEB463F" w14:textId="2E9A7878"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Baye, M.R., De </w:t>
      </w:r>
      <w:proofErr w:type="spellStart"/>
      <w:r w:rsidRPr="009C1D9F">
        <w:rPr>
          <w:rFonts w:ascii="Times New Roman" w:hAnsi="Times New Roman" w:cs="Times New Roman"/>
          <w:sz w:val="28"/>
          <w:szCs w:val="28"/>
        </w:rPr>
        <w:t>los</w:t>
      </w:r>
      <w:proofErr w:type="spellEnd"/>
      <w:r w:rsidRPr="009C1D9F">
        <w:rPr>
          <w:rFonts w:ascii="Times New Roman" w:hAnsi="Times New Roman" w:cs="Times New Roman"/>
          <w:sz w:val="28"/>
          <w:szCs w:val="28"/>
        </w:rPr>
        <w:t xml:space="preserve"> Santos, B., </w:t>
      </w:r>
      <w:proofErr w:type="spellStart"/>
      <w:r w:rsidRPr="009C1D9F">
        <w:rPr>
          <w:rFonts w:ascii="Times New Roman" w:hAnsi="Times New Roman" w:cs="Times New Roman"/>
          <w:sz w:val="28"/>
          <w:szCs w:val="28"/>
        </w:rPr>
        <w:t>Wildenbeest</w:t>
      </w:r>
      <w:proofErr w:type="spellEnd"/>
      <w:r w:rsidRPr="009C1D9F">
        <w:rPr>
          <w:rFonts w:ascii="Times New Roman" w:hAnsi="Times New Roman" w:cs="Times New Roman"/>
          <w:sz w:val="28"/>
          <w:szCs w:val="28"/>
        </w:rPr>
        <w:t>, M.R., 2012. The evolution of product search. Journal of Law, Economics, and Policy, 9, p.201.</w:t>
      </w:r>
    </w:p>
    <w:p w14:paraId="39CE7579" w14:textId="310B9605"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Bhatia-Kalluri, A., 2021. E-commerce for rural micro-entrepreneurs: Mapping restrictions, ecologies of use and trends for development. </w:t>
      </w:r>
      <w:proofErr w:type="spellStart"/>
      <w:r w:rsidRPr="009C1D9F">
        <w:rPr>
          <w:rFonts w:ascii="Times New Roman" w:hAnsi="Times New Roman" w:cs="Times New Roman"/>
          <w:sz w:val="28"/>
          <w:szCs w:val="28"/>
        </w:rPr>
        <w:t>ArXiv</w:t>
      </w:r>
      <w:proofErr w:type="spellEnd"/>
      <w:r w:rsidRPr="009C1D9F">
        <w:rPr>
          <w:rFonts w:ascii="Times New Roman" w:hAnsi="Times New Roman" w:cs="Times New Roman"/>
          <w:sz w:val="28"/>
          <w:szCs w:val="28"/>
        </w:rPr>
        <w:t xml:space="preserve"> preprint arXiv:2108.09759.</w:t>
      </w:r>
    </w:p>
    <w:p w14:paraId="279701E3" w14:textId="65A9AB31"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Blagec</w:t>
      </w:r>
      <w:proofErr w:type="spellEnd"/>
      <w:r w:rsidRPr="009C1D9F">
        <w:rPr>
          <w:rFonts w:ascii="Times New Roman" w:hAnsi="Times New Roman" w:cs="Times New Roman"/>
          <w:sz w:val="28"/>
          <w:szCs w:val="28"/>
        </w:rPr>
        <w:t xml:space="preserve">, K., </w:t>
      </w:r>
      <w:proofErr w:type="spellStart"/>
      <w:r w:rsidRPr="009C1D9F">
        <w:rPr>
          <w:rFonts w:ascii="Times New Roman" w:hAnsi="Times New Roman" w:cs="Times New Roman"/>
          <w:sz w:val="28"/>
          <w:szCs w:val="28"/>
        </w:rPr>
        <w:t>Kraiger</w:t>
      </w:r>
      <w:proofErr w:type="spellEnd"/>
      <w:r w:rsidRPr="009C1D9F">
        <w:rPr>
          <w:rFonts w:ascii="Times New Roman" w:hAnsi="Times New Roman" w:cs="Times New Roman"/>
          <w:sz w:val="28"/>
          <w:szCs w:val="28"/>
        </w:rPr>
        <w:t xml:space="preserve">, J., Frühwirt, W., </w:t>
      </w:r>
      <w:proofErr w:type="spellStart"/>
      <w:r w:rsidRPr="009C1D9F">
        <w:rPr>
          <w:rFonts w:ascii="Times New Roman" w:hAnsi="Times New Roman" w:cs="Times New Roman"/>
          <w:sz w:val="28"/>
          <w:szCs w:val="28"/>
        </w:rPr>
        <w:t>Samwald</w:t>
      </w:r>
      <w:proofErr w:type="spellEnd"/>
      <w:r w:rsidRPr="009C1D9F">
        <w:rPr>
          <w:rFonts w:ascii="Times New Roman" w:hAnsi="Times New Roman" w:cs="Times New Roman"/>
          <w:sz w:val="28"/>
          <w:szCs w:val="28"/>
        </w:rPr>
        <w:t>, M., 2023. Benchmark datasets driving artificial intelligence development fail to capture the needs of medical professionals. Journal of Biomedical Informatics, 137, p.104274.</w:t>
      </w:r>
    </w:p>
    <w:p w14:paraId="40882F33" w14:textId="20CC778D"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Boncz, P., Neumann, T., Erling, O., 2013. TPC-H </w:t>
      </w:r>
      <w:proofErr w:type="spellStart"/>
      <w:r w:rsidRPr="009C1D9F">
        <w:rPr>
          <w:rFonts w:ascii="Times New Roman" w:hAnsi="Times New Roman" w:cs="Times New Roman"/>
          <w:sz w:val="28"/>
          <w:szCs w:val="28"/>
        </w:rPr>
        <w:t>analyzed</w:t>
      </w:r>
      <w:proofErr w:type="spellEnd"/>
      <w:r w:rsidRPr="009C1D9F">
        <w:rPr>
          <w:rFonts w:ascii="Times New Roman" w:hAnsi="Times New Roman" w:cs="Times New Roman"/>
          <w:sz w:val="28"/>
          <w:szCs w:val="28"/>
        </w:rPr>
        <w:t>: Hidden messages and lessons learned from an influential benchmark. In: Technology Conference on Performance Evaluation and Benchmarking. Springer International Publishing, Cham, pp.61–76.</w:t>
      </w:r>
    </w:p>
    <w:p w14:paraId="3FE9B6F6" w14:textId="5B354E0B"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Cole, R., Funke, F., Giakoumakis, L., Guy, W., Kemper, A., </w:t>
      </w:r>
      <w:proofErr w:type="spellStart"/>
      <w:r w:rsidRPr="009C1D9F">
        <w:rPr>
          <w:rFonts w:ascii="Times New Roman" w:hAnsi="Times New Roman" w:cs="Times New Roman"/>
          <w:sz w:val="28"/>
          <w:szCs w:val="28"/>
        </w:rPr>
        <w:t>Krompass</w:t>
      </w:r>
      <w:proofErr w:type="spellEnd"/>
      <w:r w:rsidRPr="009C1D9F">
        <w:rPr>
          <w:rFonts w:ascii="Times New Roman" w:hAnsi="Times New Roman" w:cs="Times New Roman"/>
          <w:sz w:val="28"/>
          <w:szCs w:val="28"/>
        </w:rPr>
        <w:t>, S., et al., 2011. The mixed workload CH-</w:t>
      </w:r>
      <w:proofErr w:type="spellStart"/>
      <w:r w:rsidRPr="009C1D9F">
        <w:rPr>
          <w:rFonts w:ascii="Times New Roman" w:hAnsi="Times New Roman" w:cs="Times New Roman"/>
          <w:sz w:val="28"/>
          <w:szCs w:val="28"/>
        </w:rPr>
        <w:t>benCHmark</w:t>
      </w:r>
      <w:proofErr w:type="spellEnd"/>
      <w:r w:rsidRPr="009C1D9F">
        <w:rPr>
          <w:rFonts w:ascii="Times New Roman" w:hAnsi="Times New Roman" w:cs="Times New Roman"/>
          <w:sz w:val="28"/>
          <w:szCs w:val="28"/>
        </w:rPr>
        <w:t>. In: Proceedings of the Fourth International Workshop on Testing Database Systems, pp.1–6.</w:t>
      </w:r>
    </w:p>
    <w:p w14:paraId="632BCCE7" w14:textId="4CD73AF7"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Cooper, B.F., Silberstein, A., Tam, E., Ramakrishnan, R., Sears, R., 2010. Benchmarking cloud serving systems with YCSB. In: Proceedings of the 1st ACM Symposium on Cloud Computing, pp.143–154.</w:t>
      </w:r>
    </w:p>
    <w:p w14:paraId="730D91BA" w14:textId="554024C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Difallah</w:t>
      </w:r>
      <w:proofErr w:type="spellEnd"/>
      <w:r w:rsidRPr="009C1D9F">
        <w:rPr>
          <w:rFonts w:ascii="Times New Roman" w:hAnsi="Times New Roman" w:cs="Times New Roman"/>
          <w:sz w:val="28"/>
          <w:szCs w:val="28"/>
        </w:rPr>
        <w:t xml:space="preserve">, D.E., Pavlo, A., </w:t>
      </w:r>
      <w:proofErr w:type="spellStart"/>
      <w:r w:rsidRPr="009C1D9F">
        <w:rPr>
          <w:rFonts w:ascii="Times New Roman" w:hAnsi="Times New Roman" w:cs="Times New Roman"/>
          <w:sz w:val="28"/>
          <w:szCs w:val="28"/>
        </w:rPr>
        <w:t>Curino</w:t>
      </w:r>
      <w:proofErr w:type="spellEnd"/>
      <w:r w:rsidRPr="009C1D9F">
        <w:rPr>
          <w:rFonts w:ascii="Times New Roman" w:hAnsi="Times New Roman" w:cs="Times New Roman"/>
          <w:sz w:val="28"/>
          <w:szCs w:val="28"/>
        </w:rPr>
        <w:t xml:space="preserve">, C., </w:t>
      </w:r>
      <w:proofErr w:type="spellStart"/>
      <w:r w:rsidRPr="009C1D9F">
        <w:rPr>
          <w:rFonts w:ascii="Times New Roman" w:hAnsi="Times New Roman" w:cs="Times New Roman"/>
          <w:sz w:val="28"/>
          <w:szCs w:val="28"/>
        </w:rPr>
        <w:t>Cudre-Mauroux</w:t>
      </w:r>
      <w:proofErr w:type="spellEnd"/>
      <w:r w:rsidRPr="009C1D9F">
        <w:rPr>
          <w:rFonts w:ascii="Times New Roman" w:hAnsi="Times New Roman" w:cs="Times New Roman"/>
          <w:sz w:val="28"/>
          <w:szCs w:val="28"/>
        </w:rPr>
        <w:t xml:space="preserve">, P., 2013. </w:t>
      </w:r>
      <w:proofErr w:type="spellStart"/>
      <w:r w:rsidRPr="009C1D9F">
        <w:rPr>
          <w:rFonts w:ascii="Times New Roman" w:hAnsi="Times New Roman" w:cs="Times New Roman"/>
          <w:sz w:val="28"/>
          <w:szCs w:val="28"/>
        </w:rPr>
        <w:t>OLTPbench</w:t>
      </w:r>
      <w:proofErr w:type="spellEnd"/>
      <w:r w:rsidRPr="009C1D9F">
        <w:rPr>
          <w:rFonts w:ascii="Times New Roman" w:hAnsi="Times New Roman" w:cs="Times New Roman"/>
          <w:sz w:val="28"/>
          <w:szCs w:val="28"/>
        </w:rPr>
        <w:t>: An extensible testbed for benchmarking relational databases. Proceedings of the VLDB Endowment, 7, pp.277–288.</w:t>
      </w:r>
    </w:p>
    <w:p w14:paraId="0EC0C87F" w14:textId="780EE6E2"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Dodge, R.C., </w:t>
      </w:r>
      <w:proofErr w:type="spellStart"/>
      <w:r w:rsidRPr="009C1D9F">
        <w:rPr>
          <w:rFonts w:ascii="Times New Roman" w:hAnsi="Times New Roman" w:cs="Times New Roman"/>
          <w:sz w:val="28"/>
          <w:szCs w:val="28"/>
        </w:rPr>
        <w:t>Menascé</w:t>
      </w:r>
      <w:proofErr w:type="spellEnd"/>
      <w:r w:rsidRPr="009C1D9F">
        <w:rPr>
          <w:rFonts w:ascii="Times New Roman" w:hAnsi="Times New Roman" w:cs="Times New Roman"/>
          <w:sz w:val="28"/>
          <w:szCs w:val="28"/>
        </w:rPr>
        <w:t>, D.A., Barbára, D., 2001. Testing e-commerce site scalability with TPC-W. In: Proceedings of 2001 Computer Measurement Group Conference.</w:t>
      </w:r>
    </w:p>
    <w:p w14:paraId="4CC5ABF5" w14:textId="235A032E"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Erling, O., Averbuch, A., </w:t>
      </w:r>
      <w:proofErr w:type="spellStart"/>
      <w:r w:rsidRPr="009C1D9F">
        <w:rPr>
          <w:rFonts w:ascii="Times New Roman" w:hAnsi="Times New Roman" w:cs="Times New Roman"/>
          <w:sz w:val="28"/>
          <w:szCs w:val="28"/>
        </w:rPr>
        <w:t>Larriba</w:t>
      </w:r>
      <w:proofErr w:type="spellEnd"/>
      <w:r w:rsidRPr="009C1D9F">
        <w:rPr>
          <w:rFonts w:ascii="Times New Roman" w:hAnsi="Times New Roman" w:cs="Times New Roman"/>
          <w:sz w:val="28"/>
          <w:szCs w:val="28"/>
        </w:rPr>
        <w:t xml:space="preserve">-Pey, J., </w:t>
      </w:r>
      <w:proofErr w:type="spellStart"/>
      <w:r w:rsidRPr="009C1D9F">
        <w:rPr>
          <w:rFonts w:ascii="Times New Roman" w:hAnsi="Times New Roman" w:cs="Times New Roman"/>
          <w:sz w:val="28"/>
          <w:szCs w:val="28"/>
        </w:rPr>
        <w:t>Chafi</w:t>
      </w:r>
      <w:proofErr w:type="spellEnd"/>
      <w:r w:rsidRPr="009C1D9F">
        <w:rPr>
          <w:rFonts w:ascii="Times New Roman" w:hAnsi="Times New Roman" w:cs="Times New Roman"/>
          <w:sz w:val="28"/>
          <w:szCs w:val="28"/>
        </w:rPr>
        <w:t>, H., Gubichev, A., Prat, A., et al., 2015. The LDBC social network benchmark: Interactive workload. In: Proceedings of the 2015 ACM SIGMOD International Conference on Management of Data, pp.619–630.</w:t>
      </w:r>
    </w:p>
    <w:p w14:paraId="2245EB8D" w14:textId="4513698C"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lastRenderedPageBreak/>
        <w:t xml:space="preserve">Funke, F., Kemper, A., Neumann, T., 2011. Benchmarking hybrid OLTP &amp; OLAP database systems. In: </w:t>
      </w:r>
      <w:proofErr w:type="spellStart"/>
      <w:r w:rsidRPr="009C1D9F">
        <w:rPr>
          <w:rFonts w:ascii="Times New Roman" w:hAnsi="Times New Roman" w:cs="Times New Roman"/>
          <w:sz w:val="28"/>
          <w:szCs w:val="28"/>
        </w:rPr>
        <w:t>Datenbanksysteme</w:t>
      </w:r>
      <w:proofErr w:type="spellEnd"/>
      <w:r w:rsidRPr="009C1D9F">
        <w:rPr>
          <w:rFonts w:ascii="Times New Roman" w:hAnsi="Times New Roman" w:cs="Times New Roman"/>
          <w:sz w:val="28"/>
          <w:szCs w:val="28"/>
        </w:rPr>
        <w:t xml:space="preserve"> für Business, Technologie und Web (BTW), Gesellschaft für Informatik eV, pp.390–409.</w:t>
      </w:r>
    </w:p>
    <w:p w14:paraId="58230DA3" w14:textId="1D850047"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Iosup</w:t>
      </w:r>
      <w:proofErr w:type="spellEnd"/>
      <w:r w:rsidRPr="009C1D9F">
        <w:rPr>
          <w:rFonts w:ascii="Times New Roman" w:hAnsi="Times New Roman" w:cs="Times New Roman"/>
          <w:sz w:val="28"/>
          <w:szCs w:val="28"/>
        </w:rPr>
        <w:t xml:space="preserve">, A., </w:t>
      </w:r>
      <w:proofErr w:type="spellStart"/>
      <w:r w:rsidRPr="009C1D9F">
        <w:rPr>
          <w:rFonts w:ascii="Times New Roman" w:hAnsi="Times New Roman" w:cs="Times New Roman"/>
          <w:sz w:val="28"/>
          <w:szCs w:val="28"/>
        </w:rPr>
        <w:t>Musaafir</w:t>
      </w:r>
      <w:proofErr w:type="spellEnd"/>
      <w:r w:rsidRPr="009C1D9F">
        <w:rPr>
          <w:rFonts w:ascii="Times New Roman" w:hAnsi="Times New Roman" w:cs="Times New Roman"/>
          <w:sz w:val="28"/>
          <w:szCs w:val="28"/>
        </w:rPr>
        <w:t xml:space="preserve">, A., Uta, A., Pérez, A.P., </w:t>
      </w:r>
      <w:proofErr w:type="spellStart"/>
      <w:r w:rsidRPr="009C1D9F">
        <w:rPr>
          <w:rFonts w:ascii="Times New Roman" w:hAnsi="Times New Roman" w:cs="Times New Roman"/>
          <w:sz w:val="28"/>
          <w:szCs w:val="28"/>
        </w:rPr>
        <w:t>Szárnyas</w:t>
      </w:r>
      <w:proofErr w:type="spellEnd"/>
      <w:r w:rsidRPr="009C1D9F">
        <w:rPr>
          <w:rFonts w:ascii="Times New Roman" w:hAnsi="Times New Roman" w:cs="Times New Roman"/>
          <w:sz w:val="28"/>
          <w:szCs w:val="28"/>
        </w:rPr>
        <w:t xml:space="preserve">, G., Chafi, H., et al., 2020. The LDBC </w:t>
      </w:r>
      <w:proofErr w:type="spellStart"/>
      <w:r w:rsidRPr="009C1D9F">
        <w:rPr>
          <w:rFonts w:ascii="Times New Roman" w:hAnsi="Times New Roman" w:cs="Times New Roman"/>
          <w:sz w:val="28"/>
          <w:szCs w:val="28"/>
        </w:rPr>
        <w:t>Graphalytics</w:t>
      </w:r>
      <w:proofErr w:type="spellEnd"/>
      <w:r w:rsidRPr="009C1D9F">
        <w:rPr>
          <w:rFonts w:ascii="Times New Roman" w:hAnsi="Times New Roman" w:cs="Times New Roman"/>
          <w:sz w:val="28"/>
          <w:szCs w:val="28"/>
        </w:rPr>
        <w:t xml:space="preserve"> benchmark. </w:t>
      </w:r>
      <w:proofErr w:type="spellStart"/>
      <w:r w:rsidRPr="009C1D9F">
        <w:rPr>
          <w:rFonts w:ascii="Times New Roman" w:hAnsi="Times New Roman" w:cs="Times New Roman"/>
          <w:sz w:val="28"/>
          <w:szCs w:val="28"/>
        </w:rPr>
        <w:t>ArXiv</w:t>
      </w:r>
      <w:proofErr w:type="spellEnd"/>
      <w:r w:rsidRPr="009C1D9F">
        <w:rPr>
          <w:rFonts w:ascii="Times New Roman" w:hAnsi="Times New Roman" w:cs="Times New Roman"/>
          <w:sz w:val="28"/>
          <w:szCs w:val="28"/>
        </w:rPr>
        <w:t xml:space="preserve"> preprint arXiv:2011.15028.</w:t>
      </w:r>
    </w:p>
    <w:p w14:paraId="4AB742ED" w14:textId="5B5B2BE4"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Kaszó, M., Levendovszky, T., TPC Benchmark.</w:t>
      </w:r>
    </w:p>
    <w:p w14:paraId="5C9DAA53" w14:textId="0511F08E"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Kavalanekar</w:t>
      </w:r>
      <w:proofErr w:type="spellEnd"/>
      <w:r w:rsidRPr="009C1D9F">
        <w:rPr>
          <w:rFonts w:ascii="Times New Roman" w:hAnsi="Times New Roman" w:cs="Times New Roman"/>
          <w:sz w:val="28"/>
          <w:szCs w:val="28"/>
        </w:rPr>
        <w:t xml:space="preserve">, S., Narayanan, D., Sankar, S., </w:t>
      </w:r>
      <w:proofErr w:type="spellStart"/>
      <w:r w:rsidRPr="009C1D9F">
        <w:rPr>
          <w:rFonts w:ascii="Times New Roman" w:hAnsi="Times New Roman" w:cs="Times New Roman"/>
          <w:sz w:val="28"/>
          <w:szCs w:val="28"/>
        </w:rPr>
        <w:t>Thereska</w:t>
      </w:r>
      <w:proofErr w:type="spellEnd"/>
      <w:r w:rsidRPr="009C1D9F">
        <w:rPr>
          <w:rFonts w:ascii="Times New Roman" w:hAnsi="Times New Roman" w:cs="Times New Roman"/>
          <w:sz w:val="28"/>
          <w:szCs w:val="28"/>
        </w:rPr>
        <w:t>, E., Vaid, K., Worthington, B., 2009. Measuring database performance in online services: a trace-based approach. In: Technology Conference on Performance Evaluation and Benchmarking. Springer Berlin Heidelberg, pp.132–145.</w:t>
      </w:r>
    </w:p>
    <w:p w14:paraId="2A95C927" w14:textId="0906FAE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Khouja, M., Kamoun, F., </w:t>
      </w:r>
      <w:proofErr w:type="spellStart"/>
      <w:r w:rsidRPr="009C1D9F">
        <w:rPr>
          <w:rFonts w:ascii="Times New Roman" w:hAnsi="Times New Roman" w:cs="Times New Roman"/>
          <w:sz w:val="28"/>
          <w:szCs w:val="28"/>
        </w:rPr>
        <w:t>Lladó</w:t>
      </w:r>
      <w:proofErr w:type="spellEnd"/>
      <w:r w:rsidRPr="009C1D9F">
        <w:rPr>
          <w:rFonts w:ascii="Times New Roman" w:hAnsi="Times New Roman" w:cs="Times New Roman"/>
          <w:sz w:val="28"/>
          <w:szCs w:val="28"/>
        </w:rPr>
        <w:t xml:space="preserve">, C.M., </w:t>
      </w:r>
      <w:proofErr w:type="spellStart"/>
      <w:r w:rsidRPr="009C1D9F">
        <w:rPr>
          <w:rFonts w:ascii="Times New Roman" w:hAnsi="Times New Roman" w:cs="Times New Roman"/>
          <w:sz w:val="28"/>
          <w:szCs w:val="28"/>
        </w:rPr>
        <w:t>Puigjaner</w:t>
      </w:r>
      <w:proofErr w:type="spellEnd"/>
      <w:r w:rsidRPr="009C1D9F">
        <w:rPr>
          <w:rFonts w:ascii="Times New Roman" w:hAnsi="Times New Roman" w:cs="Times New Roman"/>
          <w:sz w:val="28"/>
          <w:szCs w:val="28"/>
        </w:rPr>
        <w:t>, R., 2010. Experimenting with the TPC-W e-commerce benchmark.</w:t>
      </w:r>
    </w:p>
    <w:p w14:paraId="2ECB8CDF" w14:textId="7A498946"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Lee, S., Kim, J.D., 2024. When do startups scale? Large-scale evidence from job postings. Strategic Management Journal, 45, pp.1633–1669.</w:t>
      </w:r>
    </w:p>
    <w:p w14:paraId="4FC5ADF0" w14:textId="0E933BBD"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Liyanage, D., Pandey, S., Goldstein, J., Cahill, M., Dey, A., Fekete, A., Röhm, U., 2025. A benchmark for databases with varying value lengths. </w:t>
      </w:r>
      <w:proofErr w:type="spellStart"/>
      <w:r w:rsidRPr="009C1D9F">
        <w:rPr>
          <w:rFonts w:ascii="Times New Roman" w:hAnsi="Times New Roman" w:cs="Times New Roman"/>
          <w:sz w:val="28"/>
          <w:szCs w:val="28"/>
        </w:rPr>
        <w:t>ArXiv</w:t>
      </w:r>
      <w:proofErr w:type="spellEnd"/>
      <w:r w:rsidRPr="009C1D9F">
        <w:rPr>
          <w:rFonts w:ascii="Times New Roman" w:hAnsi="Times New Roman" w:cs="Times New Roman"/>
          <w:sz w:val="28"/>
          <w:szCs w:val="28"/>
        </w:rPr>
        <w:t xml:space="preserve"> preprint arXiv:2508.07551.</w:t>
      </w:r>
    </w:p>
    <w:p w14:paraId="61B4D517" w14:textId="1AFFDABC"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Longjohn, R., Kelly, M., Singh, S., Smyth, P., 2024. Benchmark data repositories for better benchmarking. In: Advances in Neural Information Processing Systems, pp.86435–86457.</w:t>
      </w:r>
    </w:p>
    <w:p w14:paraId="02D3F72E" w14:textId="6021F895"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Menascé, D.A., 2002. TPC-W: A benchmark for e-commerce. IEEE Internet Computing, 6, pp.83–87.</w:t>
      </w:r>
    </w:p>
    <w:p w14:paraId="570EBB2E" w14:textId="5550D57B"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Microsoft Corporation, 2023. How to use batching to improve application performance. Azure SQL Database Documentation, Microsoft Learn. https://learn.microsoft.com/en-us/azure/azure-sql/performance-improve-use-batching</w:t>
      </w:r>
    </w:p>
    <w:p w14:paraId="238B7912" w14:textId="0224328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Nah, F.F.H., Hong, W., Chen, L., Lee, H.H., 2012. Information search patterns in e-commerce product comparison services. In: Cross-Disciplinary Models and Applications of Database Management. IGI Global Scientific Publishing, pp.131–145.</w:t>
      </w:r>
    </w:p>
    <w:p w14:paraId="6512C6E9" w14:textId="10322DE7"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Panpaliya</w:t>
      </w:r>
      <w:proofErr w:type="spellEnd"/>
      <w:r w:rsidRPr="009C1D9F">
        <w:rPr>
          <w:rFonts w:ascii="Times New Roman" w:hAnsi="Times New Roman" w:cs="Times New Roman"/>
          <w:sz w:val="28"/>
          <w:szCs w:val="28"/>
        </w:rPr>
        <w:t>, T., 2020. Benchmarking MongoDB multi-document transactions in a sharded cluster.</w:t>
      </w:r>
    </w:p>
    <w:p w14:paraId="071232FA" w14:textId="30528EB0"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Patil, S., Polte, M., Ren, K., </w:t>
      </w:r>
      <w:proofErr w:type="spellStart"/>
      <w:r w:rsidRPr="009C1D9F">
        <w:rPr>
          <w:rFonts w:ascii="Times New Roman" w:hAnsi="Times New Roman" w:cs="Times New Roman"/>
          <w:sz w:val="28"/>
          <w:szCs w:val="28"/>
        </w:rPr>
        <w:t>Tantisiriroj</w:t>
      </w:r>
      <w:proofErr w:type="spellEnd"/>
      <w:r w:rsidRPr="009C1D9F">
        <w:rPr>
          <w:rFonts w:ascii="Times New Roman" w:hAnsi="Times New Roman" w:cs="Times New Roman"/>
          <w:sz w:val="28"/>
          <w:szCs w:val="28"/>
        </w:rPr>
        <w:t>, W., Xiao, L., López, J., et al., 2011. YCSB++ benchmarking and performance debugging advanced features in scalable table stores. In: Proceedings of the 2nd ACM Symposium on Cloud Computing, pp.1–14.</w:t>
      </w:r>
    </w:p>
    <w:p w14:paraId="3A5EA6A9" w14:textId="6E9691B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Pena-Ortiz, R., Gil, J.A., </w:t>
      </w:r>
      <w:proofErr w:type="spellStart"/>
      <w:r w:rsidRPr="009C1D9F">
        <w:rPr>
          <w:rFonts w:ascii="Times New Roman" w:hAnsi="Times New Roman" w:cs="Times New Roman"/>
          <w:sz w:val="28"/>
          <w:szCs w:val="28"/>
        </w:rPr>
        <w:t>Sahuquillo</w:t>
      </w:r>
      <w:proofErr w:type="spellEnd"/>
      <w:r w:rsidRPr="009C1D9F">
        <w:rPr>
          <w:rFonts w:ascii="Times New Roman" w:hAnsi="Times New Roman" w:cs="Times New Roman"/>
          <w:sz w:val="28"/>
          <w:szCs w:val="28"/>
        </w:rPr>
        <w:t xml:space="preserve">, J., Pont, A., 2012. Providing TPC-W with web user dynamic </w:t>
      </w:r>
      <w:proofErr w:type="spellStart"/>
      <w:r w:rsidRPr="009C1D9F">
        <w:rPr>
          <w:rFonts w:ascii="Times New Roman" w:hAnsi="Times New Roman" w:cs="Times New Roman"/>
          <w:sz w:val="28"/>
          <w:szCs w:val="28"/>
        </w:rPr>
        <w:t>behavior</w:t>
      </w:r>
      <w:proofErr w:type="spellEnd"/>
      <w:r w:rsidRPr="009C1D9F">
        <w:rPr>
          <w:rFonts w:ascii="Times New Roman" w:hAnsi="Times New Roman" w:cs="Times New Roman"/>
          <w:sz w:val="28"/>
          <w:szCs w:val="28"/>
        </w:rPr>
        <w:t>. CLEI Electronic Journal, 15, pp.2–2.</w:t>
      </w:r>
    </w:p>
    <w:p w14:paraId="2EBD5E49" w14:textId="668D7009"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Petzka, H., Stadler, C., </w:t>
      </w:r>
      <w:proofErr w:type="spellStart"/>
      <w:r w:rsidRPr="009C1D9F">
        <w:rPr>
          <w:rFonts w:ascii="Times New Roman" w:hAnsi="Times New Roman" w:cs="Times New Roman"/>
          <w:sz w:val="28"/>
          <w:szCs w:val="28"/>
        </w:rPr>
        <w:t>Katsimpras</w:t>
      </w:r>
      <w:proofErr w:type="spellEnd"/>
      <w:r w:rsidRPr="009C1D9F">
        <w:rPr>
          <w:rFonts w:ascii="Times New Roman" w:hAnsi="Times New Roman" w:cs="Times New Roman"/>
          <w:sz w:val="28"/>
          <w:szCs w:val="28"/>
        </w:rPr>
        <w:t xml:space="preserve">, G., Haarmann, B., Lehmann, J., 2017. Benchmarking faceted browsing capabilities of </w:t>
      </w:r>
      <w:proofErr w:type="spellStart"/>
      <w:r w:rsidRPr="009C1D9F">
        <w:rPr>
          <w:rFonts w:ascii="Times New Roman" w:hAnsi="Times New Roman" w:cs="Times New Roman"/>
          <w:sz w:val="28"/>
          <w:szCs w:val="28"/>
        </w:rPr>
        <w:t>triplestores</w:t>
      </w:r>
      <w:proofErr w:type="spellEnd"/>
      <w:r w:rsidRPr="009C1D9F">
        <w:rPr>
          <w:rFonts w:ascii="Times New Roman" w:hAnsi="Times New Roman" w:cs="Times New Roman"/>
          <w:sz w:val="28"/>
          <w:szCs w:val="28"/>
        </w:rPr>
        <w:t>. In: Proceedings of the 13th International Conference on Semantic Systems, pp.128–135.</w:t>
      </w:r>
    </w:p>
    <w:p w14:paraId="1A7171E5" w14:textId="08EBFC9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Püroja</w:t>
      </w:r>
      <w:proofErr w:type="spellEnd"/>
      <w:r w:rsidRPr="009C1D9F">
        <w:rPr>
          <w:rFonts w:ascii="Times New Roman" w:hAnsi="Times New Roman" w:cs="Times New Roman"/>
          <w:sz w:val="28"/>
          <w:szCs w:val="28"/>
        </w:rPr>
        <w:t xml:space="preserve">, D., Waudby, J., Boncz, P., </w:t>
      </w:r>
      <w:proofErr w:type="spellStart"/>
      <w:r w:rsidRPr="009C1D9F">
        <w:rPr>
          <w:rFonts w:ascii="Times New Roman" w:hAnsi="Times New Roman" w:cs="Times New Roman"/>
          <w:sz w:val="28"/>
          <w:szCs w:val="28"/>
        </w:rPr>
        <w:t>Szárnyas</w:t>
      </w:r>
      <w:proofErr w:type="spellEnd"/>
      <w:r w:rsidRPr="009C1D9F">
        <w:rPr>
          <w:rFonts w:ascii="Times New Roman" w:hAnsi="Times New Roman" w:cs="Times New Roman"/>
          <w:sz w:val="28"/>
          <w:szCs w:val="28"/>
        </w:rPr>
        <w:t xml:space="preserve">, G., 2023. The LDBC Social Network Benchmark Interactive workload v2. In: Technology Conference on </w:t>
      </w:r>
      <w:r w:rsidRPr="009C1D9F">
        <w:rPr>
          <w:rFonts w:ascii="Times New Roman" w:hAnsi="Times New Roman" w:cs="Times New Roman"/>
          <w:sz w:val="28"/>
          <w:szCs w:val="28"/>
        </w:rPr>
        <w:lastRenderedPageBreak/>
        <w:t>Performance Evaluation and Benchmarking. Springer Nature Switzerland, pp.107–123.</w:t>
      </w:r>
    </w:p>
    <w:p w14:paraId="498DD091" w14:textId="73C3D71F"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Qi, S., Tong, B., Hu, J., Lin, H., Pang, Y., Yuan, W., et al., 2025. The LDBC Financial Benchmark: Transaction workload. Proceedings of the VLDB Endowment, 18, pp.3007–3020</w:t>
      </w:r>
    </w:p>
    <w:p w14:paraId="3C8DA23F" w14:textId="27065BFB"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Ruben, B.E.S., 2021. Benchmarking distributed database performance and dependability under partial system failures. PhD thesis, Delft University of Technology.</w:t>
      </w:r>
    </w:p>
    <w:p w14:paraId="385FA406" w14:textId="19DD08AF"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Shih, D.H., Lu, K.C., Shih, P.Y., 2019. Exploring shopper’s browsing </w:t>
      </w:r>
      <w:proofErr w:type="spellStart"/>
      <w:r w:rsidRPr="009C1D9F">
        <w:rPr>
          <w:rFonts w:ascii="Times New Roman" w:hAnsi="Times New Roman" w:cs="Times New Roman"/>
          <w:sz w:val="28"/>
          <w:szCs w:val="28"/>
        </w:rPr>
        <w:t>behavior</w:t>
      </w:r>
      <w:proofErr w:type="spellEnd"/>
      <w:r w:rsidRPr="009C1D9F">
        <w:rPr>
          <w:rFonts w:ascii="Times New Roman" w:hAnsi="Times New Roman" w:cs="Times New Roman"/>
          <w:sz w:val="28"/>
          <w:szCs w:val="28"/>
        </w:rPr>
        <w:t xml:space="preserve"> and attention level with an EEG biosensor cap. Brain Science, 9, p.301.</w:t>
      </w:r>
    </w:p>
    <w:p w14:paraId="3228B2FA" w14:textId="01EFAA73"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Smith, W.D., 2000. TPC-W: Benchmarking an ecommerce solution.</w:t>
      </w:r>
    </w:p>
    <w:p w14:paraId="2CAE5978" w14:textId="60DC77D7"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Song, I.Y., Whang, K.Y., 2000. Database design for real-world e-commerce systems. IEEE Data Engineering Bulletin, 23, pp.23–28.</w:t>
      </w:r>
    </w:p>
    <w:p w14:paraId="3A03D2F7" w14:textId="53726E45"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Springtail, Startup database trends report. https://www.springtail.io/startup-database-trends</w:t>
      </w:r>
    </w:p>
    <w:p w14:paraId="70629A59" w14:textId="3B9DDA72"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Szárnyas</w:t>
      </w:r>
      <w:proofErr w:type="spellEnd"/>
      <w:r w:rsidRPr="009C1D9F">
        <w:rPr>
          <w:rFonts w:ascii="Times New Roman" w:hAnsi="Times New Roman" w:cs="Times New Roman"/>
          <w:sz w:val="28"/>
          <w:szCs w:val="28"/>
        </w:rPr>
        <w:t>, G., Bebee, B., Birler, A., Deutsch, A., Fletcher, G., Gabb, H.A., et al., 2023. The linked data benchmark council (LDBC). In: Technology Conference on Performance Evaluation and Benchmarking. Springer Nature Switzerland, pp.90–106.</w:t>
      </w:r>
    </w:p>
    <w:p w14:paraId="46F336CC" w14:textId="7BF30C1F"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Szárnyas</w:t>
      </w:r>
      <w:proofErr w:type="spellEnd"/>
      <w:r w:rsidRPr="009C1D9F">
        <w:rPr>
          <w:rFonts w:ascii="Times New Roman" w:hAnsi="Times New Roman" w:cs="Times New Roman"/>
          <w:sz w:val="28"/>
          <w:szCs w:val="28"/>
        </w:rPr>
        <w:t>, G., Waudby, J., Steer, B.A., Szakállas, D., Birler, A., Wu, M., et al., 2022. The LDBC social network benchmark: Business intelligence workload. Proceedings of the VLDB Endowment, 16, pp.877–890.</w:t>
      </w:r>
    </w:p>
    <w:p w14:paraId="7C2204A0" w14:textId="1E2A175A"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Thete</w:t>
      </w:r>
      <w:proofErr w:type="spellEnd"/>
      <w:r w:rsidRPr="009C1D9F">
        <w:rPr>
          <w:rFonts w:ascii="Times New Roman" w:hAnsi="Times New Roman" w:cs="Times New Roman"/>
          <w:sz w:val="28"/>
          <w:szCs w:val="28"/>
        </w:rPr>
        <w:t>, B.B., 2024. E-commerce in India – issues and opportunities. International Journal of Research and Publication Review, 5, pp.1643–1649.</w:t>
      </w:r>
    </w:p>
    <w:p w14:paraId="64DEC48D" w14:textId="58C140F6" w:rsid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TiDB</w:t>
      </w:r>
      <w:proofErr w:type="spellEnd"/>
      <w:r w:rsidRPr="009C1D9F">
        <w:rPr>
          <w:rFonts w:ascii="Times New Roman" w:hAnsi="Times New Roman" w:cs="Times New Roman"/>
          <w:sz w:val="28"/>
          <w:szCs w:val="28"/>
        </w:rPr>
        <w:t xml:space="preserve"> Team, 2025. Evaluating free cloud databases. </w:t>
      </w:r>
      <w:hyperlink r:id="rId32" w:history="1">
        <w:r w:rsidRPr="00F6555D">
          <w:rPr>
            <w:rStyle w:val="Hyperlink"/>
            <w:rFonts w:ascii="Times New Roman" w:hAnsi="Times New Roman" w:cs="Times New Roman"/>
            <w:sz w:val="28"/>
            <w:szCs w:val="28"/>
          </w:rPr>
          <w:t>https://www.pingcap.com/article/evaluating-free-cloud-databases-key-features-tidb-serverless/</w:t>
        </w:r>
      </w:hyperlink>
    </w:p>
    <w:p w14:paraId="6500A40E" w14:textId="7F48B741" w:rsid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proofErr w:type="spellStart"/>
      <w:r w:rsidRPr="009C1D9F">
        <w:rPr>
          <w:rFonts w:ascii="Times New Roman" w:hAnsi="Times New Roman" w:cs="Times New Roman"/>
          <w:sz w:val="28"/>
          <w:szCs w:val="28"/>
        </w:rPr>
        <w:t>Tözün</w:t>
      </w:r>
      <w:proofErr w:type="spellEnd"/>
      <w:r w:rsidRPr="009C1D9F">
        <w:rPr>
          <w:rFonts w:ascii="Times New Roman" w:hAnsi="Times New Roman" w:cs="Times New Roman"/>
          <w:sz w:val="28"/>
          <w:szCs w:val="28"/>
        </w:rPr>
        <w:t xml:space="preserve">, P., Pandis, I., Kaynak, C., </w:t>
      </w:r>
      <w:proofErr w:type="spellStart"/>
      <w:r w:rsidRPr="009C1D9F">
        <w:rPr>
          <w:rFonts w:ascii="Times New Roman" w:hAnsi="Times New Roman" w:cs="Times New Roman"/>
          <w:sz w:val="28"/>
          <w:szCs w:val="28"/>
        </w:rPr>
        <w:t>Jevdjic</w:t>
      </w:r>
      <w:proofErr w:type="spellEnd"/>
      <w:r w:rsidRPr="009C1D9F">
        <w:rPr>
          <w:rFonts w:ascii="Times New Roman" w:hAnsi="Times New Roman" w:cs="Times New Roman"/>
          <w:sz w:val="28"/>
          <w:szCs w:val="28"/>
        </w:rPr>
        <w:t xml:space="preserve">, D., </w:t>
      </w:r>
      <w:proofErr w:type="spellStart"/>
      <w:r w:rsidRPr="009C1D9F">
        <w:rPr>
          <w:rFonts w:ascii="Times New Roman" w:hAnsi="Times New Roman" w:cs="Times New Roman"/>
          <w:sz w:val="28"/>
          <w:szCs w:val="28"/>
        </w:rPr>
        <w:t>Ailamaki</w:t>
      </w:r>
      <w:proofErr w:type="spellEnd"/>
      <w:r w:rsidRPr="009C1D9F">
        <w:rPr>
          <w:rFonts w:ascii="Times New Roman" w:hAnsi="Times New Roman" w:cs="Times New Roman"/>
          <w:sz w:val="28"/>
          <w:szCs w:val="28"/>
        </w:rPr>
        <w:t xml:space="preserve">, A., 2013. From A to E: </w:t>
      </w:r>
      <w:proofErr w:type="spellStart"/>
      <w:r w:rsidRPr="009C1D9F">
        <w:rPr>
          <w:rFonts w:ascii="Times New Roman" w:hAnsi="Times New Roman" w:cs="Times New Roman"/>
          <w:sz w:val="28"/>
          <w:szCs w:val="28"/>
        </w:rPr>
        <w:t>analyzing</w:t>
      </w:r>
      <w:proofErr w:type="spellEnd"/>
      <w:r w:rsidRPr="009C1D9F">
        <w:rPr>
          <w:rFonts w:ascii="Times New Roman" w:hAnsi="Times New Roman" w:cs="Times New Roman"/>
          <w:sz w:val="28"/>
          <w:szCs w:val="28"/>
        </w:rPr>
        <w:t xml:space="preserve"> TPC’s OLTP benchmarks. In: Proceedings of the 16th International Conference on Extending Database Technology, pp.17–28.</w:t>
      </w:r>
    </w:p>
    <w:p w14:paraId="30ADDA18" w14:textId="460C2A14" w:rsid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Transaction Processing Performance Council, 2014. TPC-H Benchmark Revision 2.17.1. Technical Report.</w:t>
      </w:r>
    </w:p>
    <w:p w14:paraId="5D9589DF" w14:textId="4CA663FE" w:rsidR="009C1D9F" w:rsidRPr="009C1D9F" w:rsidRDefault="009C1D9F" w:rsidP="009C1D9F">
      <w:pPr>
        <w:pStyle w:val="ListParagraph"/>
        <w:numPr>
          <w:ilvl w:val="1"/>
          <w:numId w:val="12"/>
        </w:numPr>
        <w:spacing w:line="240" w:lineRule="auto"/>
        <w:ind w:left="360"/>
        <w:jc w:val="both"/>
        <w:rPr>
          <w:rFonts w:ascii="Times New Roman" w:hAnsi="Times New Roman" w:cs="Times New Roman"/>
          <w:sz w:val="28"/>
          <w:szCs w:val="28"/>
        </w:rPr>
      </w:pPr>
      <w:r w:rsidRPr="009C1D9F">
        <w:rPr>
          <w:rFonts w:ascii="Times New Roman" w:hAnsi="Times New Roman" w:cs="Times New Roman"/>
          <w:sz w:val="28"/>
          <w:szCs w:val="28"/>
        </w:rPr>
        <w:t xml:space="preserve">Wang, J., Xiao, K., Sun, Q., Zhao, H., Luo, T., Zhang, J., Zeng, X., 2025. </w:t>
      </w:r>
      <w:proofErr w:type="spellStart"/>
      <w:r w:rsidRPr="009C1D9F">
        <w:rPr>
          <w:rFonts w:ascii="Times New Roman" w:hAnsi="Times New Roman" w:cs="Times New Roman"/>
          <w:sz w:val="28"/>
          <w:szCs w:val="28"/>
        </w:rPr>
        <w:t>ShoppingBench</w:t>
      </w:r>
      <w:proofErr w:type="spellEnd"/>
      <w:r w:rsidRPr="009C1D9F">
        <w:rPr>
          <w:rFonts w:ascii="Times New Roman" w:hAnsi="Times New Roman" w:cs="Times New Roman"/>
          <w:sz w:val="28"/>
          <w:szCs w:val="28"/>
        </w:rPr>
        <w:t xml:space="preserve">: A real-world intent-grounded shopping benchmark for LLM-based agents. </w:t>
      </w:r>
      <w:proofErr w:type="spellStart"/>
      <w:r w:rsidRPr="009C1D9F">
        <w:rPr>
          <w:rFonts w:ascii="Times New Roman" w:hAnsi="Times New Roman" w:cs="Times New Roman"/>
          <w:sz w:val="28"/>
          <w:szCs w:val="28"/>
        </w:rPr>
        <w:t>ArXiv</w:t>
      </w:r>
      <w:proofErr w:type="spellEnd"/>
      <w:r w:rsidRPr="009C1D9F">
        <w:rPr>
          <w:rFonts w:ascii="Times New Roman" w:hAnsi="Times New Roman" w:cs="Times New Roman"/>
          <w:sz w:val="28"/>
          <w:szCs w:val="28"/>
        </w:rPr>
        <w:t xml:space="preserve"> preprint arXiv:2508.04266.</w:t>
      </w:r>
    </w:p>
    <w:sectPr w:rsidR="009C1D9F" w:rsidRPr="009C1D9F">
      <w:footerReference w:type="default" r:id="rId3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D49E7" w14:textId="77777777" w:rsidR="006632C4" w:rsidRDefault="006632C4" w:rsidP="00F0203E">
      <w:pPr>
        <w:spacing w:after="0" w:line="240" w:lineRule="auto"/>
      </w:pPr>
      <w:r>
        <w:separator/>
      </w:r>
    </w:p>
  </w:endnote>
  <w:endnote w:type="continuationSeparator" w:id="0">
    <w:p w14:paraId="3C296E49" w14:textId="77777777" w:rsidR="006632C4" w:rsidRDefault="006632C4" w:rsidP="00F02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355959"/>
      <w:docPartObj>
        <w:docPartGallery w:val="Page Numbers (Bottom of Page)"/>
        <w:docPartUnique/>
      </w:docPartObj>
    </w:sdtPr>
    <w:sdtEndPr>
      <w:rPr>
        <w:noProof/>
      </w:rPr>
    </w:sdtEndPr>
    <w:sdtContent>
      <w:p w14:paraId="7EDD95D3" w14:textId="750EE61E" w:rsidR="000F0EE6" w:rsidRDefault="000F0EE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44078E" w14:textId="77777777" w:rsidR="000F0EE6" w:rsidRDefault="000F0E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B26FFF" w14:textId="77777777" w:rsidR="006632C4" w:rsidRDefault="006632C4" w:rsidP="00F0203E">
      <w:pPr>
        <w:spacing w:after="0" w:line="240" w:lineRule="auto"/>
      </w:pPr>
      <w:r>
        <w:separator/>
      </w:r>
    </w:p>
  </w:footnote>
  <w:footnote w:type="continuationSeparator" w:id="0">
    <w:p w14:paraId="4226C75E" w14:textId="77777777" w:rsidR="006632C4" w:rsidRDefault="006632C4" w:rsidP="00F020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56C"/>
    <w:multiLevelType w:val="hybridMultilevel"/>
    <w:tmpl w:val="CBF4E038"/>
    <w:lvl w:ilvl="0" w:tplc="821CE972">
      <w:start w:val="1"/>
      <w:numFmt w:val="decimal"/>
      <w:lvlText w:val="%1.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452C11"/>
    <w:multiLevelType w:val="hybridMultilevel"/>
    <w:tmpl w:val="917CCE7C"/>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3DC1292"/>
    <w:multiLevelType w:val="hybridMultilevel"/>
    <w:tmpl w:val="6C125A44"/>
    <w:lvl w:ilvl="0" w:tplc="4009001B">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5074252"/>
    <w:multiLevelType w:val="hybridMultilevel"/>
    <w:tmpl w:val="9CEC9E8A"/>
    <w:lvl w:ilvl="0" w:tplc="40090013">
      <w:start w:val="1"/>
      <w:numFmt w:val="upperRoman"/>
      <w:lvlText w:val="%1."/>
      <w:lvlJc w:val="righ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99A2135"/>
    <w:multiLevelType w:val="hybridMultilevel"/>
    <w:tmpl w:val="C75A427C"/>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D392241"/>
    <w:multiLevelType w:val="hybridMultilevel"/>
    <w:tmpl w:val="A5C6151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13A2C3F"/>
    <w:multiLevelType w:val="hybridMultilevel"/>
    <w:tmpl w:val="6DBEB3C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F1E298F"/>
    <w:multiLevelType w:val="hybridMultilevel"/>
    <w:tmpl w:val="FA309E9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FB53961"/>
    <w:multiLevelType w:val="hybridMultilevel"/>
    <w:tmpl w:val="64441AF0"/>
    <w:lvl w:ilvl="0" w:tplc="4009001B">
      <w:start w:val="1"/>
      <w:numFmt w:val="low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4727CCD"/>
    <w:multiLevelType w:val="hybridMultilevel"/>
    <w:tmpl w:val="4F225B44"/>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4F320644"/>
    <w:multiLevelType w:val="hybridMultilevel"/>
    <w:tmpl w:val="0938FAE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12519A1"/>
    <w:multiLevelType w:val="hybridMultilevel"/>
    <w:tmpl w:val="AFB2B8F6"/>
    <w:lvl w:ilvl="0" w:tplc="4009001B">
      <w:start w:val="1"/>
      <w:numFmt w:val="lowerRoman"/>
      <w:lvlText w:val="%1."/>
      <w:lvlJc w:val="right"/>
      <w:pPr>
        <w:ind w:left="720" w:hanging="360"/>
      </w:pPr>
    </w:lvl>
    <w:lvl w:ilvl="1" w:tplc="33DE2DB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6DD7E49"/>
    <w:multiLevelType w:val="hybridMultilevel"/>
    <w:tmpl w:val="01067D1A"/>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69356866"/>
    <w:multiLevelType w:val="hybridMultilevel"/>
    <w:tmpl w:val="DDF0F624"/>
    <w:lvl w:ilvl="0" w:tplc="821CE972">
      <w:start w:val="1"/>
      <w:numFmt w:val="decimal"/>
      <w:lvlText w:val="%1.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4" w15:restartNumberingAfterBreak="0">
    <w:nsid w:val="6A2C5EAA"/>
    <w:multiLevelType w:val="hybridMultilevel"/>
    <w:tmpl w:val="BD1A46C8"/>
    <w:lvl w:ilvl="0" w:tplc="40090013">
      <w:start w:val="1"/>
      <w:numFmt w:val="upperRoman"/>
      <w:lvlText w:val="%1."/>
      <w:lvlJc w:val="righ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79D36021"/>
    <w:multiLevelType w:val="hybridMultilevel"/>
    <w:tmpl w:val="8A7AD5A8"/>
    <w:lvl w:ilvl="0" w:tplc="40090013">
      <w:start w:val="1"/>
      <w:numFmt w:val="upperRoman"/>
      <w:lvlText w:val="%1."/>
      <w:lvlJc w:val="righ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465006332">
    <w:abstractNumId w:val="0"/>
  </w:num>
  <w:num w:numId="2" w16cid:durableId="1147823069">
    <w:abstractNumId w:val="13"/>
  </w:num>
  <w:num w:numId="3" w16cid:durableId="231350221">
    <w:abstractNumId w:val="3"/>
  </w:num>
  <w:num w:numId="4" w16cid:durableId="1894071832">
    <w:abstractNumId w:val="14"/>
  </w:num>
  <w:num w:numId="5" w16cid:durableId="667097156">
    <w:abstractNumId w:val="4"/>
  </w:num>
  <w:num w:numId="6" w16cid:durableId="1943948572">
    <w:abstractNumId w:val="12"/>
  </w:num>
  <w:num w:numId="7" w16cid:durableId="598950980">
    <w:abstractNumId w:val="2"/>
  </w:num>
  <w:num w:numId="8" w16cid:durableId="2015642359">
    <w:abstractNumId w:val="6"/>
  </w:num>
  <w:num w:numId="9" w16cid:durableId="1768890638">
    <w:abstractNumId w:val="7"/>
  </w:num>
  <w:num w:numId="10" w16cid:durableId="991712366">
    <w:abstractNumId w:val="8"/>
  </w:num>
  <w:num w:numId="11" w16cid:durableId="574897857">
    <w:abstractNumId w:val="5"/>
  </w:num>
  <w:num w:numId="12" w16cid:durableId="1886139047">
    <w:abstractNumId w:val="11"/>
  </w:num>
  <w:num w:numId="13" w16cid:durableId="1641031710">
    <w:abstractNumId w:val="9"/>
  </w:num>
  <w:num w:numId="14" w16cid:durableId="2047172984">
    <w:abstractNumId w:val="1"/>
  </w:num>
  <w:num w:numId="15" w16cid:durableId="1340622578">
    <w:abstractNumId w:val="15"/>
  </w:num>
  <w:num w:numId="16" w16cid:durableId="6085140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ABA"/>
    <w:rsid w:val="000D0E47"/>
    <w:rsid w:val="000F0EE6"/>
    <w:rsid w:val="00126B41"/>
    <w:rsid w:val="00154EEB"/>
    <w:rsid w:val="00293518"/>
    <w:rsid w:val="00314777"/>
    <w:rsid w:val="00366C4A"/>
    <w:rsid w:val="0037007D"/>
    <w:rsid w:val="003B5ABA"/>
    <w:rsid w:val="003C5CEC"/>
    <w:rsid w:val="00425B75"/>
    <w:rsid w:val="0044365D"/>
    <w:rsid w:val="004C0543"/>
    <w:rsid w:val="004F50E5"/>
    <w:rsid w:val="00523CD7"/>
    <w:rsid w:val="00594D87"/>
    <w:rsid w:val="006632C4"/>
    <w:rsid w:val="006A4623"/>
    <w:rsid w:val="00775109"/>
    <w:rsid w:val="00795591"/>
    <w:rsid w:val="0089392E"/>
    <w:rsid w:val="008C1BC5"/>
    <w:rsid w:val="009C1D9F"/>
    <w:rsid w:val="009F7DE2"/>
    <w:rsid w:val="00A217FC"/>
    <w:rsid w:val="00AC4822"/>
    <w:rsid w:val="00B55AA1"/>
    <w:rsid w:val="00B55E85"/>
    <w:rsid w:val="00B61016"/>
    <w:rsid w:val="00C61456"/>
    <w:rsid w:val="00C74509"/>
    <w:rsid w:val="00F0203E"/>
    <w:rsid w:val="00F410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2C03"/>
  <w15:chartTrackingRefBased/>
  <w15:docId w15:val="{A7D5460D-FE3D-4796-909E-7E2CDB520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5109"/>
  </w:style>
  <w:style w:type="paragraph" w:styleId="Heading1">
    <w:name w:val="heading 1"/>
    <w:basedOn w:val="Normal"/>
    <w:next w:val="Normal"/>
    <w:link w:val="Heading1Char"/>
    <w:uiPriority w:val="9"/>
    <w:qFormat/>
    <w:rsid w:val="003B5AB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AB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AB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AB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AB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A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A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A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A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AB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AB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AB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AB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AB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A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A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A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ABA"/>
    <w:rPr>
      <w:rFonts w:eastAsiaTheme="majorEastAsia" w:cstheme="majorBidi"/>
      <w:color w:val="272727" w:themeColor="text1" w:themeTint="D8"/>
    </w:rPr>
  </w:style>
  <w:style w:type="paragraph" w:styleId="Title">
    <w:name w:val="Title"/>
    <w:basedOn w:val="Normal"/>
    <w:next w:val="Normal"/>
    <w:link w:val="TitleChar"/>
    <w:uiPriority w:val="10"/>
    <w:qFormat/>
    <w:rsid w:val="003B5A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A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A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A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ABA"/>
    <w:pPr>
      <w:spacing w:before="160"/>
      <w:jc w:val="center"/>
    </w:pPr>
    <w:rPr>
      <w:i/>
      <w:iCs/>
      <w:color w:val="404040" w:themeColor="text1" w:themeTint="BF"/>
    </w:rPr>
  </w:style>
  <w:style w:type="character" w:customStyle="1" w:styleId="QuoteChar">
    <w:name w:val="Quote Char"/>
    <w:basedOn w:val="DefaultParagraphFont"/>
    <w:link w:val="Quote"/>
    <w:uiPriority w:val="29"/>
    <w:rsid w:val="003B5ABA"/>
    <w:rPr>
      <w:i/>
      <w:iCs/>
      <w:color w:val="404040" w:themeColor="text1" w:themeTint="BF"/>
    </w:rPr>
  </w:style>
  <w:style w:type="paragraph" w:styleId="ListParagraph">
    <w:name w:val="List Paragraph"/>
    <w:basedOn w:val="Normal"/>
    <w:uiPriority w:val="34"/>
    <w:qFormat/>
    <w:rsid w:val="003B5ABA"/>
    <w:pPr>
      <w:ind w:left="720"/>
      <w:contextualSpacing/>
    </w:pPr>
  </w:style>
  <w:style w:type="character" w:styleId="IntenseEmphasis">
    <w:name w:val="Intense Emphasis"/>
    <w:basedOn w:val="DefaultParagraphFont"/>
    <w:uiPriority w:val="21"/>
    <w:qFormat/>
    <w:rsid w:val="003B5ABA"/>
    <w:rPr>
      <w:i/>
      <w:iCs/>
      <w:color w:val="2F5496" w:themeColor="accent1" w:themeShade="BF"/>
    </w:rPr>
  </w:style>
  <w:style w:type="paragraph" w:styleId="IntenseQuote">
    <w:name w:val="Intense Quote"/>
    <w:basedOn w:val="Normal"/>
    <w:next w:val="Normal"/>
    <w:link w:val="IntenseQuoteChar"/>
    <w:uiPriority w:val="30"/>
    <w:qFormat/>
    <w:rsid w:val="003B5A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ABA"/>
    <w:rPr>
      <w:i/>
      <w:iCs/>
      <w:color w:val="2F5496" w:themeColor="accent1" w:themeShade="BF"/>
    </w:rPr>
  </w:style>
  <w:style w:type="character" w:styleId="IntenseReference">
    <w:name w:val="Intense Reference"/>
    <w:basedOn w:val="DefaultParagraphFont"/>
    <w:uiPriority w:val="32"/>
    <w:qFormat/>
    <w:rsid w:val="003B5ABA"/>
    <w:rPr>
      <w:b/>
      <w:bCs/>
      <w:smallCaps/>
      <w:color w:val="2F5496" w:themeColor="accent1" w:themeShade="BF"/>
      <w:spacing w:val="5"/>
    </w:rPr>
  </w:style>
  <w:style w:type="character" w:styleId="Hyperlink">
    <w:name w:val="Hyperlink"/>
    <w:basedOn w:val="DefaultParagraphFont"/>
    <w:uiPriority w:val="99"/>
    <w:unhideWhenUsed/>
    <w:rsid w:val="003B5ABA"/>
    <w:rPr>
      <w:color w:val="0563C1" w:themeColor="hyperlink"/>
      <w:u w:val="single"/>
    </w:rPr>
  </w:style>
  <w:style w:type="character" w:styleId="UnresolvedMention">
    <w:name w:val="Unresolved Mention"/>
    <w:basedOn w:val="DefaultParagraphFont"/>
    <w:uiPriority w:val="99"/>
    <w:semiHidden/>
    <w:unhideWhenUsed/>
    <w:rsid w:val="003B5ABA"/>
    <w:rPr>
      <w:color w:val="605E5C"/>
      <w:shd w:val="clear" w:color="auto" w:fill="E1DFDD"/>
    </w:rPr>
  </w:style>
  <w:style w:type="paragraph" w:styleId="NormalWeb">
    <w:name w:val="Normal (Web)"/>
    <w:basedOn w:val="Normal"/>
    <w:uiPriority w:val="99"/>
    <w:semiHidden/>
    <w:unhideWhenUsed/>
    <w:rsid w:val="00F0203E"/>
    <w:rPr>
      <w:rFonts w:ascii="Times New Roman" w:hAnsi="Times New Roman" w:cs="Times New Roman"/>
    </w:rPr>
  </w:style>
  <w:style w:type="paragraph" w:styleId="Header">
    <w:name w:val="header"/>
    <w:basedOn w:val="Normal"/>
    <w:link w:val="HeaderChar"/>
    <w:uiPriority w:val="99"/>
    <w:unhideWhenUsed/>
    <w:rsid w:val="000F0E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EE6"/>
  </w:style>
  <w:style w:type="paragraph" w:styleId="Footer">
    <w:name w:val="footer"/>
    <w:basedOn w:val="Normal"/>
    <w:link w:val="FooterChar"/>
    <w:uiPriority w:val="99"/>
    <w:unhideWhenUsed/>
    <w:rsid w:val="000F0E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E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kiet.edu/programs/undergraduate-programs/cse-aiml/"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5.png"/><Relationship Id="rId32" Type="http://schemas.openxmlformats.org/officeDocument/2006/relationships/hyperlink" Target="https://www.pingcap.com/article/evaluating-free-cloud-databases-key-features-tidb-serverless/"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www.kiet.edu/programs/undergraduate-programs/cse-aiml/"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www.kiet.edu/programs/undergraduate-programs/cse-aiml/"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51</Pages>
  <Words>14310</Words>
  <Characters>81568</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Avyaansh Dixit</dc:creator>
  <cp:keywords/>
  <dc:description/>
  <cp:lastModifiedBy>Avyaansh Dixit</cp:lastModifiedBy>
  <cp:revision>3</cp:revision>
  <dcterms:created xsi:type="dcterms:W3CDTF">2026-03-26T14:37:00Z</dcterms:created>
  <dcterms:modified xsi:type="dcterms:W3CDTF">2026-04-11T04:39:00Z</dcterms:modified>
</cp:coreProperties>
</file>