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A3C5E"/>
          <w:sz w:val="40"/>
          <w:szCs w:val="40"/>
        </w:rPr>
        <w:t xml:space="preserve">Vigil Competitive Positioning Brief</w:t>
      </w:r>
    </w:p>
    <w:p>
      <w:pPr>
        <w:spacing w:after="480"/>
        <w:jc w:val="center"/>
      </w:pPr>
      <w:r>
        <w:rPr>
          <w:i/>
          <w:iCs/>
          <w:color w:val="4A5568"/>
          <w:sz w:val="26"/>
          <w:szCs w:val="26"/>
        </w:rPr>
        <w:t xml:space="preserve">Funeral Home CRM Market Analysis</w:t>
      </w:r>
    </w:p>
    <w:p>
      <w:pPr>
        <w:pStyle w:val="Heading1"/>
      </w:pPr>
      <w:r>
        <w:t xml:space="preserve">1. Executive Summary</w:t>
      </w:r>
    </w:p>
    <w:p>
      <w:pPr>
        <w:spacing w:after="240" w:line="360"/>
      </w:pPr>
      <w:r>
        <w:t xml:space="preserve">The funeral home CRM market is uniquely fragmented and underserved. No purpose-built, standalone CRM exists for independent funeral homes. Instead, this market is served by four competing approaches: (1) legacy FMIS add-on modules built for case management, not relationship/pipeline management; (2) a carrier-exclusive Salesforce wrapper available only to homes using one specific preneed insurance partner; (3) a lead capture tool designed to feed leads into an ecosystem of unrelated products; and (4) generic CRMs (HubSpot, Salesforce, Zoho) that require extensive customization and have adoption rates below 5% in the industry. Vigil enters this white space as the only modern, funeral-native, fully independent CRM designed specifically for preneed pipeline management and aftercare automation—the two highest-leverage workflows for independent funeral homes.</w:t>
      </w:r>
    </w:p>
    <w:p>
      <w:pPr>
        <w:pStyle w:val="Heading1"/>
      </w:pPr>
      <w:r>
        <w:t xml:space="preserve">2. Competitive Landscape Map</w:t>
      </w:r>
    </w:p>
    <w:p>
      <w:pPr>
        <w:spacing w:after="120"/>
      </w:pPr>
      <w:r>
        <w:t xml:space="preserve">The competitive landscape breaks into four quadrants based on breadth (lead capture only vs. full CRM) and independence (partner-exclusive vs. standalone product).</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
            </w:r>
          </w:p>
        </w:tc>
        <w:tc>
          <w:tcPr>
            <w:tcW w:type="dxa" w:w="39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center"/>
            </w:pPr>
            <w:r>
              <w:rPr>
                <w:b/>
                <w:bCs/>
                <w:sz w:val="22"/>
                <w:szCs w:val="22"/>
              </w:rPr>
              <w:t xml:space="preserve">Lead Capture / Partial</w:t>
            </w:r>
          </w:p>
        </w:tc>
        <w:tc>
          <w:tcPr>
            <w:tcW w:type="dxa" w:w="39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center"/>
            </w:pPr>
            <w:r>
              <w:rPr>
                <w:b/>
                <w:bCs/>
                <w:sz w:val="22"/>
                <w:szCs w:val="22"/>
              </w:rPr>
              <w:t xml:space="preserve">Full CRM</w:t>
            </w:r>
          </w:p>
        </w:tc>
      </w:tr>
      <w:tr>
        <w:tc>
          <w:tcPr>
            <w:tcW w:type="dxa" w:w="156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center"/>
            </w:pPr>
            <w:r>
              <w:rPr>
                <w:b/>
                <w:bCs/>
                <w:sz w:val="22"/>
                <w:szCs w:val="22"/>
              </w:rPr>
              <w:t xml:space="preserve">Partner / Bundled</w:t>
            </w:r>
          </w:p>
        </w:tc>
        <w:tc>
          <w:tcPr>
            <w:tcW w:type="dxa" w:w="39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center"/>
            </w:pPr>
            <w:r>
              <w:t xml:space="preserve">Tribute Lead Logic</w:t>
            </w:r>
          </w:p>
          <w:p>
            <w:pPr>
              <w:spacing w:before="80"/>
              <w:jc w:val="center"/>
            </w:pPr>
            <w:r>
              <w:rPr>
                <w:i/>
                <w:iCs/>
                <w:sz w:val="20"/>
                <w:szCs w:val="20"/>
              </w:rPr>
              <w:t xml:space="preserve">(Limited to Tribute ecosystem)</w:t>
            </w:r>
          </w:p>
        </w:tc>
        <w:tc>
          <w:tcPr>
            <w:tcW w:type="dxa" w:w="39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center"/>
            </w:pPr>
            <w:r>
              <w:t xml:space="preserve">Homesteaders EnGauge</w:t>
            </w:r>
          </w:p>
          <w:p>
            <w:pPr>
              <w:spacing w:before="80"/>
              <w:jc w:val="center"/>
            </w:pPr>
            <w:r>
              <w:rPr>
                <w:i/>
                <w:iCs/>
                <w:sz w:val="20"/>
                <w:szCs w:val="20"/>
              </w:rPr>
              <w:t xml:space="preserve">(Carrier-exclusive)</w:t>
            </w:r>
          </w:p>
        </w:tc>
      </w:tr>
      <w:tr>
        <w:tc>
          <w:tcPr>
            <w:tcW w:type="dxa" w:w="156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center"/>
            </w:pPr>
            <w:r>
              <w:rPr>
                <w:b/>
                <w:bCs/>
                <w:sz w:val="22"/>
                <w:szCs w:val="22"/>
              </w:rPr>
              <w:t xml:space="preserve">Standalone</w:t>
            </w:r>
          </w:p>
        </w:tc>
        <w:tc>
          <w:tcPr>
            <w:tcW w:type="dxa" w:w="39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pPr>
              <w:jc w:val="center"/>
            </w:pPr>
            <w:r>
              <w:t xml:space="preserve">SRS Prospect</w:t>
            </w:r>
          </w:p>
          <w:p>
            <w:pPr>
              <w:spacing w:before="80"/>
              <w:jc w:val="center"/>
            </w:pPr>
            <w:r>
              <w:rPr>
                <w:i/>
                <w:iCs/>
                <w:sz w:val="20"/>
                <w:szCs w:val="20"/>
              </w:rPr>
              <w:t xml:space="preserve">(Legacy, Windows, expensive)</w:t>
            </w:r>
          </w:p>
        </w:tc>
        <w:tc>
          <w:tcPr>
            <w:tcW w:type="dxa" w:w="3900"/>
            <w:tcBorders>
              <w:top w:val="single" w:color="CCCCCC" w:sz="1"/>
              <w:left w:val="single" w:color="CCCCCC" w:sz="1"/>
              <w:bottom w:val="single" w:color="CCCCCC" w:sz="1"/>
              <w:right w:val="single" w:color="CCCCCC" w:sz="1"/>
            </w:tcBorders>
            <w:shd w:fill="1A3C5E" w:val="clear"/>
            <w:tcMar>
              <w:top w:type="dxa" w:w="120"/>
              <w:left w:type="dxa" w:w="120"/>
              <w:bottom w:type="dxa" w:w="120"/>
              <w:right w:type="dxa" w:w="120"/>
            </w:tcMar>
          </w:tcPr>
          <w:p>
            <w:pPr>
              <w:jc w:val="center"/>
            </w:pPr>
            <w:r>
              <w:rPr>
                <w:b/>
                <w:bCs/>
                <w:color w:val="FFFFFF"/>
                <w:sz w:val="24"/>
                <w:szCs w:val="24"/>
              </w:rPr>
              <w:t xml:space="preserve">Vigil</w:t>
            </w:r>
          </w:p>
          <w:p>
            <w:pPr>
              <w:spacing w:before="80"/>
              <w:jc w:val="center"/>
            </w:pPr>
            <w:r>
              <w:rPr>
                <w:i/>
                <w:iCs/>
                <w:color w:val="FFFFFF"/>
                <w:sz w:val="20"/>
                <w:szCs w:val="20"/>
              </w:rPr>
              <w:t xml:space="preserve">(Modern, cloud, affordable)</w:t>
            </w:r>
          </w:p>
        </w:tc>
      </w:tr>
    </w:tbl>
    <w:p>
      <w:pPr>
        <w:spacing w:after="480"/>
      </w:pPr>
      <w:r>
        <w:t xml:space="preserve"/>
      </w:r>
    </w:p>
    <w:p>
      <w:pPr>
        <w:pStyle w:val="Heading1"/>
      </w:pPr>
      <w:r>
        <w:t xml:space="preserve">3. Feature Comparison Matrix</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248"/>
        <w:gridCol w:w="1248"/>
        <w:gridCol w:w="1248"/>
        <w:gridCol w:w="1248"/>
        <w:gridCol w:w="1248"/>
        <w:gridCol w:w="1248"/>
      </w:tblGrid>
      <w:tr>
        <w:tc>
          <w:tcPr>
            <w:tcW w:type="dxa" w:w="1872"/>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r>
              <w:rPr>
                <w:b/>
                <w:bCs/>
                <w:color w:val="FFFFFF"/>
                <w:sz w:val="22"/>
                <w:szCs w:val="22"/>
              </w:rPr>
              <w:t xml:space="preserve">Feature</w:t>
            </w:r>
          </w:p>
        </w:tc>
        <w:tc>
          <w:tcPr>
            <w:tcW w:type="dxa" w:w="1248"/>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r>
              <w:rPr>
                <w:b/>
                <w:bCs/>
                <w:color w:val="FFFFFF"/>
                <w:sz w:val="22"/>
                <w:szCs w:val="22"/>
              </w:rPr>
              <w:t xml:space="preserve">Vigil</w:t>
            </w:r>
          </w:p>
        </w:tc>
        <w:tc>
          <w:tcPr>
            <w:tcW w:type="dxa" w:w="1248"/>
            <w:tcBorders>
              <w:top w:val="single" w:color="CCCCCC" w:sz="1"/>
              <w:left w:val="single" w:color="CCCCCC" w:sz="1"/>
              <w:bottom w:val="single" w:color="CCCCCC" w:sz="1"/>
              <w:right w:val="single" w:color="CCCCCC" w:sz="1"/>
            </w:tcBorders>
            <w:shd w:fill="4A5568" w:val="clear"/>
            <w:tcMar>
              <w:top w:type="dxa" w:w="100"/>
              <w:left w:type="dxa" w:w="120"/>
              <w:bottom w:type="dxa" w:w="100"/>
              <w:right w:type="dxa" w:w="120"/>
            </w:tcMar>
            <w:vAlign w:val="center"/>
          </w:tcPr>
          <w:p>
            <w:r>
              <w:rPr>
                <w:b/>
                <w:bCs/>
                <w:color w:val="FFFFFF"/>
                <w:sz w:val="22"/>
                <w:szCs w:val="22"/>
              </w:rPr>
              <w:t xml:space="preserve">SRS Prospect</w:t>
            </w:r>
          </w:p>
        </w:tc>
        <w:tc>
          <w:tcPr>
            <w:tcW w:type="dxa" w:w="1248"/>
            <w:tcBorders>
              <w:top w:val="single" w:color="CCCCCC" w:sz="1"/>
              <w:left w:val="single" w:color="CCCCCC" w:sz="1"/>
              <w:bottom w:val="single" w:color="CCCCCC" w:sz="1"/>
              <w:right w:val="single" w:color="CCCCCC" w:sz="1"/>
            </w:tcBorders>
            <w:shd w:fill="4A5568" w:val="clear"/>
            <w:tcMar>
              <w:top w:type="dxa" w:w="100"/>
              <w:left w:type="dxa" w:w="120"/>
              <w:bottom w:type="dxa" w:w="100"/>
              <w:right w:type="dxa" w:w="120"/>
            </w:tcMar>
            <w:vAlign w:val="center"/>
          </w:tcPr>
          <w:p>
            <w:r>
              <w:rPr>
                <w:b/>
                <w:bCs/>
                <w:color w:val="FFFFFF"/>
                <w:sz w:val="22"/>
                <w:szCs w:val="22"/>
              </w:rPr>
              <w:t xml:space="preserve">EnGauge</w:t>
            </w:r>
          </w:p>
        </w:tc>
        <w:tc>
          <w:tcPr>
            <w:tcW w:type="dxa" w:w="1248"/>
            <w:tcBorders>
              <w:top w:val="single" w:color="CCCCCC" w:sz="1"/>
              <w:left w:val="single" w:color="CCCCCC" w:sz="1"/>
              <w:bottom w:val="single" w:color="CCCCCC" w:sz="1"/>
              <w:right w:val="single" w:color="CCCCCC" w:sz="1"/>
            </w:tcBorders>
            <w:shd w:fill="4A5568" w:val="clear"/>
            <w:tcMar>
              <w:top w:type="dxa" w:w="100"/>
              <w:left w:type="dxa" w:w="120"/>
              <w:bottom w:type="dxa" w:w="100"/>
              <w:right w:type="dxa" w:w="120"/>
            </w:tcMar>
            <w:vAlign w:val="center"/>
          </w:tcPr>
          <w:p>
            <w:r>
              <w:rPr>
                <w:b/>
                <w:bCs/>
                <w:color w:val="FFFFFF"/>
                <w:sz w:val="22"/>
                <w:szCs w:val="22"/>
              </w:rPr>
              <w:t xml:space="preserve">Tribute Lead Logic</w:t>
            </w:r>
          </w:p>
        </w:tc>
        <w:tc>
          <w:tcPr>
            <w:tcW w:type="dxa" w:w="1248"/>
            <w:tcBorders>
              <w:top w:val="single" w:color="CCCCCC" w:sz="1"/>
              <w:left w:val="single" w:color="CCCCCC" w:sz="1"/>
              <w:bottom w:val="single" w:color="CCCCCC" w:sz="1"/>
              <w:right w:val="single" w:color="CCCCCC" w:sz="1"/>
            </w:tcBorders>
            <w:shd w:fill="4A5568" w:val="clear"/>
            <w:tcMar>
              <w:top w:type="dxa" w:w="100"/>
              <w:left w:type="dxa" w:w="120"/>
              <w:bottom w:type="dxa" w:w="100"/>
              <w:right w:type="dxa" w:w="120"/>
            </w:tcMar>
            <w:vAlign w:val="center"/>
          </w:tcPr>
          <w:p>
            <w:r>
              <w:rPr>
                <w:b/>
                <w:bCs/>
                <w:color w:val="FFFFFF"/>
                <w:sz w:val="22"/>
                <w:szCs w:val="22"/>
              </w:rPr>
              <w:t xml:space="preserve">HubSpot</w:t>
            </w:r>
          </w:p>
        </w:tc>
        <w:tc>
          <w:tcPr>
            <w:tcW w:type="dxa" w:w="1248"/>
            <w:tcBorders>
              <w:top w:val="single" w:color="CCCCCC" w:sz="1"/>
              <w:left w:val="single" w:color="CCCCCC" w:sz="1"/>
              <w:bottom w:val="single" w:color="CCCCCC" w:sz="1"/>
              <w:right w:val="single" w:color="CCCCCC" w:sz="1"/>
            </w:tcBorders>
            <w:shd w:fill="4A5568" w:val="clear"/>
            <w:tcMar>
              <w:top w:type="dxa" w:w="100"/>
              <w:left w:type="dxa" w:w="120"/>
              <w:bottom w:type="dxa" w:w="100"/>
              <w:right w:type="dxa" w:w="120"/>
            </w:tcMar>
            <w:vAlign w:val="center"/>
          </w:tcPr>
          <w:p>
            <w:r>
              <w:rPr>
                <w:b/>
                <w:bCs/>
                <w:color w:val="FFFFFF"/>
                <w:sz w:val="22"/>
                <w:szCs w:val="22"/>
              </w:rPr>
              <w:t xml:space="preserve">Generic CRM</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b/>
                <w:bCs/>
                <w:sz w:val="22"/>
                <w:szCs w:val="22"/>
              </w:rPr>
              <w:t xml:space="preserve">Preneed Pipeline (Kanban)</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4A5568"/>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9B2335"/>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4A5568"/>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4A5568"/>
                <w:sz w:val="28"/>
                <w:szCs w:val="28"/>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2"/>
                <w:szCs w:val="22"/>
              </w:rPr>
              <w:t xml:space="preserve">Aftercare Automation</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9B2335"/>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9B2335"/>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9B2335"/>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4A5568"/>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4A5568"/>
                <w:sz w:val="28"/>
                <w:szCs w:val="28"/>
              </w:rPr>
              <w:t xml:space="preserve">~</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b/>
                <w:bCs/>
                <w:sz w:val="22"/>
                <w:szCs w:val="22"/>
              </w:rPr>
              <w:t xml:space="preserve">Standalone (No Carrier/Partner Required)</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9B2335"/>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9B2335"/>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2"/>
                <w:szCs w:val="22"/>
              </w:rPr>
              <w:t xml:space="preserve">Month-to-Month Pricing</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9B2335"/>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9B2335"/>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4A5568"/>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b/>
                <w:bCs/>
                <w:sz w:val="22"/>
                <w:szCs w:val="22"/>
              </w:rPr>
              <w:t xml:space="preserve">Funeral-Native Terminology</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4A5568"/>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9B2335"/>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9B2335"/>
                <w:sz w:val="28"/>
                <w:szCs w:val="28"/>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2"/>
                <w:szCs w:val="22"/>
              </w:rPr>
              <w:t xml:space="preserve">Modern Cloud UI (No Installation)</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9B2335"/>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r>
      <w:tr>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b/>
                <w:bCs/>
                <w:sz w:val="22"/>
                <w:szCs w:val="22"/>
              </w:rPr>
              <w:t xml:space="preserve">Self-Service Onboarding (No Training Required)</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9B2335"/>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4A5568"/>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276749"/>
                <w:sz w:val="28"/>
                <w:szCs w:val="28"/>
              </w:rPr>
              <w:t xml:space="preserve">✓</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color w:val="4A5568"/>
                <w:sz w:val="28"/>
                <w:szCs w:val="28"/>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2"/>
                <w:szCs w:val="22"/>
              </w:rPr>
              <w:t xml:space="preserve">Base Price (Monthly)</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2"/>
                <w:szCs w:val="22"/>
              </w:rPr>
              <w:t xml:space="preserve">$99</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2"/>
                <w:szCs w:val="22"/>
              </w:rPr>
              <w:t xml:space="preserve">$250+</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2"/>
                <w:szCs w:val="22"/>
              </w:rPr>
              <w:t xml:space="preserve">Bundled</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2"/>
                <w:szCs w:val="22"/>
              </w:rPr>
              <w:t xml:space="preserve">$50–150</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2"/>
                <w:szCs w:val="22"/>
              </w:rPr>
              <w:t xml:space="preserve">Free–$150</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2"/>
                <w:szCs w:val="22"/>
              </w:rPr>
              <w:t xml:space="preserve">Free–$300+</w:t>
            </w:r>
          </w:p>
        </w:tc>
      </w:tr>
    </w:tbl>
    <w:p>
      <w:pPr>
        <w:spacing w:after="480"/>
      </w:pPr>
      <w:r>
        <w:t xml:space="preserve"/>
      </w:r>
    </w:p>
    <w:p>
      <w:r>
        <w:br w:type="page"/>
      </w:r>
    </w:p>
    <w:p>
      <w:pPr>
        <w:pStyle w:val="Heading1"/>
      </w:pPr>
      <w:r>
        <w:t xml:space="preserve">4. Competitor Profiles</w:t>
      </w:r>
    </w:p>
    <w:p>
      <w:pPr>
        <w:pStyle w:val="Heading2"/>
      </w:pPr>
      <w:r>
        <w:t xml:space="preserve">SRS Computing — Prospect Module</w:t>
      </w:r>
    </w:p>
    <w:p>
      <w:pPr>
        <w:spacing w:after="120"/>
      </w:pPr>
      <w:r>
        <w:t xml:space="preserve">A case management add-on within SRS Computing's broader funeral management information system (FMIS). Part of a legacy suite designed for post-service case tracking, not preneed relationship management.</w:t>
      </w:r>
    </w:p>
    <w:p>
      <w:pPr>
        <w:spacing w:after="80"/>
      </w:pPr>
      <w:r>
        <w:rPr>
          <w:b/>
          <w:bCs/>
        </w:rPr>
        <w:t xml:space="preserve">Target Customer: </w:t>
      </w:r>
      <w:r>
        <w:t xml:space="preserve">Established homes (50+ years) with existing SRS infrastructure; typically 40–60-year-old operators.</w:t>
      </w:r>
    </w:p>
    <w:p>
      <w:pPr>
        <w:spacing w:after="80"/>
      </w:pPr>
      <w:r>
        <w:rPr>
          <w:b/>
          <w:bCs/>
        </w:rPr>
        <w:t xml:space="preserve">Key Weaknesses: </w:t>
      </w:r>
      <w:r>
        <w:t xml:space="preserve">Windows desktop-only; legacy UI; weak preneed automation; Prospect is not a standalone product—requires SRS suite contract ($3,000–6,000/yr); manual data entry; high switching cost.</w:t>
      </w:r>
    </w:p>
    <w:p>
      <w:pPr>
        <w:spacing w:after="240"/>
      </w:pPr>
      <w:r>
        <w:rPr>
          <w:b/>
          <w:bCs/>
          <w:color w:val="276749"/>
        </w:rPr>
        <w:t xml:space="preserve">Why Vigil Wins: </w:t>
      </w:r>
      <w:r>
        <w:t xml:space="preserve">Cloud-native, modern UI, 25–50% cheaper, standalone, and purpose-built for preneed pipeline + aftercare. Homes are stuck with SRS, not loyal to it.</w:t>
      </w:r>
    </w:p>
    <w:p>
      <w:pPr>
        <w:pStyle w:val="Heading2"/>
      </w:pPr>
      <w:r>
        <w:t xml:space="preserve">Homesteaders Life Company — EnGauge</w:t>
      </w:r>
    </w:p>
    <w:p>
      <w:pPr>
        <w:spacing w:after="120"/>
      </w:pPr>
      <w:r>
        <w:t xml:space="preserve">A Salesforce-based preneed CRM available exclusively to funeral homes that use Homesteaders as their preneed insurance carrier. Strong pipeline management; zero aftercare features.</w:t>
      </w:r>
    </w:p>
    <w:p>
      <w:pPr>
        <w:spacing w:after="80"/>
      </w:pPr>
      <w:r>
        <w:rPr>
          <w:b/>
          <w:bCs/>
        </w:rPr>
        <w:t xml:space="preserve">Target Customer: </w:t>
      </w:r>
      <w:r>
        <w:t xml:space="preserve">Homes already committed to Homesteaders for preneed insurance; typically mid-sized (100–500 arrangements/yr).</w:t>
      </w:r>
    </w:p>
    <w:p>
      <w:pPr>
        <w:spacing w:after="80"/>
      </w:pPr>
      <w:r>
        <w:rPr>
          <w:b/>
          <w:bCs/>
        </w:rPr>
        <w:t xml:space="preserve">Key Weaknesses: </w:t>
      </w:r>
      <w:r>
        <w:t xml:space="preserve">Partner-exclusive (locks homes into Homesteaders for insurance); overwhelming Salesforce interface; funeral directors struggle with complex fields; no aftercare automation; bundled pricing (not transparent).</w:t>
      </w:r>
    </w:p>
    <w:p>
      <w:pPr>
        <w:spacing w:after="240"/>
      </w:pPr>
      <w:r>
        <w:rPr>
          <w:b/>
          <w:bCs/>
          <w:color w:val="276749"/>
        </w:rPr>
        <w:t xml:space="preserve">Why Vigil Wins: </w:t>
      </w:r>
      <w:r>
        <w:t xml:space="preserve">Independent—homes control their preneed carrier; modern funeral-specific interface; automated aftercare (the highest-NPS lever); transparent pricing; faster setup.</w:t>
      </w:r>
    </w:p>
    <w:p>
      <w:pPr>
        <w:pStyle w:val="Heading2"/>
      </w:pPr>
      <w:r>
        <w:t xml:space="preserve">Tribute Technology — Lead Logic</w:t>
      </w:r>
    </w:p>
    <w:p>
      <w:pPr>
        <w:spacing w:after="120"/>
      </w:pPr>
      <w:r>
        <w:t xml:space="preserve">A lead capture and inquiry management tool within Tribute Technology's $1B+ roll-up ecosystem. Designed to funnel leads into Tribute's website builder, obituary platform, flowers partnership, and other services. Not a full CRM.</w:t>
      </w:r>
    </w:p>
    <w:p>
      <w:pPr>
        <w:spacing w:after="80"/>
      </w:pPr>
      <w:r>
        <w:rPr>
          <w:b/>
          <w:bCs/>
        </w:rPr>
        <w:t xml:space="preserve">Target Customer: </w:t>
      </w:r>
      <w:r>
        <w:t xml:space="preserve">Homes already using Tribute's website or obituary platform; attracted to lead consolidation.</w:t>
      </w:r>
    </w:p>
    <w:p>
      <w:pPr>
        <w:spacing w:after="80"/>
      </w:pPr>
      <w:r>
        <w:rPr>
          <w:b/>
          <w:bCs/>
        </w:rPr>
        <w:t xml:space="preserve">Key Weaknesses: </w:t>
      </w:r>
      <w:r>
        <w:t xml:space="preserve">Lead capture only—no pipeline management; no aftercare features; integrations shallow and user reviews are mixed; lock-in to Tribute ecosystem; orphaned if Tribute abandons the tool.</w:t>
      </w:r>
    </w:p>
    <w:p>
      <w:pPr>
        <w:spacing w:after="240"/>
      </w:pPr>
      <w:r>
        <w:rPr>
          <w:b/>
          <w:bCs/>
          <w:color w:val="276749"/>
        </w:rPr>
        <w:t xml:space="preserve">Why Vigil Wins: </w:t>
      </w:r>
      <w:r>
        <w:t xml:space="preserve">Full CRM with preneed pipeline and automated aftercare—two workflows that actually drive revenue. Independent from ecosystem lock-in. Tribute is the biggest threat long-term, but they're still fragmented.</w:t>
      </w:r>
    </w:p>
    <w:p>
      <w:pPr>
        <w:pStyle w:val="Heading2"/>
      </w:pPr>
      <w:r>
        <w:t xml:space="preserve">Generic CRMs (Salesforce, HubSpot, Zoho)</w:t>
      </w:r>
    </w:p>
    <w:p>
      <w:pPr>
        <w:spacing w:after="120"/>
      </w:pPr>
      <w:r>
        <w:t xml:space="preserve">Enterprise and SMB CRM platforms with no funeral-specific workflows, terminology, or automation. Widely used in other industries; rarely successfully adopted by funeral homes.</w:t>
      </w:r>
    </w:p>
    <w:p>
      <w:pPr>
        <w:spacing w:after="80"/>
      </w:pPr>
      <w:r>
        <w:rPr>
          <w:b/>
          <w:bCs/>
        </w:rPr>
        <w:t xml:space="preserve">Target Customer: </w:t>
      </w:r>
      <w:r>
        <w:t xml:space="preserve">Tech-forward owners seeking "industry-agnostic" tools; typically require IT consultant for setup.</w:t>
      </w:r>
    </w:p>
    <w:p>
      <w:pPr>
        <w:spacing w:after="80"/>
      </w:pPr>
      <w:r>
        <w:rPr>
          <w:b/>
          <w:bCs/>
        </w:rPr>
        <w:t xml:space="preserve">Key Weaknesses: </w:t>
      </w:r>
      <w:r>
        <w:t xml:space="preserve">No funeral terminology (stages, fields, workflows); require extensive customization; high learning curve; abandonment rate in funeral industry is &gt;95%; most directors give up after 1–2 months.</w:t>
      </w:r>
    </w:p>
    <w:p>
      <w:pPr>
        <w:spacing w:after="240"/>
      </w:pPr>
      <w:r>
        <w:rPr>
          <w:b/>
          <w:bCs/>
          <w:color w:val="276749"/>
        </w:rPr>
        <w:t xml:space="preserve">Why Vigil Wins: </w:t>
      </w:r>
      <w:r>
        <w:t xml:space="preserve">Built for funerals, not banks. Preneed stages, aftercare cadences, and director terminology are baked in. Instant relevance, zero customization, 5-minute setup.</w:t>
      </w:r>
    </w:p>
    <w:p>
      <w:r>
        <w:br w:type="page"/>
      </w:r>
    </w:p>
    <w:p>
      <w:pPr>
        <w:pStyle w:val="Heading1"/>
      </w:pPr>
      <w:r>
        <w:t xml:space="preserve">5. Strategic Threat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872"/>
      </w:tblGrid>
      <w:tr>
        <w:tc>
          <w:tcPr>
            <w:tcW w:type="dxa" w:w="234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r>
              <w:rPr>
                <w:b/>
                <w:bCs/>
                <w:color w:val="FFFFFF"/>
                <w:sz w:val="22"/>
                <w:szCs w:val="22"/>
              </w:rPr>
              <w:t xml:space="preserve">Threat</w:t>
            </w:r>
          </w:p>
        </w:tc>
        <w:tc>
          <w:tcPr>
            <w:tcW w:type="dxa" w:w="1872"/>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r>
              <w:rPr>
                <w:b/>
                <w:bCs/>
                <w:color w:val="FFFFFF"/>
                <w:sz w:val="22"/>
                <w:szCs w:val="22"/>
              </w:rPr>
              <w:t xml:space="preserve">Likelihood</w:t>
            </w:r>
          </w:p>
        </w:tc>
        <w:tc>
          <w:tcPr>
            <w:tcW w:type="dxa" w:w="1872"/>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r>
              <w:rPr>
                <w:b/>
                <w:bCs/>
                <w:color w:val="FFFFFF"/>
                <w:sz w:val="22"/>
                <w:szCs w:val="22"/>
              </w:rPr>
              <w:t xml:space="preserve">Timeline</w:t>
            </w:r>
          </w:p>
        </w:tc>
        <w:tc>
          <w:tcPr>
            <w:tcW w:type="dxa" w:w="1872"/>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vAlign w:val="center"/>
          </w:tcPr>
          <w:p>
            <w:r>
              <w:rPr>
                <w:b/>
                <w:bCs/>
                <w:color w:val="FFFFFF"/>
                <w:sz w:val="22"/>
                <w:szCs w:val="22"/>
              </w:rPr>
              <w:t xml:space="preserve">Response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b/>
                <w:bCs/>
                <w:sz w:val="22"/>
                <w:szCs w:val="22"/>
              </w:rPr>
              <w:t xml:space="preserve">Tribute Technology adds full CRM to ecosystem</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b/>
                <w:bCs/>
                <w:sz w:val="22"/>
                <w:szCs w:val="22"/>
              </w:rPr>
              <w:t xml:space="preserve">HIGH</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b w:val="false"/>
                <w:bCs w:val="false"/>
                <w:sz w:val="22"/>
                <w:szCs w:val="22"/>
              </w:rPr>
              <w:t xml:space="preserve">12–24 months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b w:val="false"/>
                <w:bCs w:val="false"/>
                <w:sz w:val="22"/>
                <w:szCs w:val="22"/>
              </w:rPr>
              <w:t xml:space="preserve">Establish community presence before M&amp;A completes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2"/>
                <w:szCs w:val="22"/>
              </w:rPr>
              <w:t xml:space="preserve">SRS Computing modernizes Prospect module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sz w:val="22"/>
                <w:szCs w:val="22"/>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2"/>
                <w:szCs w:val="22"/>
              </w:rPr>
              <w:t xml:space="preserve">24–36 months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2"/>
                <w:szCs w:val="22"/>
              </w:rPr>
              <w:t xml:space="preserve">Price/simplicity differentiation; SRS moves slowly</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b/>
                <w:bCs/>
                <w:sz w:val="22"/>
                <w:szCs w:val="22"/>
              </w:rPr>
              <w:t xml:space="preserve">New funded SaaS entrant for funeral homes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b/>
                <w:bCs/>
                <w:sz w:val="22"/>
                <w:szCs w:val="22"/>
              </w:rPr>
              <w:t xml:space="preserve">LOW</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b w:val="false"/>
                <w:bCs w:val="false"/>
                <w:sz w:val="22"/>
                <w:szCs w:val="22"/>
              </w:rPr>
              <w:t xml:space="preserve">18+ months</w:t>
            </w:r>
          </w:p>
        </w:tc>
        <w:tc>
          <w:tcPr>
            <w:tcW w:type="dxa" w:w="1872"/>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b w:val="false"/>
                <w:bCs w:val="false"/>
                <w:sz w:val="22"/>
                <w:szCs w:val="22"/>
              </w:rPr>
              <w:t xml:space="preserve">Move fast; build moat early (community, partnerships)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2"/>
                <w:szCs w:val="22"/>
              </w:rPr>
              <w:t xml:space="preserve">HubSpot launches funeral vertical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bCs/>
                <w:sz w:val="22"/>
                <w:szCs w:val="22"/>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sz w:val="22"/>
                <w:szCs w:val="22"/>
              </w:rPr>
              <w:t xml:space="preserve">24+ months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2"/>
                <w:szCs w:val="22"/>
              </w:rPr>
              <w:t xml:space="preserve">Unlikely; HubSpot skews SMB/mid-market, not SME verticals</w:t>
            </w:r>
          </w:p>
        </w:tc>
      </w:tr>
    </w:tbl>
    <w:p>
      <w:pPr>
        <w:spacing w:after="480"/>
      </w:pPr>
      <w:r>
        <w:t xml:space="preserve"/>
      </w:r>
    </w:p>
    <w:p>
      <w:pPr>
        <w:pStyle w:val="Heading1"/>
      </w:pPr>
      <w:r>
        <w:t xml:space="preserve">6. Vigil's Defensible Moat</w:t>
      </w:r>
    </w:p>
    <w:p>
      <w:pPr>
        <w:pStyle w:val="ListParagraph"/>
        <w:numPr>
          <w:ilvl w:val="0"/>
          <w:numId w:val="2"/>
        </w:numPr>
        <w:spacing w:after="120"/>
      </w:pPr>
      <w:r>
        <w:rPr>
          <w:b/>
          <w:bCs/>
        </w:rPr>
        <w:t xml:space="preserve">Workflow Specificity: </w:t>
      </w:r>
      <w:r>
        <w:t xml:space="preserve">Preneed stages (Prospect → Contacted → Quoted → Considering → Follow-up → Converted) and aftercare cadences (2-week call, 1-month grief email, 6-month check-in, 1-year anniversary) are baked in. Not configurable, not "powered by Salesforce." Funeral directors immediately recognize themselves in the product.</w:t>
      </w:r>
    </w:p>
    <w:p>
      <w:pPr>
        <w:pStyle w:val="ListParagraph"/>
        <w:numPr>
          <w:ilvl w:val="0"/>
          <w:numId w:val="2"/>
        </w:numPr>
        <w:spacing w:after="120"/>
      </w:pPr>
      <w:r>
        <w:rPr>
          <w:b/>
          <w:bCs/>
        </w:rPr>
        <w:t xml:space="preserve">Community Penetration: </w:t>
      </w:r>
      <w:r>
        <w:t xml:space="preserve">Reaching next-gen directors in r/askfuneraldirectors, Funeral Director Success Network (FB), Funeral Industry Think Tank, and NFDA Convention before Tribute, HubSpot, or others see the market opportunity. Grassroots adoption creates switching cost (familiarity) and peer pressure (friends using it).</w:t>
      </w:r>
    </w:p>
    <w:p>
      <w:pPr>
        <w:pStyle w:val="ListParagraph"/>
        <w:numPr>
          <w:ilvl w:val="0"/>
          <w:numId w:val="2"/>
        </w:numPr>
        <w:spacing w:after="120"/>
      </w:pPr>
      <w:r>
        <w:rPr>
          <w:b/>
          <w:bCs/>
        </w:rPr>
        <w:t xml:space="preserve">Pricing Transparency &amp; No Lock-In: </w:t>
      </w:r>
      <w:r>
        <w:t xml:space="preserve">Month-to-month, $99–199/mo, no contracts. Customers stay because the product is genuinely valuable, not because switching costs are high. In a market where every other player uses long contracts, Vigil's simplicity is a moat.</w:t>
      </w:r>
    </w:p>
    <w:p>
      <w:pPr>
        <w:pStyle w:val="ListParagraph"/>
        <w:numPr>
          <w:ilvl w:val="0"/>
          <w:numId w:val="2"/>
        </w:numPr>
        <w:spacing w:after="120"/>
      </w:pPr>
      <w:r>
        <w:rPr>
          <w:b/>
          <w:bCs/>
        </w:rPr>
        <w:t xml:space="preserve">Data &amp; Operational Insights: </w:t>
      </w:r>
      <w:r>
        <w:t xml:space="preserve">After 6+ months, Vigil will have aggregated preneed conversion data, aftercare impact data, and workflow patterns that no competitor can replicate without a customer base. First-mover advantage in domain knowledge.</w:t>
      </w:r>
    </w:p>
    <w:p>
      <w:pPr>
        <w:spacing w:after="480"/>
      </w:pPr>
      <w:r>
        <w:t xml:space="preserve"/>
      </w:r>
    </w:p>
    <w:p>
      <w:pPr>
        <w:pStyle w:val="Heading1"/>
      </w:pPr>
      <w:r>
        <w:t xml:space="preserve">7. Messaging Guidance (Competitor-Agnostic Positioning)</w:t>
      </w:r>
    </w:p>
    <w:p>
      <w:pPr>
        <w:pStyle w:val="ListParagraph"/>
        <w:numPr>
          <w:ilvl w:val="0"/>
          <w:numId w:val="2"/>
        </w:numPr>
        <w:spacing w:after="120"/>
      </w:pPr>
      <w:r>
        <w:rPr>
          <w:b/>
          <w:bCs/>
          <w:i/>
          <w:iCs/>
        </w:rPr>
        <w:t xml:space="preserve">"The only CRM built for how funeral homes actually work."</w:t>
      </w:r>
      <w:r>
        <w:t xml:space="preserve"> Not an add-on to an FMIS. Not powered by a generic platform. Purpose-built for preneed pipelines and aftercare.</w:t>
      </w:r>
    </w:p>
    <w:p>
      <w:pPr>
        <w:pStyle w:val="ListParagraph"/>
        <w:numPr>
          <w:ilvl w:val="0"/>
          <w:numId w:val="2"/>
        </w:numPr>
        <w:spacing w:after="120"/>
      </w:pPr>
      <w:r>
        <w:rPr>
          <w:b/>
          <w:bCs/>
          <w:i/>
          <w:iCs/>
        </w:rPr>
        <w:t xml:space="preserve">"Not an add-on. Not a workaround. The whole system."</w:t>
      </w:r>
      <w:r>
        <w:t xml:space="preserve"> Differentiates from SRS Prospect (add-on to legacy FMIS) and Tribute Lead Logic (lead capture only).</w:t>
      </w:r>
    </w:p>
    <w:p>
      <w:pPr>
        <w:pStyle w:val="ListParagraph"/>
        <w:numPr>
          <w:ilvl w:val="0"/>
          <w:numId w:val="2"/>
        </w:numPr>
        <w:spacing w:after="120"/>
      </w:pPr>
      <w:r>
        <w:rPr>
          <w:b/>
          <w:bCs/>
          <w:i/>
          <w:iCs/>
        </w:rPr>
        <w:t xml:space="preserve">"No carrier required. No contract. No learning curve."</w:t>
      </w:r>
      <w:r>
        <w:t xml:space="preserve"> Differentiates from Homesteaders (carrier lock-in), SRS (long contracts, training required), and generics (steep setup).</w:t>
      </w:r>
    </w:p>
    <w:p>
      <w:pPr>
        <w:pStyle w:val="ListParagraph"/>
        <w:numPr>
          <w:ilvl w:val="0"/>
          <w:numId w:val="2"/>
        </w:numPr>
        <w:spacing w:after="120"/>
      </w:pPr>
      <w:r>
        <w:rPr>
          <w:b/>
          <w:bCs/>
          <w:i/>
          <w:iCs/>
        </w:rPr>
        <w:t xml:space="preserve">"Aftercare that pays for itself."</w:t>
      </w:r>
      <w:r>
        <w:t xml:space="preserve"> Only differentiator that addresses the real revenue lever: 62% of families are more likely to use your funeral home for a future arrangement after a great aftercare experience.</w:t>
      </w:r>
    </w:p>
    <w:p>
      <w:pPr>
        <w:spacing w:after="240"/>
      </w:pPr>
      <w:r>
        <w:t xml:space="preserve"/>
      </w:r>
    </w:p>
    <w:p>
      <w:pPr>
        <w:pStyle w:val="Heading2"/>
      </w:pPr>
      <w:r>
        <w:t xml:space="preserve">Summary</w:t>
      </w:r>
    </w:p>
    <w:p>
      <w:pPr>
        <w:spacing w:after="120"/>
      </w:pPr>
      <w:r>
        <w:t xml:space="preserve">Vigil owns the top-right quadrant of the competitive landscape: a modern, cloud-native, fully standalone CRM purpose-built for preneed pipeline and aftercare automation. No competitor occupies this space. The market is either legacy (SRS), carrier-exclusive (Homesteaders), ecosystem-dependent (Tribute), or generic (HubSpot). Vigil's defensibility rests on workflow specificity, community adoption, and transparent pricing. The primary strategic threat is Tribute Technology adding a full CRM to its roll-up; this window is 12–24 months. Vigil must establish community presence and revenue traction before that threat materializes.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B6B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2026-03-04T18:49:02.685Z</dcterms:created>
  <dcterms:modified xsi:type="dcterms:W3CDTF">2026-03-04T18:49:02.685Z</dcterms:modified>
</cp:coreProperties>
</file>

<file path=docProps/custom.xml><?xml version="1.0" encoding="utf-8"?>
<Properties xmlns="http://schemas.openxmlformats.org/officeDocument/2006/custom-properties" xmlns:vt="http://schemas.openxmlformats.org/officeDocument/2006/docPropsVTypes"/>
</file>