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3864" w:val="clear"/>
            <w:tcMar>
              <w:top w:type="dxa" w:w="500"/>
              <w:left w:type="dxa" w:w="500"/>
              <w:bottom w:type="dxa" w:w="500"/>
              <w:right w:type="dxa" w:w="500"/>
            </w:tcMar>
          </w:tcPr>
          <w:p>
            <w:pPr>
              <w:spacing w:after="80" w:before="100"/>
              <w:jc w:val="center"/>
            </w:pPr>
            <w:r>
              <w:rPr>
                <w:rFonts w:ascii="Arial" w:cs="Arial" w:eastAsia="Arial" w:hAnsi="Arial"/>
                <w:b/>
                <w:bCs/>
                <w:color w:val="FFFFFF"/>
                <w:sz w:val="60"/>
                <w:szCs w:val="60"/>
              </w:rPr>
              <w:t xml:space="preserve">CTW Inc.</w:t>
            </w:r>
          </w:p>
          <w:p>
            <w:pPr>
              <w:spacing w:after="60" w:before="0"/>
              <w:jc w:val="center"/>
            </w:pPr>
            <w:r>
              <w:rPr>
                <w:rFonts w:ascii="Arial" w:cs="Arial" w:eastAsia="Arial" w:hAnsi="Arial"/>
                <w:color w:val="AACCEE"/>
                <w:sz w:val="36"/>
                <w:szCs w:val="36"/>
              </w:rPr>
              <w:t xml:space="preserve">AI Research Scientist</w:t>
            </w:r>
          </w:p>
          <w:p>
            <w:pPr>
              <w:spacing w:after="100" w:before="0"/>
              <w:jc w:val="center"/>
            </w:pPr>
            <w:r>
              <w:rPr>
                <w:rFonts w:ascii="Arial" w:cs="Arial" w:eastAsia="Arial" w:hAnsi="Arial"/>
                <w:i/>
                <w:iCs/>
                <w:color w:val="AACCEE"/>
                <w:sz w:val="22"/>
                <w:szCs w:val="22"/>
              </w:rPr>
              <w:t xml:space="preserve">Interview Preparation Notes — March 2026</w:t>
            </w:r>
          </w:p>
        </w:tc>
      </w:tr>
    </w:tbl>
    <w:p>
      <w:pPr>
        <w:spacing w:after="0" w:before="18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20" w:before="0"/>
            </w:pPr>
            <w:r>
              <w:rPr>
                <w:rFonts w:ascii="Arial" w:cs="Arial" w:eastAsia="Arial" w:hAnsi="Arial"/>
                <w:b/>
                <w:bCs/>
                <w:color w:val="1F3864"/>
                <w:sz w:val="22"/>
                <w:szCs w:val="22"/>
              </w:rPr>
              <w:t xml:space="preserve">$90.4M Revenue</w:t>
            </w:r>
          </w:p>
          <w:p>
            <w:pPr>
              <w:spacing w:after="0" w:before="0"/>
            </w:pPr>
            <w:r>
              <w:rPr>
                <w:rFonts w:ascii="Arial" w:cs="Arial" w:eastAsia="Arial" w:hAnsi="Arial"/>
                <w:color w:val="404040"/>
                <w:sz w:val="19"/>
                <w:szCs w:val="19"/>
              </w:rPr>
              <w:t xml:space="preserve">FY2025 +32% YoY</w:t>
            </w:r>
          </w:p>
        </w:tc>
        <w:tc>
          <w:tcPr>
            <w:tcW w:type="dxa" w:w="252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20" w:before="0"/>
            </w:pPr>
            <w:r>
              <w:rPr>
                <w:rFonts w:ascii="Arial" w:cs="Arial" w:eastAsia="Arial" w:hAnsi="Arial"/>
                <w:b/>
                <w:bCs/>
                <w:color w:val="1F3864"/>
                <w:sz w:val="22"/>
                <w:szCs w:val="22"/>
              </w:rPr>
              <w:t xml:space="preserve">261M Users</w:t>
            </w:r>
          </w:p>
          <w:p>
            <w:pPr>
              <w:spacing w:after="0" w:before="0"/>
            </w:pPr>
            <w:r>
              <w:rPr>
                <w:rFonts w:ascii="Arial" w:cs="Arial" w:eastAsia="Arial" w:hAnsi="Arial"/>
                <w:color w:val="404040"/>
                <w:sz w:val="19"/>
                <w:szCs w:val="19"/>
              </w:rPr>
              <w:t xml:space="preserve">+22% YoY</w:t>
            </w:r>
          </w:p>
        </w:tc>
        <w:tc>
          <w:tcPr>
            <w:tcW w:type="dxa" w:w="252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20" w:before="0"/>
            </w:pPr>
            <w:r>
              <w:rPr>
                <w:rFonts w:ascii="Arial" w:cs="Arial" w:eastAsia="Arial" w:hAnsi="Arial"/>
                <w:b/>
                <w:bCs/>
                <w:color w:val="1F3864"/>
                <w:sz w:val="22"/>
                <w:szCs w:val="22"/>
              </w:rPr>
              <w:t xml:space="preserve">US Revenue</w:t>
            </w:r>
          </w:p>
          <w:p>
            <w:pPr>
              <w:spacing w:after="0" w:before="0"/>
            </w:pPr>
            <w:r>
              <w:rPr>
                <w:rFonts w:ascii="Arial" w:cs="Arial" w:eastAsia="Arial" w:hAnsi="Arial"/>
                <w:color w:val="404040"/>
                <w:sz w:val="19"/>
                <w:szCs w:val="19"/>
              </w:rPr>
              <w:t xml:space="preserve">19% → 30% in 1yr</w:t>
            </w:r>
          </w:p>
        </w:tc>
        <w:tc>
          <w:tcPr>
            <w:tcW w:type="dxa" w:w="252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20" w:before="0"/>
            </w:pPr>
            <w:r>
              <w:rPr>
                <w:rFonts w:ascii="Arial" w:cs="Arial" w:eastAsia="Arial" w:hAnsi="Arial"/>
                <w:b/>
                <w:bCs/>
                <w:color w:val="1F3864"/>
                <w:sz w:val="22"/>
                <w:szCs w:val="22"/>
              </w:rPr>
              <w:t xml:space="preserve">31+ Titles</w:t>
            </w:r>
          </w:p>
          <w:p>
            <w:pPr>
              <w:spacing w:after="0" w:before="0"/>
            </w:pPr>
            <w:r>
              <w:rPr>
                <w:rFonts w:ascii="Arial" w:cs="Arial" w:eastAsia="Arial" w:hAnsi="Arial"/>
                <w:color w:val="404040"/>
                <w:sz w:val="19"/>
                <w:szCs w:val="19"/>
              </w:rPr>
              <w:t xml:space="preserve">190 Countries</w:t>
            </w:r>
          </w:p>
        </w:tc>
      </w:tr>
    </w:tbl>
    <w:p>
      <w:pPr>
        <w:spacing w:after="0" w:before="200"/>
      </w:pPr>
      <w:r>
        <w:rPr>
          <w:rFonts w:ascii="Arial" w:cs="Arial" w:eastAsia="Arial" w:hAnsi="Arial"/>
          <w:sz w:val="22"/>
          <w:szCs w:val="22"/>
        </w:rPr>
        <w:t xml:space="preserve"/>
      </w:r>
    </w:p>
    <w:p>
      <w:pPr>
        <w:pStyle w:val="Heading1"/>
        <w:shd w:fill="1F3864" w:val="clear"/>
        <w:spacing w:after="120" w:before="280"/>
        <w:ind w:left="160"/>
      </w:pPr>
      <w:r>
        <w:rPr>
          <w:rFonts w:ascii="Arial" w:cs="Arial" w:eastAsia="Arial" w:hAnsi="Arial"/>
          <w:b/>
          <w:bCs/>
          <w:color w:val="FFFFFF"/>
          <w:sz w:val="30"/>
          <w:szCs w:val="30"/>
        </w:rPr>
        <w:t xml:space="preserve">1. Interview Strategy</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Your Positioning Statement</w:t>
            </w:r>
          </w:p>
          <w:p>
            <w:pPr>
              <w:spacing w:after="0" w:before="0"/>
            </w:pPr>
            <w:r>
              <w:rPr>
                <w:rFonts w:ascii="Arial" w:cs="Arial" w:eastAsia="Arial" w:hAnsi="Arial"/>
                <w:color w:val="1F3864"/>
                <w:sz w:val="21"/>
                <w:szCs w:val="21"/>
              </w:rPr>
              <w:t xml:space="preserve">Core thesis to land in the first 5 minutes: CTW has built the data infrastructure and the first layer of applied AI (recommendation, CV, NLP). The AI Research Scientist role exists to build the layer that turns that data into a genuine competitive moat — production-grade agents and a gaming-specialised multimodal model. You are the person who bridges research and deployment.</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1.1 The Three Things to Demonstrate</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to Demonstrate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to Show It</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b/>
                <w:bCs/>
                <w:sz w:val="20"/>
                <w:szCs w:val="20"/>
              </w:rPr>
              <w:t xml:space="preserve">You already understand their business</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sz w:val="20"/>
                <w:szCs w:val="20"/>
              </w:rPr>
              <w:t xml:space="preserve">Reference the ROAS system, the three-phase AI build-up, and the international expansion story without prompting. Show you've done real research, not surface reading.</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bCs/>
                <w:sz w:val="20"/>
                <w:szCs w:val="20"/>
              </w:rPr>
              <w:t xml:space="preserve">You can deploy, not just research</w:t>
            </w:r>
          </w:p>
        </w:tc>
        <w:tc>
          <w:tcPr>
            <w:tcW w:type="dxa" w:w="62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0"/>
                <w:szCs w:val="20"/>
              </w:rPr>
              <w:t xml:space="preserve">Emphasise that you think in terms of integration, observability, evaluation, and failure modes — not just benchmarks. The JD explicitly calls this out as a requirement.</w:t>
            </w:r>
          </w:p>
        </w:tc>
      </w:tr>
      <w:tr>
        <w:tc>
          <w:tcPr>
            <w:tcW w:type="dxa" w:w="31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b/>
                <w:bCs/>
                <w:sz w:val="20"/>
                <w:szCs w:val="20"/>
              </w:rPr>
              <w:t xml:space="preserve">You see the multimodal opportunity clearly</w:t>
            </w:r>
          </w:p>
        </w:tc>
        <w:tc>
          <w:tcPr>
            <w:tcW w:type="dxa" w:w="62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sz w:val="20"/>
                <w:szCs w:val="20"/>
              </w:rPr>
              <w:t xml:space="preserve">Connect their proprietary data (261M users, 31+ anime titles) to the specific capability gap in the market — no one has built an anime-specific gaming foundation model. That's the moat they can own.</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1.2 Narrative Arc — How to Tell Your Story</w:t>
      </w:r>
    </w:p>
    <w:p>
      <w:pPr>
        <w:spacing w:after="60" w:before="60"/>
      </w:pPr>
      <w:r>
        <w:rPr>
          <w:rFonts w:ascii="Arial" w:cs="Arial" w:eastAsia="Arial" w:hAnsi="Arial"/>
          <w:color w:val="404040"/>
          <w:sz w:val="22"/>
          <w:szCs w:val="22"/>
        </w:rPr>
        <w:t xml:space="preserve">Structure your self-introduction and answers to use this arc:</w:t>
      </w:r>
    </w:p>
    <w:p>
      <w:pPr>
        <w:spacing w:after="0" w:before="4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Set up the scale problem: </w:t>
      </w:r>
      <w:r>
        <w:rPr>
          <w:rFonts w:ascii="Arial" w:cs="Arial" w:eastAsia="Arial" w:hAnsi="Arial"/>
          <w:sz w:val="22"/>
          <w:szCs w:val="22"/>
        </w:rPr>
        <w:t xml:space="preserve">CTW operates 31+ titles in 190 countries with 261M users. The bottleneck at that scale is no longer building games — it's operating and scaling the intelligence layer cheaply enough.</w:t>
      </w:r>
    </w:p>
    <w:p>
      <w:pPr>
        <w:pStyle w:val="ListParagraph"/>
        <w:numPr>
          <w:ilvl w:val="0"/>
          <w:numId w:val="2"/>
        </w:numPr>
        <w:spacing w:after="60" w:before="60"/>
      </w:pPr>
      <w:r>
        <w:rPr>
          <w:rFonts w:ascii="Arial" w:cs="Arial" w:eastAsia="Arial" w:hAnsi="Arial"/>
          <w:b/>
          <w:bCs/>
          <w:sz w:val="22"/>
          <w:szCs w:val="22"/>
        </w:rPr>
        <w:t xml:space="preserve">Identify what's missing: </w:t>
      </w:r>
      <w:r>
        <w:rPr>
          <w:rFonts w:ascii="Arial" w:cs="Arial" w:eastAsia="Arial" w:hAnsi="Arial"/>
          <w:sz w:val="22"/>
          <w:szCs w:val="22"/>
        </w:rPr>
        <w:t xml:space="preserve">The current AI stack (ROAS prediction, banner CV, initial NLP) is real but narrow. It optimises ad spend and automates asset creation. It doesn't yet automate operations or unlock the multimodal gaming model.</w:t>
      </w:r>
    </w:p>
    <w:p>
      <w:pPr>
        <w:pStyle w:val="ListParagraph"/>
        <w:numPr>
          <w:ilvl w:val="0"/>
          <w:numId w:val="2"/>
        </w:numPr>
        <w:spacing w:after="60" w:before="60"/>
      </w:pPr>
      <w:r>
        <w:rPr>
          <w:rFonts w:ascii="Arial" w:cs="Arial" w:eastAsia="Arial" w:hAnsi="Arial"/>
          <w:b/>
          <w:bCs/>
          <w:sz w:val="22"/>
          <w:szCs w:val="22"/>
        </w:rPr>
        <w:t xml:space="preserve">Make the case for the data moat: </w:t>
      </w:r>
      <w:r>
        <w:rPr>
          <w:rFonts w:ascii="Arial" w:cs="Arial" w:eastAsia="Arial" w:hAnsi="Arial"/>
          <w:sz w:val="22"/>
          <w:szCs w:val="22"/>
        </w:rPr>
        <w:t xml:space="preserve">261M users across anime-style HTML5 games is a training corpus no academic lab or external startup can replicate. It's the raw material for a domain-specific multimodal model that would be defensible for years.</w:t>
      </w:r>
    </w:p>
    <w:p>
      <w:pPr>
        <w:pStyle w:val="ListParagraph"/>
        <w:numPr>
          <w:ilvl w:val="0"/>
          <w:numId w:val="2"/>
        </w:numPr>
        <w:spacing w:after="60" w:before="60"/>
      </w:pPr>
      <w:r>
        <w:rPr>
          <w:rFonts w:ascii="Arial" w:cs="Arial" w:eastAsia="Arial" w:hAnsi="Arial"/>
          <w:b/>
          <w:bCs/>
          <w:sz w:val="22"/>
          <w:szCs w:val="22"/>
        </w:rPr>
        <w:t xml:space="preserve">Position yourself as the bridge: </w:t>
      </w:r>
      <w:r>
        <w:rPr>
          <w:rFonts w:ascii="Arial" w:cs="Arial" w:eastAsia="Arial" w:hAnsi="Arial"/>
          <w:sz w:val="22"/>
          <w:szCs w:val="22"/>
        </w:rPr>
        <w:t xml:space="preserve">You bring the research depth to build the model and the production mindset to deploy it. Reference your experience with real system integration, evaluation frameworks, and measurable outcomes.</w:t>
      </w:r>
    </w:p>
    <w:p>
      <w:pPr>
        <w:spacing w:after="0" w:before="100"/>
      </w:pPr>
      <w:r>
        <w:rPr>
          <w:rFonts w:ascii="Arial" w:cs="Arial" w:eastAsia="Arial" w:hAnsi="Arial"/>
          <w:sz w:val="22"/>
          <w:szCs w:val="22"/>
        </w:rPr>
        <w:t xml:space="preserve"/>
      </w:r>
    </w:p>
    <w:p>
      <w:pPr>
        <w:pStyle w:val="Heading1"/>
        <w:pageBreakBefore/>
        <w:shd w:fill="1F3864" w:val="clear"/>
        <w:spacing w:after="120" w:before="280"/>
        <w:ind w:left="160"/>
      </w:pPr>
      <w:r>
        <w:rPr>
          <w:rFonts w:ascii="Arial" w:cs="Arial" w:eastAsia="Arial" w:hAnsi="Arial"/>
          <w:b/>
          <w:bCs/>
          <w:color w:val="FFFFFF"/>
          <w:sz w:val="30"/>
          <w:szCs w:val="30"/>
        </w:rPr>
        <w:t xml:space="preserve">2. What CTW Has Built — Know This Cold</w:t>
      </w:r>
    </w:p>
    <w:p>
      <w:pPr>
        <w:spacing w:after="0" w:before="6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2.1 The Recommendation System — ROAS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50"/>
              <w:left w:type="dxa" w:w="220"/>
              <w:bottom w:type="dxa" w:w="150"/>
              <w:right w:type="dxa" w:w="220"/>
            </w:tcMar>
          </w:tcPr>
          <w:p>
            <w:pPr>
              <w:spacing w:after="30" w:before="0"/>
            </w:pPr>
            <w:r>
              <w:rPr>
                <w:rFonts w:ascii="Arial" w:cs="Arial" w:eastAsia="Arial" w:hAnsi="Arial"/>
                <w:b/>
                <w:bCs/>
                <w:color w:val="824000"/>
                <w:sz w:val="20"/>
                <w:szCs w:val="20"/>
              </w:rPr>
              <w:t xml:space="preserve">Source: G123 Tech Blog (ROAS BI System)</w:t>
            </w:r>
          </w:p>
          <w:p>
            <w:pPr>
              <w:spacing w:after="0" w:before="0"/>
            </w:pPr>
            <w:r>
              <w:rPr>
                <w:rFonts w:ascii="Arial" w:cs="Arial" w:eastAsia="Arial" w:hAnsi="Arial"/>
                <w:color w:val="824000"/>
                <w:sz w:val="21"/>
                <w:szCs w:val="21"/>
              </w:rPr>
              <w:t xml:space="preserve">Key fact to reference: Per the G123 tech blog, the recommendation system is a ROAS (Return on Ad Spend) prediction model — not an in-platform player-facing discovery engine. It predicts payment amounts as a proxy for ad campaign profitability. Two separate models: one for established games (monthly aggregation), one for new titles (daily training, aggregated monthly).</w:t>
            </w:r>
          </w:p>
        </w:tc>
      </w:tr>
    </w:tbl>
    <w:p>
      <w:pPr>
        <w:spacing w:after="0" w:before="80"/>
      </w:pPr>
      <w:r>
        <w:rPr>
          <w:rFonts w:ascii="Arial" w:cs="Arial" w:eastAsia="Arial" w:hAnsi="Arial"/>
          <w:sz w:val="22"/>
          <w:szCs w:val="22"/>
        </w:rPr>
        <w:t xml:space="preserve"/>
      </w:r>
    </w:p>
    <w:p>
      <w:pPr>
        <w:spacing w:after="60" w:before="60"/>
      </w:pPr>
      <w:r>
        <w:rPr>
          <w:rFonts w:ascii="Arial" w:cs="Arial" w:eastAsia="Arial" w:hAnsi="Arial"/>
          <w:b/>
          <w:bCs/>
          <w:color w:val="1A1A1A"/>
          <w:sz w:val="22"/>
          <w:szCs w:val="22"/>
        </w:rPr>
        <w:t xml:space="preserve">What this tells them you understand:</w:t>
      </w:r>
    </w:p>
    <w:p>
      <w:pPr>
        <w:pStyle w:val="ListParagraph"/>
        <w:numPr>
          <w:ilvl w:val="0"/>
          <w:numId w:val="3"/>
        </w:numPr>
        <w:spacing w:after="55" w:before="55"/>
      </w:pPr>
      <w:r>
        <w:rPr>
          <w:rFonts w:ascii="Arial" w:cs="Arial" w:eastAsia="Arial" w:hAnsi="Arial"/>
          <w:b w:val="false"/>
          <w:bCs w:val="false"/>
          <w:color w:val="1A1A1A"/>
          <w:sz w:val="22"/>
          <w:szCs w:val="22"/>
        </w:rPr>
        <w:t xml:space="preserve">The recommendation investment is currently UA/marketing-side, not product-side. This is a strategic gap, not a technical deficiency — they chose to optimise acquisition first.</w:t>
      </w:r>
    </w:p>
    <w:p>
      <w:pPr>
        <w:pStyle w:val="ListParagraph"/>
        <w:numPr>
          <w:ilvl w:val="0"/>
          <w:numId w:val="3"/>
        </w:numPr>
        <w:spacing w:after="55" w:before="55"/>
      </w:pPr>
      <w:r>
        <w:rPr>
          <w:rFonts w:ascii="Arial" w:cs="Arial" w:eastAsia="Arial" w:hAnsi="Arial"/>
          <w:b w:val="false"/>
          <w:bCs w:val="false"/>
          <w:color w:val="1A1A1A"/>
          <w:sz w:val="22"/>
          <w:szCs w:val="22"/>
        </w:rPr>
        <w:t xml:space="preserve">The new-game cold-start model is a separate, weaker model. This is where transfer learning across games could deliver step-change improvement.</w:t>
      </w:r>
    </w:p>
    <w:p>
      <w:pPr>
        <w:pStyle w:val="ListParagraph"/>
        <w:numPr>
          <w:ilvl w:val="0"/>
          <w:numId w:val="3"/>
        </w:numPr>
        <w:spacing w:after="55" w:before="55"/>
      </w:pPr>
      <w:r>
        <w:rPr>
          <w:rFonts w:ascii="Arial" w:cs="Arial" w:eastAsia="Arial" w:hAnsi="Arial"/>
          <w:b w:val="false"/>
          <w:bCs w:val="false"/>
          <w:color w:val="1A1A1A"/>
          <w:sz w:val="22"/>
          <w:szCs w:val="22"/>
        </w:rPr>
        <w:t xml:space="preserve">There is no evidence of a real-time in-session or in-platform cross-game discovery engine — a significant upside opportunity for a platform with 31+ titles.</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i/>
          <w:iCs/>
          <w:color w:val="404040"/>
          <w:sz w:val="22"/>
          <w:szCs w:val="22"/>
        </w:rPr>
        <w:t xml:space="preserve">How to reference it in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0" w:before="0"/>
            </w:pPr>
            <w:r>
              <w:rPr>
                <w:rFonts w:ascii="Arial" w:cs="Arial" w:eastAsia="Arial" w:hAnsi="Arial"/>
                <w:color w:val="1A4731"/>
                <w:sz w:val="21"/>
                <w:szCs w:val="21"/>
              </w:rPr>
              <w:t xml:space="preserve">"I noticed from the tech blog that the current recommendation system is optimised around ROAS prediction — which makes complete sense as a first priority. What I'd be excited to build on top of that foundation is a player-facing discovery layer that uses cross-game behavioural signals to drive engagement within the platform, not just acquisition into it."</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2.2 The Localization Pipeline — Early Stage</w:t>
      </w:r>
    </w:p>
    <w:p>
      <w:pPr>
        <w:spacing w:after="60" w:before="60"/>
      </w:pPr>
      <w:r>
        <w:rPr>
          <w:rFonts w:ascii="Arial" w:cs="Arial" w:eastAsia="Arial" w:hAnsi="Arial"/>
          <w:b/>
          <w:bCs/>
          <w:color w:val="1A1A1A"/>
          <w:sz w:val="22"/>
          <w:szCs w:val="22"/>
        </w:rPr>
        <w:t xml:space="preserve">Current state (inferred from hiring signals):</w:t>
      </w:r>
    </w:p>
    <w:p>
      <w:pPr>
        <w:pStyle w:val="ListParagraph"/>
        <w:numPr>
          <w:ilvl w:val="0"/>
          <w:numId w:val="3"/>
        </w:numPr>
        <w:spacing w:after="55" w:before="55"/>
      </w:pPr>
      <w:r>
        <w:rPr>
          <w:rFonts w:ascii="Arial" w:cs="Arial" w:eastAsia="Arial" w:hAnsi="Arial"/>
          <w:b w:val="false"/>
          <w:bCs w:val="false"/>
          <w:color w:val="1A1A1A"/>
          <w:sz w:val="22"/>
          <w:szCs w:val="22"/>
        </w:rPr>
        <w:t xml:space="preserve">The NLP Research Scientist role is still being filled — meaning the pipeline is being built now, not mature.</w:t>
      </w:r>
    </w:p>
    <w:p>
      <w:pPr>
        <w:pStyle w:val="ListParagraph"/>
        <w:numPr>
          <w:ilvl w:val="0"/>
          <w:numId w:val="3"/>
        </w:numPr>
        <w:spacing w:after="55" w:before="55"/>
      </w:pPr>
      <w:r>
        <w:rPr>
          <w:rFonts w:ascii="Arial" w:cs="Arial" w:eastAsia="Arial" w:hAnsi="Arial"/>
          <w:b w:val="false"/>
          <w:bCs w:val="false"/>
          <w:color w:val="1A1A1A"/>
          <w:sz w:val="22"/>
          <w:szCs w:val="22"/>
        </w:rPr>
        <w:t xml:space="preserve">Current approach is almost certainly commercial MT (DeepL / Google Translate) for drafts + human editors for anime-specific terminology and cultural adaptation.</w:t>
      </w:r>
    </w:p>
    <w:p>
      <w:pPr>
        <w:pStyle w:val="ListParagraph"/>
        <w:numPr>
          <w:ilvl w:val="0"/>
          <w:numId w:val="3"/>
        </w:numPr>
        <w:spacing w:after="55" w:before="55"/>
      </w:pPr>
      <w:r>
        <w:rPr>
          <w:rFonts w:ascii="Arial" w:cs="Arial" w:eastAsia="Arial" w:hAnsi="Arial"/>
          <w:b w:val="false"/>
          <w:bCs w:val="false"/>
          <w:color w:val="1A1A1A"/>
          <w:sz w:val="22"/>
          <w:szCs w:val="22"/>
        </w:rPr>
        <w:t xml:space="preserve">The Computer Vision pipeline automates marketing banner generation (GAN / Stable Diffusion) — applied to assets, not in-game content.</w:t>
      </w:r>
    </w:p>
    <w:p>
      <w:pPr>
        <w:pStyle w:val="ListParagraph"/>
        <w:numPr>
          <w:ilvl w:val="0"/>
          <w:numId w:val="3"/>
        </w:numPr>
        <w:spacing w:after="55" w:before="55"/>
      </w:pPr>
      <w:r>
        <w:rPr>
          <w:rFonts w:ascii="Arial" w:cs="Arial" w:eastAsia="Arial" w:hAnsi="Arial"/>
          <w:b w:val="false"/>
          <w:bCs w:val="false"/>
          <w:color w:val="1A1A1A"/>
          <w:sz w:val="22"/>
          <w:szCs w:val="22"/>
        </w:rPr>
        <w:t xml:space="preserve">No evidence of: automated localisation QA, domain-specific anime glossary/term base, or consistency tooling across 31+ titles.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50"/>
              <w:left w:type="dxa" w:w="220"/>
              <w:bottom w:type="dxa" w:w="150"/>
              <w:right w:type="dxa" w:w="220"/>
            </w:tcMar>
          </w:tcPr>
          <w:p>
            <w:pPr>
              <w:spacing w:after="30" w:before="0"/>
            </w:pPr>
            <w:r>
              <w:rPr>
                <w:rFonts w:ascii="Arial" w:cs="Arial" w:eastAsia="Arial" w:hAnsi="Arial"/>
                <w:b/>
                <w:bCs/>
                <w:color w:val="7B2D00"/>
                <w:sz w:val="20"/>
                <w:szCs w:val="20"/>
              </w:rPr>
              <w:t xml:space="preserve">Why Localization = Business Critical</w:t>
            </w:r>
          </w:p>
          <w:p>
            <w:pPr>
              <w:spacing w:after="0" w:before="0"/>
            </w:pPr>
            <w:r>
              <w:rPr>
                <w:rFonts w:ascii="Arial" w:cs="Arial" w:eastAsia="Arial" w:hAnsi="Arial"/>
                <w:color w:val="7B2D00"/>
                <w:sz w:val="21"/>
                <w:szCs w:val="21"/>
              </w:rPr>
              <w:t xml:space="preserve">Why this matters for the interview: CTW's time-to-market advantage depends on rapidly launching each new IP-licensed title across multiple language markets. Every week of localisation delay is a week of lost revenue in a new geography. The localization pipeline is a direct constraint on international growth velocity — and CTW's international revenue just grew from 19% to 30% in a single year. The pressure on this pipeline will only intensify.</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2.3 CTW's AI Build Sequence — The Three Phases</w:t>
      </w:r>
    </w:p>
    <w:p>
      <w:pPr>
        <w:spacing w:after="60" w:before="60"/>
      </w:pPr>
      <w:r>
        <w:rPr>
          <w:rFonts w:ascii="Arial" w:cs="Arial" w:eastAsia="Arial" w:hAnsi="Arial"/>
          <w:color w:val="404040"/>
          <w:sz w:val="22"/>
          <w:szCs w:val="22"/>
        </w:rPr>
        <w:t xml:space="preserve">Reference this to show you understand the strategic progression, not just the current snapshot:</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Phase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Was Built / Why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Phase 1 — Foundation
(Neil Yuki hire)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Data infrastructure: centralised platform, pipelines, feature engineering. Background: Rakuten, LINE, Indeed. Goal: make data usable before applying 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Phase 2 — Applications
(CV / NLP / MLOps)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Applied ML to existing revenue levers: banner generation (CV via GAN/Stable Diffusion), ROAS prediction (Data Science), localisation speed (NLP). Goal: measurable ROI on AI investment.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Phase 3 — Agentic
(This role)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Shift from task-specific ML to autonomous systems. Deploy agents into engineering ops. Build multimodal gaming model. Goal: operational leverage + defensible technical differentiation.</w:t>
            </w:r>
          </w:p>
        </w:tc>
      </w:tr>
    </w:tbl>
    <w:p>
      <w:pPr>
        <w:spacing w:after="0" w:before="14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2.4 Which G123 Titles Carry the Highest QA Burden?</w:t>
      </w:r>
    </w:p>
    <w:p>
      <w:pPr>
        <w:spacing w:after="60" w:before="60"/>
      </w:pPr>
      <w:r>
        <w:rPr>
          <w:rFonts w:ascii="Arial" w:cs="Arial" w:eastAsia="Arial" w:hAnsi="Arial"/>
          <w:color w:val="404040"/>
          <w:sz w:val="22"/>
          <w:szCs w:val="22"/>
        </w:rPr>
        <w:t xml:space="preserve">Knowing which specific titles are the most operationally expensive to ship — and why — lets you anchor the QA automation opportunity in a concrete business case rather than an abstract argument. Three factors drive QA burden: IP holder sensitivity, gameplay complexity, and localisation surface area.</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Title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Why It Has the Highest QA Burden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The Apothecary Diaries: Palace Chronicles
(Launched 2025 — #1 streaming anime tie-in)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Highest current profile: 50K+ pre-registrations, tied to the most-watched anime of its season. IP holder (TV Tokyo / Shueisha) will have strict approval gates on any content update. Simulation genre = complex character-raising state machines with many permutations to test. Launched into multiple international markets simultaneously = full localisation QA matrix on every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Doraemon Comic Traveler
(Fujiko Pro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Highest brand sensitivity on the platform. Fujiko Pro is one of Japan's most protective IP holders — any visual or copy error touching a Doraemon asset has reputational consequences orders of magnitude above an original IP. Children's audience means no tolerance for inappropriate content slipping through NLP/CV pipelines. Every content update likely requires IP holder sign-off before deployment.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High School DxD: Operation Paradise Infinity
(Launched April 2025 — active RPG)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Launched April 2025 = currently in peak content release cadence (weekly events, character drops, gacha banners). RPG mechanics = complex probability systems (gacha pull rates) that require mathematical QA every update. Fan-service content requires market-specific content sensitivity review (some markets need different asset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Any new title in the pipeline
(~1 new game per 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By design, every new G123 launch creates a temporary spike to maximum QA burden: all systems untested in production, new IP holder relationship being established, first international localisation pass happening simultaneously. With 10+ titles in the development backlog, this structural pattern is a standing constraint.</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Concrete Line to Use</w:t>
            </w:r>
          </w:p>
          <w:p>
            <w:pPr>
              <w:spacing w:after="0" w:before="0"/>
            </w:pPr>
            <w:r>
              <w:rPr>
                <w:rFonts w:ascii="Arial" w:cs="Arial" w:eastAsia="Arial" w:hAnsi="Arial"/>
                <w:color w:val="1F3864"/>
                <w:sz w:val="21"/>
                <w:szCs w:val="21"/>
              </w:rPr>
              <w:t xml:space="preserve">How to use this in the interview: "Looking at the G123 catalogue, the titles with the highest QA surface area appear to be The Apothecary Diaries and Doraemon — one because of its complexity and simultaneous international launch, one because Fujiko Pro's IP approval process is one of the strictest in Japan. Which titles does the team currently spend the most QA time on? That's the first place I'd focus an agent."</w:t>
            </w:r>
          </w:p>
        </w:tc>
      </w:tr>
    </w:tbl>
    <w:p>
      <w:pPr>
        <w:spacing w:after="0" w:before="14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2.5 MLOps Stack — TF, PyTorch &amp; CI/CD</w:t>
      </w:r>
    </w:p>
    <w:p>
      <w:pPr>
        <w:spacing w:after="60" w:before="60"/>
      </w:pPr>
      <w:r>
        <w:rPr>
          <w:rFonts w:ascii="Arial" w:cs="Arial" w:eastAsia="Arial" w:hAnsi="Arial"/>
          <w:color w:val="404040"/>
          <w:sz w:val="22"/>
          <w:szCs w:val="22"/>
        </w:rPr>
        <w:t xml:space="preserve">The MLOps Engineer JD explicitly requires TensorFlow AND PyTorch — not one or the other. This matters because it signals a heterogeneous model environment, and understanding why tells you a lot about the current state of the stack.</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Framework</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Likely Role at CTW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TensorFlow (TF)</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Legacy/production models — the ROAS prediction system was built when TF was dominant for production inference. TF Serving provides the stable serving layer. Established models stay in TF; the MLOps engineer maintains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PyTorch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Newer research work — Stable Diffusion (CV banner generation), current NLP/translation research, and any new models being built by the NLP and CV Research Scientists. PyTorch is now the dominant research framework; all new model development is likely PyTorch-native.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Why both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The platform is mid-migration: legacy ROAS stack in TF, new research output in PyTorch. The MLOps engineer (and by extension the AI Research Scientist) must bridge both. This is a common pattern in companies that started their ML journey 3–4 years ago.</w:t>
            </w:r>
          </w:p>
        </w:tc>
      </w:tr>
    </w:tbl>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What CI/CD for ML Actually Means Here</w:t>
      </w:r>
    </w:p>
    <w:p>
      <w:pPr>
        <w:pStyle w:val="ListParagraph"/>
        <w:numPr>
          <w:ilvl w:val="0"/>
          <w:numId w:val="3"/>
        </w:numPr>
        <w:spacing w:after="55" w:before="55"/>
      </w:pPr>
      <w:r>
        <w:rPr>
          <w:rFonts w:ascii="Arial" w:cs="Arial" w:eastAsia="Arial" w:hAnsi="Arial"/>
          <w:b w:val="false"/>
          <w:bCs w:val="false"/>
          <w:color w:val="1A1A1A"/>
          <w:sz w:val="22"/>
          <w:szCs w:val="22"/>
        </w:rPr>
        <w:t xml:space="preserve">Data validation gate — before any training run, incoming feature data is validated against a schema (null rates, distribution drift, range checks). A training run on bad data is more dangerous than no training run.</w:t>
      </w:r>
    </w:p>
    <w:p>
      <w:pPr>
        <w:pStyle w:val="ListParagraph"/>
        <w:numPr>
          <w:ilvl w:val="0"/>
          <w:numId w:val="3"/>
        </w:numPr>
        <w:spacing w:after="55" w:before="55"/>
      </w:pPr>
      <w:r>
        <w:rPr>
          <w:rFonts w:ascii="Arial" w:cs="Arial" w:eastAsia="Arial" w:hAnsi="Arial"/>
          <w:b w:val="false"/>
          <w:bCs w:val="false"/>
          <w:color w:val="1A1A1A"/>
          <w:sz w:val="22"/>
          <w:szCs w:val="22"/>
        </w:rPr>
        <w:t xml:space="preserve">Automated training pipeline — code commit triggers: data pull → feature engineering → model training → offline evaluation against golden test set → artefact registration in model registry (MLflow or W&amp;B).</w:t>
      </w:r>
    </w:p>
    <w:p>
      <w:pPr>
        <w:pStyle w:val="ListParagraph"/>
        <w:numPr>
          <w:ilvl w:val="0"/>
          <w:numId w:val="3"/>
        </w:numPr>
        <w:spacing w:after="55" w:before="55"/>
      </w:pPr>
      <w:r>
        <w:rPr>
          <w:rFonts w:ascii="Arial" w:cs="Arial" w:eastAsia="Arial" w:hAnsi="Arial"/>
          <w:b w:val="false"/>
          <w:bCs w:val="false"/>
          <w:color w:val="1A1A1A"/>
          <w:sz w:val="22"/>
          <w:szCs w:val="22"/>
        </w:rPr>
        <w:t xml:space="preserve">Staging deployment + integration tests — trained model deployed to staging; integration tests confirm the model API handles all expected input schemas and edge cases before any production promotion.</w:t>
      </w:r>
    </w:p>
    <w:p>
      <w:pPr>
        <w:pStyle w:val="ListParagraph"/>
        <w:numPr>
          <w:ilvl w:val="0"/>
          <w:numId w:val="3"/>
        </w:numPr>
        <w:spacing w:after="55" w:before="55"/>
      </w:pPr>
      <w:r>
        <w:rPr>
          <w:rFonts w:ascii="Arial" w:cs="Arial" w:eastAsia="Arial" w:hAnsi="Arial"/>
          <w:b w:val="false"/>
          <w:bCs w:val="false"/>
          <w:color w:val="1A1A1A"/>
          <w:sz w:val="22"/>
          <w:szCs w:val="22"/>
        </w:rPr>
        <w:t xml:space="preserve">Model registry with version control — every artefact tagged with training data hash, evaluation metrics, and git commit SHA. Rollback = promoting the previous registered version, not retraining from scratch.</w:t>
      </w:r>
    </w:p>
    <w:p>
      <w:pPr>
        <w:pStyle w:val="ListParagraph"/>
        <w:numPr>
          <w:ilvl w:val="0"/>
          <w:numId w:val="3"/>
        </w:numPr>
        <w:spacing w:after="55" w:before="55"/>
      </w:pPr>
      <w:r>
        <w:rPr>
          <w:rFonts w:ascii="Arial" w:cs="Arial" w:eastAsia="Arial" w:hAnsi="Arial"/>
          <w:b w:val="false"/>
          <w:bCs w:val="false"/>
          <w:color w:val="1A1A1A"/>
          <w:sz w:val="22"/>
          <w:szCs w:val="22"/>
        </w:rPr>
        <w:t xml:space="preserve">Production promotion gate — automated gate checks staging evaluation metrics meet minimum thresholds (offline TCR, latency p95, cost-per-call) before promotion. Humans approve; the pipeline executes.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50"/>
              <w:left w:type="dxa" w:w="220"/>
              <w:bottom w:type="dxa" w:w="150"/>
              <w:right w:type="dxa" w:w="220"/>
            </w:tcMar>
          </w:tcPr>
          <w:p>
            <w:pPr>
              <w:spacing w:after="30" w:before="0"/>
            </w:pPr>
            <w:r>
              <w:rPr>
                <w:rFonts w:ascii="Arial" w:cs="Arial" w:eastAsia="Arial" w:hAnsi="Arial"/>
                <w:b/>
                <w:bCs/>
                <w:color w:val="5C4000"/>
                <w:sz w:val="20"/>
                <w:szCs w:val="20"/>
              </w:rPr>
              <w:t xml:space="preserve">Watch Out</w:t>
            </w:r>
          </w:p>
          <w:p>
            <w:pPr>
              <w:spacing w:after="0" w:before="0"/>
            </w:pPr>
            <w:r>
              <w:rPr>
                <w:rFonts w:ascii="Arial" w:cs="Arial" w:eastAsia="Arial" w:hAnsi="Arial"/>
                <w:color w:val="5C4000"/>
                <w:sz w:val="21"/>
                <w:szCs w:val="21"/>
              </w:rPr>
              <w:t xml:space="preserve">Key signal: the MLOps Engineer JD exists because this CI/CD pipeline does NOT yet exist in mature form. The AI Research Scientist will be shipping models into an MLOps environment being built in parallel. Your first deployments will involve more manual process than the steady state — factor this into how you talk about delivery timelines.</w:t>
            </w:r>
          </w:p>
        </w:tc>
      </w:tr>
    </w:tbl>
    <w:p>
      <w:pPr>
        <w:spacing w:after="0" w:before="140"/>
      </w:pPr>
      <w:r>
        <w:rPr>
          <w:rFonts w:ascii="Arial" w:cs="Arial" w:eastAsia="Arial" w:hAnsi="Arial"/>
          <w:sz w:val="22"/>
          <w:szCs w:val="22"/>
        </w:rPr>
        <w:t xml:space="preserve"/>
      </w:r>
    </w:p>
    <w:p>
      <w:pPr>
        <w:pStyle w:val="Heading1"/>
        <w:pageBreakBefore/>
        <w:shd w:fill="1F3864" w:val="clear"/>
        <w:spacing w:after="120" w:before="280"/>
        <w:ind w:left="160"/>
      </w:pPr>
      <w:r>
        <w:rPr>
          <w:rFonts w:ascii="Arial" w:cs="Arial" w:eastAsia="Arial" w:hAnsi="Arial"/>
          <w:b/>
          <w:bCs/>
          <w:color w:val="FFFFFF"/>
          <w:sz w:val="30"/>
          <w:szCs w:val="30"/>
        </w:rPr>
        <w:t xml:space="preserve">3. Key Talking Points by Topic</w:t>
      </w:r>
    </w:p>
    <w:p>
      <w:pPr>
        <w:spacing w:after="0" w:before="6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3.1 US Market Expansion — Why It Creates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The Number to Remember</w:t>
            </w:r>
          </w:p>
          <w:p>
            <w:pPr>
              <w:spacing w:after="0" w:before="0"/>
            </w:pPr>
            <w:r>
              <w:rPr>
                <w:rFonts w:ascii="Arial" w:cs="Arial" w:eastAsia="Arial" w:hAnsi="Arial"/>
                <w:color w:val="1F3864"/>
                <w:sz w:val="21"/>
                <w:szCs w:val="21"/>
              </w:rPr>
              <w:t xml:space="preserve">Revenue from outside Japan grew from ~19% to ~30% of total in a single fiscal year — an 11-point swing on a $90M revenue base. That's roughly $10M of incremental international revenue in one year. At this rate, international could be the majority revenue driver within 3–4 years.</w:t>
            </w:r>
          </w:p>
        </w:tc>
      </w:tr>
    </w:tbl>
    <w:p>
      <w:pPr>
        <w:spacing w:after="0" w:before="80"/>
      </w:pPr>
      <w:r>
        <w:rPr>
          <w:rFonts w:ascii="Arial" w:cs="Arial" w:eastAsia="Arial" w:hAnsi="Arial"/>
          <w:sz w:val="22"/>
          <w:szCs w:val="22"/>
        </w:rPr>
        <w:t xml:space="preserve"/>
      </w:r>
    </w:p>
    <w:p>
      <w:pPr>
        <w:spacing w:after="60" w:before="60"/>
      </w:pPr>
      <w:r>
        <w:rPr>
          <w:rFonts w:ascii="Arial" w:cs="Arial" w:eastAsia="Arial" w:hAnsi="Arial"/>
          <w:b/>
          <w:bCs/>
          <w:color w:val="1A1A1A"/>
          <w:sz w:val="22"/>
          <w:szCs w:val="22"/>
        </w:rPr>
        <w:t xml:space="preserve">How to connect this to the role:</w:t>
      </w:r>
    </w:p>
    <w:p>
      <w:pPr>
        <w:pStyle w:val="ListParagraph"/>
        <w:numPr>
          <w:ilvl w:val="0"/>
          <w:numId w:val="3"/>
        </w:numPr>
        <w:spacing w:after="55" w:before="55"/>
      </w:pPr>
      <w:r>
        <w:rPr>
          <w:rFonts w:ascii="Arial" w:cs="Arial" w:eastAsia="Arial" w:hAnsi="Arial"/>
          <w:b w:val="false"/>
          <w:bCs w:val="false"/>
          <w:color w:val="1A1A1A"/>
          <w:sz w:val="22"/>
          <w:szCs w:val="22"/>
        </w:rPr>
        <w:t xml:space="preserve">International growth is primarily English-language and Southeast Asia. Both markets require rapid, high-quality localisation. The current pipeline is the bottleneck.</w:t>
      </w:r>
    </w:p>
    <w:p>
      <w:pPr>
        <w:pStyle w:val="ListParagraph"/>
        <w:numPr>
          <w:ilvl w:val="0"/>
          <w:numId w:val="3"/>
        </w:numPr>
        <w:spacing w:after="55" w:before="55"/>
      </w:pPr>
      <w:r>
        <w:rPr>
          <w:rFonts w:ascii="Arial" w:cs="Arial" w:eastAsia="Arial" w:hAnsi="Arial"/>
          <w:b w:val="false"/>
          <w:bCs w:val="false"/>
          <w:color w:val="1A1A1A"/>
          <w:sz w:val="22"/>
          <w:szCs w:val="22"/>
        </w:rPr>
        <w:t xml:space="preserve">Recommendation and discovery become more important — not less — as the catalogue grows internationally. English-speaking users don't have the prior anime knowledge to self-navigate 31 titles; they need guided discovery.</w:t>
      </w:r>
    </w:p>
    <w:p>
      <w:pPr>
        <w:pStyle w:val="ListParagraph"/>
        <w:numPr>
          <w:ilvl w:val="0"/>
          <w:numId w:val="3"/>
        </w:numPr>
        <w:spacing w:after="55" w:before="55"/>
      </w:pPr>
      <w:r>
        <w:rPr>
          <w:rFonts w:ascii="Arial" w:cs="Arial" w:eastAsia="Arial" w:hAnsi="Arial"/>
          <w:b w:val="false"/>
          <w:bCs w:val="false"/>
          <w:color w:val="1A1A1A"/>
          <w:sz w:val="22"/>
          <w:szCs w:val="22"/>
        </w:rPr>
        <w:t xml:space="preserve">QA and agent-based engineering ops become critical at international scale: more markets, more compliance requirements, more support surface area.</w:t>
      </w:r>
    </w:p>
    <w:p>
      <w:pPr>
        <w:spacing w:after="0" w:before="80"/>
      </w:pPr>
      <w:r>
        <w:rPr>
          <w:rFonts w:ascii="Arial" w:cs="Arial" w:eastAsia="Arial" w:hAnsi="Arial"/>
          <w:sz w:val="22"/>
          <w:szCs w:val="22"/>
        </w:rPr>
        <w:t xml:space="preserve"/>
      </w:r>
    </w:p>
    <w:p>
      <w:pPr>
        <w:spacing w:after="60" w:before="60"/>
      </w:pPr>
      <w:r>
        <w:rPr>
          <w:rFonts w:ascii="Arial" w:cs="Arial" w:eastAsia="Arial" w:hAnsi="Arial"/>
          <w:b/>
          <w:bCs/>
          <w:i/>
          <w:iCs/>
          <w:color w:val="404040"/>
          <w:sz w:val="22"/>
          <w:szCs w:val="22"/>
        </w:rPr>
        <w:t xml:space="preserve">Talking point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0" w:before="0"/>
            </w:pPr>
            <w:r>
              <w:rPr>
                <w:rFonts w:ascii="Arial" w:cs="Arial" w:eastAsia="Arial" w:hAnsi="Arial"/>
                <w:color w:val="1A4731"/>
                <w:sz w:val="21"/>
                <w:szCs w:val="21"/>
              </w:rPr>
              <w:t xml:space="preserve">"The 19% to 30% revenue swing tells me the platform's growth constraints have shifted. A year ago the constraint was 'can we reach international users?' — now it's 'can our AI systems scale the operations, localisation, and discovery layer fast enough to serve them well?' That's exactly the problem this role is designed to solve."</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3.2 Competing AI Capabilities — Know Your Landscape</w:t>
      </w:r>
    </w:p>
    <w:p>
      <w:pPr>
        <w:spacing w:after="0" w:before="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Game-Playing Agents</w:t>
      </w:r>
    </w:p>
    <w:p>
      <w:pPr>
        <w:pStyle w:val="ListParagraph"/>
        <w:numPr>
          <w:ilvl w:val="0"/>
          <w:numId w:val="3"/>
        </w:numPr>
        <w:spacing w:after="55" w:before="55"/>
      </w:pPr>
      <w:r>
        <w:rPr>
          <w:rFonts w:ascii="Arial" w:cs="Arial" w:eastAsia="Arial" w:hAnsi="Arial"/>
          <w:b w:val="false"/>
          <w:bCs w:val="false"/>
          <w:color w:val="1A1A1A"/>
          <w:sz w:val="22"/>
          <w:szCs w:val="22"/>
        </w:rPr>
        <w:t xml:space="preserve">Google DeepMind — SIMA 2: Gemini-powered generalist agent that can play 3D video games from natural language instructions. Trained on diverse 3D environments. Research stage, no commercial deployment, no anime/HTML5 specialisation.</w:t>
      </w:r>
    </w:p>
    <w:p>
      <w:pPr>
        <w:pStyle w:val="ListParagraph"/>
        <w:numPr>
          <w:ilvl w:val="0"/>
          <w:numId w:val="3"/>
        </w:numPr>
        <w:spacing w:after="55" w:before="55"/>
      </w:pPr>
      <w:r>
        <w:rPr>
          <w:rFonts w:ascii="Arial" w:cs="Arial" w:eastAsia="Arial" w:hAnsi="Arial"/>
          <w:b w:val="false"/>
          <w:bCs w:val="false"/>
          <w:color w:val="1A1A1A"/>
          <w:sz w:val="22"/>
          <w:szCs w:val="22"/>
        </w:rPr>
        <w:t xml:space="preserve">DeepMind — Genie 2: Foundation world model generating playable 3D environments from a single image. World-model research rather than task-agent research.</w:t>
      </w:r>
    </w:p>
    <w:p>
      <w:pPr>
        <w:pStyle w:val="ListParagraph"/>
        <w:numPr>
          <w:ilvl w:val="0"/>
          <w:numId w:val="3"/>
        </w:numPr>
        <w:spacing w:after="55" w:before="55"/>
      </w:pPr>
      <w:r>
        <w:rPr>
          <w:rFonts w:ascii="Arial" w:cs="Arial" w:eastAsia="Arial" w:hAnsi="Arial"/>
          <w:b w:val="false"/>
          <w:bCs w:val="false"/>
          <w:color w:val="1A1A1A"/>
          <w:sz w:val="22"/>
          <w:szCs w:val="22"/>
        </w:rPr>
        <w:t xml:space="preserve">CTW's gap: Neither system addresses HTML5 browser games or anime-specific visual/narrative domains. CTW's potential game-playing agent would operate in a meaningfully different regime.</w:t>
      </w:r>
    </w:p>
    <w:p>
      <w:pPr>
        <w:spacing w:after="0" w:before="6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Game QA Automation</w:t>
      </w:r>
    </w:p>
    <w:p>
      <w:pPr>
        <w:pStyle w:val="ListParagraph"/>
        <w:numPr>
          <w:ilvl w:val="0"/>
          <w:numId w:val="3"/>
        </w:numPr>
        <w:spacing w:after="55" w:before="55"/>
      </w:pPr>
      <w:r>
        <w:rPr>
          <w:rFonts w:ascii="Arial" w:cs="Arial" w:eastAsia="Arial" w:hAnsi="Arial"/>
          <w:b w:val="false"/>
          <w:bCs w:val="false"/>
          <w:color w:val="1A1A1A"/>
          <w:sz w:val="22"/>
          <w:szCs w:val="22"/>
        </w:rPr>
        <w:t xml:space="preserve">nunu.ai (Google Cloud partnership): Production-grade multimodal AI agents for game testing — simulates thousands of gameplay scenarios, finds bugs, generates reports. Reduces manual QA costs by up to 50% per their published case studies. Relies on Gemini APIs; no proprietary model.</w:t>
      </w:r>
    </w:p>
    <w:p>
      <w:pPr>
        <w:pStyle w:val="ListParagraph"/>
        <w:numPr>
          <w:ilvl w:val="0"/>
          <w:numId w:val="3"/>
        </w:numPr>
        <w:spacing w:after="55" w:before="55"/>
      </w:pPr>
      <w:r>
        <w:rPr>
          <w:rFonts w:ascii="Arial" w:cs="Arial" w:eastAsia="Arial" w:hAnsi="Arial"/>
          <w:b w:val="false"/>
          <w:bCs w:val="false"/>
          <w:color w:val="1A1A1A"/>
          <w:sz w:val="22"/>
          <w:szCs w:val="22"/>
        </w:rPr>
        <w:t xml:space="preserve">ManaMind: Early-stage QA automation ($1.1M seed). No anime-specific capability.</w:t>
      </w:r>
    </w:p>
    <w:p>
      <w:pPr>
        <w:pStyle w:val="ListParagraph"/>
        <w:numPr>
          <w:ilvl w:val="0"/>
          <w:numId w:val="3"/>
        </w:numPr>
        <w:spacing w:after="55" w:before="55"/>
      </w:pPr>
      <w:r>
        <w:rPr>
          <w:rFonts w:ascii="Arial" w:cs="Arial" w:eastAsia="Arial" w:hAnsi="Arial"/>
          <w:b w:val="false"/>
          <w:bCs w:val="false"/>
          <w:color w:val="1A1A1A"/>
          <w:sz w:val="22"/>
          <w:szCs w:val="22"/>
        </w:rPr>
        <w:t xml:space="preserve">Square Enix: Targeting 70% QA automation by 2027 using generative AI. Internal programme only; 3D console games, not browser games.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50"/>
              <w:left w:type="dxa" w:w="220"/>
              <w:bottom w:type="dxa" w:w="150"/>
              <w:right w:type="dxa" w:w="220"/>
            </w:tcMar>
          </w:tcPr>
          <w:p>
            <w:pPr>
              <w:spacing w:after="30" w:before="0"/>
            </w:pPr>
            <w:r>
              <w:rPr>
                <w:rFonts w:ascii="Arial" w:cs="Arial" w:eastAsia="Arial" w:hAnsi="Arial"/>
                <w:b/>
                <w:bCs/>
                <w:color w:val="7B2D00"/>
                <w:sz w:val="20"/>
                <w:szCs w:val="20"/>
              </w:rPr>
              <w:t xml:space="preserve">Your Competitive Framing</w:t>
            </w:r>
          </w:p>
          <w:p>
            <w:pPr>
              <w:spacing w:after="0" w:before="0"/>
            </w:pPr>
            <w:r>
              <w:rPr>
                <w:rFonts w:ascii="Arial" w:cs="Arial" w:eastAsia="Arial" w:hAnsi="Arial"/>
                <w:color w:val="7B2D00"/>
                <w:sz w:val="21"/>
                <w:szCs w:val="21"/>
              </w:rPr>
              <w:t xml:space="preserve">How to position against these: nunu.ai is the most relevant comparison. The key differentiator for CTW is that nunu.ai uses off-the-shelf Gemini APIs — they have no proprietary model and no domain-specific training data. CTW can build something nunu.ai cannot: an anime-browser-game-specialised QA agent that performs better in this specific domain because it was trained on CTW's own gameplay data. The external tool will always be general. The internal model can be precise.</w:t>
            </w:r>
          </w:p>
        </w:tc>
      </w:tr>
    </w:tbl>
    <w:p>
      <w:pPr>
        <w:spacing w:after="0" w:before="12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3.3 CTW's Data Advantage — Make This Concrete</w:t>
      </w:r>
    </w:p>
    <w:p>
      <w:pPr>
        <w:spacing w:after="0" w:before="40"/>
      </w:pPr>
      <w:r>
        <w:rPr>
          <w:rFonts w:ascii="Arial" w:cs="Arial" w:eastAsia="Arial" w:hAnsi="Arial"/>
          <w:sz w:val="22"/>
          <w:szCs w:val="22"/>
        </w:rPr>
        <w:t xml:space="preserve"/>
      </w:r>
    </w:p>
    <w:p>
      <w:pPr>
        <w:spacing w:after="60" w:before="60"/>
      </w:pPr>
      <w:r>
        <w:rPr>
          <w:rFonts w:ascii="Arial" w:cs="Arial" w:eastAsia="Arial" w:hAnsi="Arial"/>
          <w:b/>
          <w:bCs/>
          <w:color w:val="1A1A1A"/>
          <w:sz w:val="22"/>
          <w:szCs w:val="22"/>
        </w:rPr>
        <w:t xml:space="preserve">The data moat argument — say this explicitly:</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Asset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Why It Matters for the Multimodal Model</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b/>
                <w:bCs/>
                <w:sz w:val="20"/>
                <w:szCs w:val="20"/>
              </w:rPr>
              <w:t xml:space="preserve">261M user interactions</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sz w:val="20"/>
                <w:szCs w:val="20"/>
              </w:rPr>
              <w:t xml:space="preserve">Scale of gameplay telemetry that no external lab or startup can access. Provides behavioural signal across game states, UI elements, and player decision patterns at massive volume.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bCs/>
                <w:sz w:val="20"/>
                <w:szCs w:val="20"/>
              </w:rPr>
              <w:t xml:space="preserve">31+ diverse anime titles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0"/>
                <w:szCs w:val="20"/>
              </w:rPr>
              <w:t xml:space="preserve">Variety of visual styles, narrative structures, and game mechanics within the anime domain — critical for training a generalist-within-domain model rather than a single-game agent.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b/>
                <w:bCs/>
                <w:sz w:val="20"/>
                <w:szCs w:val="20"/>
              </w:rPr>
              <w:t xml:space="preserve">HTML5 / browser environment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sz w:val="20"/>
                <w:szCs w:val="20"/>
              </w:rPr>
              <w:t xml:space="preserve">More tractable for initial agent training than 3D AAA games. DOM-based game state representation is structured; easier to instrument than raw GPU framebuffers.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b/>
                <w:bCs/>
                <w:sz w:val="20"/>
                <w:szCs w:val="20"/>
              </w:rPr>
              <w:t xml:space="preserve">IP-licensed content pipeline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0"/>
                <w:szCs w:val="20"/>
              </w:rPr>
              <w:t xml:space="preserve">Ongoing inflow of new game titles means the training distribution stays fresh and the agent must generalise across games — exactly the challenge that makes a foundation model valuable.</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b/>
                <w:bCs/>
                <w:sz w:val="20"/>
                <w:szCs w:val="20"/>
              </w:rPr>
              <w:t xml:space="preserve">Multi-language gameplay data</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spacing w:after="0" w:before="0"/>
            </w:pPr>
            <w:r>
              <w:rPr>
                <w:rFonts w:ascii="Arial" w:cs="Arial" w:eastAsia="Arial" w:hAnsi="Arial"/>
                <w:sz w:val="20"/>
                <w:szCs w:val="20"/>
              </w:rPr>
              <w:t xml:space="preserve">As international expansion continues, multilingual gameplay signals become training data for a localisation-aware model — a capability no external competitor can replicate.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30" w:before="0"/>
            </w:pPr>
            <w:r>
              <w:rPr>
                <w:rFonts w:ascii="Arial" w:cs="Arial" w:eastAsia="Arial" w:hAnsi="Arial"/>
                <w:b/>
                <w:bCs/>
                <w:color w:val="1A4731"/>
                <w:sz w:val="20"/>
                <w:szCs w:val="20"/>
              </w:rPr>
              <w:t xml:space="preserve">Line to Deliver</w:t>
            </w:r>
          </w:p>
          <w:p>
            <w:pPr>
              <w:spacing w:after="0" w:before="0"/>
            </w:pPr>
            <w:r>
              <w:rPr>
                <w:rFonts w:ascii="Arial" w:cs="Arial" w:eastAsia="Arial" w:hAnsi="Arial"/>
                <w:color w:val="1A4731"/>
                <w:sz w:val="21"/>
                <w:szCs w:val="21"/>
              </w:rPr>
              <w:t xml:space="preserve">"DeepMind and nunu.ai are building general solutions — which means they'll always be approximately right for any specific domain. CTW's 261M users across anime HTML5 games are a training corpus that cannot be bought, scraped, or approximated. That's the foundation for a model that's precisely right in this domain — and precisely right beats approximately right in every production system that matters."</w:t>
            </w:r>
          </w:p>
        </w:tc>
      </w:tr>
    </w:tbl>
    <w:p>
      <w:pPr>
        <w:spacing w:after="0" w:before="14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3.4 Agent Deployment — Production Readiness &amp; Auditability</w:t>
      </w:r>
    </w:p>
    <w:p>
      <w:pPr>
        <w:spacing w:after="60" w:before="60"/>
      </w:pPr>
      <w:r>
        <w:rPr>
          <w:rFonts w:ascii="Arial" w:cs="Arial" w:eastAsia="Arial" w:hAnsi="Arial"/>
          <w:color w:val="404040"/>
          <w:sz w:val="22"/>
          <w:szCs w:val="22"/>
        </w:rPr>
        <w:t xml:space="preserve">One of the two core JD outcomes is production-grade deployment of agents in real business workflows. This is the area where you can differentiate most from pure researchers. Be ready to go deep on what 'production-ready' actually means.</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Deployment-Oriented Responsibilities — What the Role Actually Requires</w:t>
      </w:r>
    </w:p>
    <w:p>
      <w:pPr>
        <w:pStyle w:val="ListParagraph"/>
        <w:numPr>
          <w:ilvl w:val="0"/>
          <w:numId w:val="3"/>
        </w:numPr>
        <w:spacing w:after="55" w:before="55"/>
      </w:pPr>
      <w:r>
        <w:rPr>
          <w:rFonts w:ascii="Arial" w:cs="Arial" w:eastAsia="Arial" w:hAnsi="Arial"/>
          <w:b w:val="false"/>
          <w:bCs w:val="false"/>
          <w:color w:val="1A1A1A"/>
          <w:sz w:val="22"/>
          <w:szCs w:val="22"/>
        </w:rPr>
        <w:t xml:space="preserve">Owning the full ML lifecycle — not just model development, but instrumentation, monitoring, and incident response for live agent systems.</w:t>
      </w:r>
    </w:p>
    <w:p>
      <w:pPr>
        <w:pStyle w:val="ListParagraph"/>
        <w:numPr>
          <w:ilvl w:val="0"/>
          <w:numId w:val="3"/>
        </w:numPr>
        <w:spacing w:after="55" w:before="55"/>
      </w:pPr>
      <w:r>
        <w:rPr>
          <w:rFonts w:ascii="Arial" w:cs="Arial" w:eastAsia="Arial" w:hAnsi="Arial"/>
          <w:b w:val="false"/>
          <w:bCs w:val="false"/>
          <w:color w:val="1A1A1A"/>
          <w:sz w:val="22"/>
          <w:szCs w:val="22"/>
        </w:rPr>
        <w:t xml:space="preserve">Writing the engineering scaffolding that connects an LLM to business systems: internal APIs, databases, game telemetry pipelines, ticketing systems, or content management tools.</w:t>
      </w:r>
    </w:p>
    <w:p>
      <w:pPr>
        <w:pStyle w:val="ListParagraph"/>
        <w:numPr>
          <w:ilvl w:val="0"/>
          <w:numId w:val="3"/>
        </w:numPr>
        <w:spacing w:after="55" w:before="55"/>
      </w:pPr>
      <w:r>
        <w:rPr>
          <w:rFonts w:ascii="Arial" w:cs="Arial" w:eastAsia="Arial" w:hAnsi="Arial"/>
          <w:b w:val="false"/>
          <w:bCs w:val="false"/>
          <w:color w:val="1A1A1A"/>
          <w:sz w:val="22"/>
          <w:szCs w:val="22"/>
        </w:rPr>
        <w:t xml:space="preserve">Defining SLOs (service-level objectives) for agent quality — not just model accuracy but latency, cost-per-call, fallback rate, and escalation rate.</w:t>
      </w:r>
    </w:p>
    <w:p>
      <w:pPr>
        <w:pStyle w:val="ListParagraph"/>
        <w:numPr>
          <w:ilvl w:val="0"/>
          <w:numId w:val="3"/>
        </w:numPr>
        <w:spacing w:after="55" w:before="55"/>
      </w:pPr>
      <w:r>
        <w:rPr>
          <w:rFonts w:ascii="Arial" w:cs="Arial" w:eastAsia="Arial" w:hAnsi="Arial"/>
          <w:b w:val="false"/>
          <w:bCs w:val="false"/>
          <w:color w:val="1A1A1A"/>
          <w:sz w:val="22"/>
          <w:szCs w:val="22"/>
        </w:rPr>
        <w:t xml:space="preserve">Running canary/shadow deployments before full rollout — especially important when an agent is taking actions (modifying data, sending messages, triggering QA pipelines) rather than just generating content.</w:t>
      </w:r>
    </w:p>
    <w:p>
      <w:pPr>
        <w:pStyle w:val="ListParagraph"/>
        <w:numPr>
          <w:ilvl w:val="0"/>
          <w:numId w:val="3"/>
        </w:numPr>
        <w:spacing w:after="55" w:before="55"/>
      </w:pPr>
      <w:r>
        <w:rPr>
          <w:rFonts w:ascii="Arial" w:cs="Arial" w:eastAsia="Arial" w:hAnsi="Arial"/>
          <w:b w:val="false"/>
          <w:bCs w:val="false"/>
          <w:color w:val="1A1A1A"/>
          <w:sz w:val="22"/>
          <w:szCs w:val="22"/>
        </w:rPr>
        <w:t xml:space="preserve">Maintaining human-in-the-loop (HITL) checkpoints for high-stakes actions, with a clear escalation path when agent confidence is low.</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How to Deploy Agents That Integrate With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You'd Apply it at CTW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Tool / function calling via structured APIs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Define CTW's internal tools (game build API, localization CMS, QA ticketing) as typed JSON schemas. The agent selects and calls the correct tool; outputs are validated before any write action is committed.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Event-driven 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Agent triggered by webhook (e.g., new game build pushed → QA agent spins up) or message queue (Kafka/Pub-Sub). Decouples agent lifecycle from the triggering service — enables retry, dead-letter handling, and audit replay.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State machine / graph orchestration (LangGraph / Temporal)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For multi-step workflows (draft → translate → QA → publish), each node in the graph is a discrete, logged step. Graph state is persisted so the workflow is resumable and debuggable after any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Scoped service accounts &amp; secrets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Agent operates under a least-privilege service account. API keys/secrets injected at runtime via Vault or cloud secrets manager — never baked into model context or logs.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Circuit breakers &amp; deterministic fallbacks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If the LLM call fails or returns low-confidence output, the system falls back to a human-handled queue or a rule-based backup — not a silent failure. Uptime SLOs require this.</w:t>
            </w:r>
          </w:p>
        </w:tc>
      </w:tr>
    </w:tbl>
    <w:p>
      <w:pPr>
        <w:spacing w:after="0" w:before="12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Auditable Agent Behavior — How to Do This</w:t>
      </w:r>
    </w:p>
    <w:p>
      <w:pPr>
        <w:spacing w:after="60" w:before="60"/>
      </w:pPr>
      <w:r>
        <w:rPr>
          <w:rFonts w:ascii="Arial" w:cs="Arial" w:eastAsia="Arial" w:hAnsi="Arial"/>
          <w:color w:val="404040"/>
          <w:sz w:val="22"/>
          <w:szCs w:val="22"/>
        </w:rPr>
        <w:t xml:space="preserve">Auditability is the feature that gets agents from a prototype into production in a regulated or high-stakes context. The standard approach has four layers:</w:t>
      </w:r>
    </w:p>
    <w:p>
      <w:pPr>
        <w:spacing w:after="0" w:before="60"/>
      </w:pPr>
      <w:r>
        <w:rPr>
          <w:rFonts w:ascii="Arial" w:cs="Arial" w:eastAsia="Arial" w:hAnsi="Arial"/>
          <w:sz w:val="22"/>
          <w:szCs w:val="22"/>
        </w:rPr>
        <w:t xml:space="preserve"/>
      </w:r>
    </w:p>
    <w:p>
      <w:pPr>
        <w:pStyle w:val="ListParagraph"/>
        <w:numPr>
          <w:ilvl w:val="0"/>
          <w:numId w:val="3"/>
        </w:numPr>
        <w:spacing w:after="55" w:before="55"/>
      </w:pPr>
      <w:r>
        <w:rPr>
          <w:rFonts w:ascii="Arial" w:cs="Arial" w:eastAsia="Arial" w:hAnsi="Arial"/>
          <w:b w:val="false"/>
          <w:bCs w:val="false"/>
          <w:color w:val="1A1A1A"/>
          <w:sz w:val="22"/>
          <w:szCs w:val="22"/>
        </w:rPr>
        <w:t xml:space="preserve">Structured trace logging — every LLM call, tool invocation, and intermediate result is logged with timestamp, input hash, model version, and output. Use OpenTelemetry or LangSmith-style tracing. You should be able to replay any agent decision from logs alone.</w:t>
      </w:r>
    </w:p>
    <w:p>
      <w:pPr>
        <w:pStyle w:val="ListParagraph"/>
        <w:numPr>
          <w:ilvl w:val="0"/>
          <w:numId w:val="3"/>
        </w:numPr>
        <w:spacing w:after="55" w:before="55"/>
      </w:pPr>
      <w:r>
        <w:rPr>
          <w:rFonts w:ascii="Arial" w:cs="Arial" w:eastAsia="Arial" w:hAnsi="Arial"/>
          <w:b w:val="false"/>
          <w:bCs w:val="false"/>
          <w:color w:val="1A1A1A"/>
          <w:sz w:val="22"/>
          <w:szCs w:val="22"/>
        </w:rPr>
        <w:t xml:space="preserve">Immutable audit trail — traces written to append-only storage (S3 + object lock, BigQuery). This is the record that answers "what did the agent do and why?" for any given run.</w:t>
      </w:r>
    </w:p>
    <w:p>
      <w:pPr>
        <w:pStyle w:val="ListParagraph"/>
        <w:numPr>
          <w:ilvl w:val="0"/>
          <w:numId w:val="3"/>
        </w:numPr>
        <w:spacing w:after="55" w:before="55"/>
      </w:pPr>
      <w:r>
        <w:rPr>
          <w:rFonts w:ascii="Arial" w:cs="Arial" w:eastAsia="Arial" w:hAnsi="Arial"/>
          <w:b w:val="false"/>
          <w:bCs w:val="false"/>
          <w:color w:val="1A1A1A"/>
          <w:sz w:val="22"/>
          <w:szCs w:val="22"/>
        </w:rPr>
        <w:t xml:space="preserve">Policy / guardrails layer — input and output validation that runs outside the LLM. Input: block PII, validate tool call arguments. Output: check for hallucinated entity names, reject malformed JSON, flag out-of-distribution content. Libraries: Guardrails AI, NeMo Guardrails, or custom rule layers.</w:t>
      </w:r>
    </w:p>
    <w:p>
      <w:pPr>
        <w:pStyle w:val="ListParagraph"/>
        <w:numPr>
          <w:ilvl w:val="0"/>
          <w:numId w:val="3"/>
        </w:numPr>
        <w:spacing w:after="55" w:before="55"/>
      </w:pPr>
      <w:r>
        <w:rPr>
          <w:rFonts w:ascii="Arial" w:cs="Arial" w:eastAsia="Arial" w:hAnsi="Arial"/>
          <w:b w:val="false"/>
          <w:bCs w:val="false"/>
          <w:color w:val="1A1A1A"/>
          <w:sz w:val="22"/>
          <w:szCs w:val="22"/>
        </w:rPr>
        <w:t xml:space="preserve">Human review queue — all agent outputs above a configurable uncertainty threshold, or for any destructive action (deleting content, triggering a rollback, sending a player communication), are queued for human sign-off before execution. The queue itself is logged.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How to Say This</w:t>
            </w:r>
          </w:p>
          <w:p>
            <w:pPr>
              <w:spacing w:after="0" w:before="0"/>
            </w:pPr>
            <w:r>
              <w:rPr>
                <w:rFonts w:ascii="Arial" w:cs="Arial" w:eastAsia="Arial" w:hAnsi="Arial"/>
                <w:color w:val="1F3864"/>
                <w:sz w:val="21"/>
                <w:szCs w:val="21"/>
              </w:rPr>
              <w:t xml:space="preserve">Line to use in the interview: "For any agent that touches a production system, I treat auditability as a first-class requirement from day one — not something bolted on later. That means structured trace logs, a policy layer that runs outside the model, and HITL checkpoints on write actions. If we can't answer 'what did the agent do and why?' from our logs, it doesn't ship."</w:t>
            </w:r>
          </w:p>
        </w:tc>
      </w:tr>
    </w:tbl>
    <w:p>
      <w:pPr>
        <w:spacing w:after="0" w:before="12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MTTD / MTTR Benchmark — Translating the Signal to CTW</w:t>
      </w:r>
    </w:p>
    <w:p>
      <w:pPr>
        <w:spacing w:after="60" w:before="60"/>
      </w:pPr>
      <w:r>
        <w:rPr>
          <w:rFonts w:ascii="Arial" w:cs="Arial" w:eastAsia="Arial" w:hAnsi="Arial"/>
          <w:color w:val="1A1A1A"/>
          <w:sz w:val="22"/>
          <w:szCs w:val="22"/>
        </w:rPr>
        <w:t xml:space="preserve">In DevOps / SRE contexts, LLM-based agents applied to incident response and runbook automation have delivered 20–40% reductions in Mean Time to Detect (MTTD) and Mean Time to Resolve (MTTR). The mechanism: agents triage alerts, correlate logs, surface probable root cause, and walk an on-call engineer through a structured resolution playbook — faster than a human starting from scratch.</w:t>
      </w:r>
    </w:p>
    <w:p>
      <w:pPr>
        <w:spacing w:after="0" w:before="60"/>
      </w:pPr>
      <w:r>
        <w:rPr>
          <w:rFonts w:ascii="Arial" w:cs="Arial" w:eastAsia="Arial" w:hAnsi="Arial"/>
          <w:sz w:val="22"/>
          <w:szCs w:val="22"/>
        </w:rPr>
        <w:t xml:space="preserve"/>
      </w:r>
    </w:p>
    <w:p>
      <w:pPr>
        <w:spacing w:after="60" w:before="60"/>
      </w:pPr>
      <w:r>
        <w:rPr>
          <w:rFonts w:ascii="Arial" w:cs="Arial" w:eastAsia="Arial" w:hAnsi="Arial"/>
          <w:color w:val="1A1A1A"/>
          <w:sz w:val="22"/>
          <w:szCs w:val="22"/>
        </w:rPr>
        <w:t xml:space="preserve">CTW's equivalent metrics are not MTTD/MTTR on infrastructure — they're operational KPIs tied to the game production cycle: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CTW Operational 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Agent Contribution Pathway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QA cycle time (build → bug-free release)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Automated test generation + execution agents flag regressions immediately post-build. Baseline: CTW manually QA's 31+ titles for each localised market. Agent target: 30–50% reduction in QA hours per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Time-to-market for localisation (JP content → all languages)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Agent-assisted MT + automated QA (COMET scoring, glossary enforcement, hallucination detection) replaces multi-day manual review cycles. Industry reference: nunu.ai claims 50% QA cost reduction on comparable workflows.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Player support resolution time (MTTR equivalent)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Agent triage of support tickets — classify, auto-resolve common queries, route complex cases — directly maps to MTTR. Common result in similar deployments: 40–60% of tickets resolved without human touch.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Marketing asset turnaround (brief → multilingual banner)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Current: separate CV (banner gen) and NLP (copy) tracks with manual hand-off. Integrated multimodal agent pipeline targets same-day localised asset delivery vs. current multi-day process.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30" w:before="0"/>
            </w:pPr>
            <w:r>
              <w:rPr>
                <w:rFonts w:ascii="Arial" w:cs="Arial" w:eastAsia="Arial" w:hAnsi="Arial"/>
                <w:b/>
                <w:bCs/>
                <w:color w:val="1A4731"/>
                <w:sz w:val="20"/>
                <w:szCs w:val="20"/>
              </w:rPr>
              <w:t xml:space="preserve">Strategic Question to Plant</w:t>
            </w:r>
          </w:p>
          <w:p>
            <w:pPr>
              <w:spacing w:after="0" w:before="0"/>
            </w:pPr>
            <w:r>
              <w:rPr>
                <w:rFonts w:ascii="Arial" w:cs="Arial" w:eastAsia="Arial" w:hAnsi="Arial"/>
                <w:color w:val="1A4731"/>
                <w:sz w:val="21"/>
                <w:szCs w:val="21"/>
              </w:rPr>
              <w:t xml:space="preserve">Question to ask: "In DevOps, teams using LLM agents for incident response and runbook automation typically see 20–40% MTTD/MTTR improvements. For CTW, I see the analogous opportunity in QA cycle time and localisation throughput. How are those currently measured, and do you have a target improvement in mind for this role's first year?" — This signals operational maturity and anchors the conversation in business impact.</w:t>
            </w:r>
          </w:p>
        </w:tc>
      </w:tr>
    </w:tbl>
    <w:p>
      <w:pPr>
        <w:spacing w:after="0" w:before="14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3.5 Agent Evaluation Frameworks — Deeper Dive</w:t>
      </w:r>
    </w:p>
    <w:p>
      <w:pPr>
        <w:spacing w:after="60" w:before="60"/>
      </w:pPr>
      <w:r>
        <w:rPr>
          <w:rFonts w:ascii="Arial" w:cs="Arial" w:eastAsia="Arial" w:hAnsi="Arial"/>
          <w:color w:val="404040"/>
          <w:sz w:val="22"/>
          <w:szCs w:val="22"/>
        </w:rPr>
        <w:t xml:space="preserve">Being fluent in agent evaluation is what separates a research scientist from a researcher. If you can name the evaluation stack you'd use before a line of production code is written, you signal that you build with accountability in mind from day one.</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Tier 1 — Offline Evaluation (Before Production)</w:t>
      </w:r>
    </w:p>
    <w:p>
      <w:pPr>
        <w:pStyle w:val="ListParagraph"/>
        <w:numPr>
          <w:ilvl w:val="0"/>
          <w:numId w:val="3"/>
        </w:numPr>
        <w:spacing w:after="55" w:before="55"/>
      </w:pPr>
      <w:r>
        <w:rPr>
          <w:rFonts w:ascii="Arial" w:cs="Arial" w:eastAsia="Arial" w:hAnsi="Arial"/>
          <w:b w:val="false"/>
          <w:bCs w:val="false"/>
          <w:color w:val="1A1A1A"/>
          <w:sz w:val="22"/>
          <w:szCs w:val="22"/>
        </w:rPr>
        <w:t xml:space="preserve">Golden test sets — curated examples of correct agent behavior: the right tool is called with the right arguments for a given input. For CTW: a QA agent's golden set would include known bugs from previous game builds that the agent should detect; a localisation agent's golden set would include translation pairs with known correct glossary application.</w:t>
      </w:r>
    </w:p>
    <w:p>
      <w:pPr>
        <w:pStyle w:val="ListParagraph"/>
        <w:numPr>
          <w:ilvl w:val="0"/>
          <w:numId w:val="3"/>
        </w:numPr>
        <w:spacing w:after="55" w:before="55"/>
      </w:pPr>
      <w:r>
        <w:rPr>
          <w:rFonts w:ascii="Arial" w:cs="Arial" w:eastAsia="Arial" w:hAnsi="Arial"/>
          <w:b w:val="false"/>
          <w:bCs w:val="false"/>
          <w:color w:val="1A1A1A"/>
          <w:sz w:val="22"/>
          <w:szCs w:val="22"/>
        </w:rPr>
        <w:t xml:space="preserve">Task completion rate (TCR) — primary metric: did the agent accomplish the goal? Measured against a held-out benchmark. For multi-step workflows, measure both full-task completion and sub-task completion to isolate where in the pipeline failures occur.</w:t>
      </w:r>
    </w:p>
    <w:p>
      <w:pPr>
        <w:pStyle w:val="ListParagraph"/>
        <w:numPr>
          <w:ilvl w:val="0"/>
          <w:numId w:val="3"/>
        </w:numPr>
        <w:spacing w:after="55" w:before="55"/>
      </w:pPr>
      <w:r>
        <w:rPr>
          <w:rFonts w:ascii="Arial" w:cs="Arial" w:eastAsia="Arial" w:hAnsi="Arial"/>
          <w:b w:val="false"/>
          <w:bCs w:val="false"/>
          <w:color w:val="1A1A1A"/>
          <w:sz w:val="22"/>
          <w:szCs w:val="22"/>
        </w:rPr>
        <w:t xml:space="preserve">Tool call accuracy — for tool-using agents: is the right tool selected, are the arguments correctly formatted and semantically valid? Track separately from TCR because a wrong tool can be called with correct format (bad selection) or the right tool can be called with malformed args (bad execution).</w:t>
      </w:r>
    </w:p>
    <w:p>
      <w:pPr>
        <w:pStyle w:val="ListParagraph"/>
        <w:numPr>
          <w:ilvl w:val="0"/>
          <w:numId w:val="3"/>
        </w:numPr>
        <w:spacing w:after="55" w:before="55"/>
      </w:pPr>
      <w:r>
        <w:rPr>
          <w:rFonts w:ascii="Arial" w:cs="Arial" w:eastAsia="Arial" w:hAnsi="Arial"/>
          <w:b w:val="false"/>
          <w:bCs w:val="false"/>
          <w:color w:val="1A1A1A"/>
          <w:sz w:val="22"/>
          <w:szCs w:val="22"/>
        </w:rPr>
        <w:t xml:space="preserve">RAGAS — open-source evaluation framework specifically for retrieval-augmented generation systems: measures faithfulness, answer relevancy, context precision and recall. Relevant if CTW's localisation agent retrieves from a translation memory or game lore knowledge base.</w:t>
      </w:r>
    </w:p>
    <w:p>
      <w:pPr>
        <w:pStyle w:val="ListParagraph"/>
        <w:numPr>
          <w:ilvl w:val="0"/>
          <w:numId w:val="3"/>
        </w:numPr>
        <w:spacing w:after="55" w:before="55"/>
      </w:pPr>
      <w:r>
        <w:rPr>
          <w:rFonts w:ascii="Arial" w:cs="Arial" w:eastAsia="Arial" w:hAnsi="Arial"/>
          <w:b w:val="false"/>
          <w:bCs w:val="false"/>
          <w:color w:val="1A1A1A"/>
          <w:sz w:val="22"/>
          <w:szCs w:val="22"/>
        </w:rPr>
        <w:t xml:space="preserve">LLM-as-judge — use a stronger model (GPT-4o, Claude Opus) to evaluate the output of your production model. Define a rubric per task type (localisation quality rubric, QA report quality rubric). Measure agreement rate between LLM judge and human raters — target &gt;80% inter-rater agreement before trusting the judge as a proxy metric.</w:t>
      </w:r>
    </w:p>
    <w:p>
      <w:pPr>
        <w:pStyle w:val="ListParagraph"/>
        <w:numPr>
          <w:ilvl w:val="0"/>
          <w:numId w:val="3"/>
        </w:numPr>
        <w:spacing w:after="55" w:before="55"/>
      </w:pPr>
      <w:r>
        <w:rPr>
          <w:rFonts w:ascii="Arial" w:cs="Arial" w:eastAsia="Arial" w:hAnsi="Arial"/>
          <w:b w:val="false"/>
          <w:bCs w:val="false"/>
          <w:color w:val="1A1A1A"/>
          <w:sz w:val="22"/>
          <w:szCs w:val="22"/>
        </w:rPr>
        <w:t xml:space="preserve">Hallucination detection — for localisation agents: check that output entity names match the source (character names, place names, item names). For QA report agents: check that bug descriptions reference only elements that exist in the game build. Use constrained generation (grammar-based or function calling) where possible to structurally prevent hallucination classes.</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Tier 2 — Shadow / Canary Evaluation (Pre-Production)</w:t>
      </w:r>
    </w:p>
    <w:p>
      <w:pPr>
        <w:pStyle w:val="ListParagraph"/>
        <w:numPr>
          <w:ilvl w:val="0"/>
          <w:numId w:val="3"/>
        </w:numPr>
        <w:spacing w:after="55" w:before="55"/>
      </w:pPr>
      <w:r>
        <w:rPr>
          <w:rFonts w:ascii="Arial" w:cs="Arial" w:eastAsia="Arial" w:hAnsi="Arial"/>
          <w:b w:val="false"/>
          <w:bCs w:val="false"/>
          <w:color w:val="1A1A1A"/>
          <w:sz w:val="22"/>
          <w:szCs w:val="22"/>
        </w:rPr>
        <w:t xml:space="preserve">Shadow deployment — run the agent in parallel with the existing human process. Agent output is logged but not acted on. Compare agent decisions against human decisions over 2–4 weeks. Measure divergence rate and audit all divergences manually. This is how you build internal confidence before replacing the human step.</w:t>
      </w:r>
    </w:p>
    <w:p>
      <w:pPr>
        <w:pStyle w:val="ListParagraph"/>
        <w:numPr>
          <w:ilvl w:val="0"/>
          <w:numId w:val="3"/>
        </w:numPr>
        <w:spacing w:after="55" w:before="55"/>
      </w:pPr>
      <w:r>
        <w:rPr>
          <w:rFonts w:ascii="Arial" w:cs="Arial" w:eastAsia="Arial" w:hAnsi="Arial"/>
          <w:b w:val="false"/>
          <w:bCs w:val="false"/>
          <w:color w:val="1A1A1A"/>
          <w:sz w:val="22"/>
          <w:szCs w:val="22"/>
        </w:rPr>
        <w:t xml:space="preserve">Canary rollout — route a small % of real traffic (5–10%) through the agent. Monitor downstream KPIs (bug escape rate for QA agent, player CSAT for localisation agent, ROAS delta for recommendation agent) versus the control group. Gradually increase allocation as confidence grows.</w:t>
      </w:r>
    </w:p>
    <w:p>
      <w:pPr>
        <w:pStyle w:val="ListParagraph"/>
        <w:numPr>
          <w:ilvl w:val="0"/>
          <w:numId w:val="3"/>
        </w:numPr>
        <w:spacing w:after="55" w:before="55"/>
      </w:pPr>
      <w:r>
        <w:rPr>
          <w:rFonts w:ascii="Arial" w:cs="Arial" w:eastAsia="Arial" w:hAnsi="Arial"/>
          <w:b w:val="false"/>
          <w:bCs w:val="false"/>
          <w:color w:val="1A1A1A"/>
          <w:sz w:val="22"/>
          <w:szCs w:val="22"/>
        </w:rPr>
        <w:t xml:space="preserve">A/B testing — for recommendation and marketing agents where business impact is directly measurable: randomised experiment comparing agent-assisted vs. baseline. Primary metric defined before the test (not post-hoc).</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Tier 3 — Production Monitoring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Catches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Fallback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 of agent runs that fail and revert to human/rule-based backup — leading indicator of model degradation or distribution shift.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Escalation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 of runs that hit a HITL checkpoint and require human review — if this increases, the agent is encountering inputs it wasn't designed for.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Latency p50 / p95 / p99</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LLM calls are slow. p95 and p99 latency determines whether an agent fits a synchronous workflow or needs async processing. Critical for QA pipelines with build-time deadlines.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Cost per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LLM API cost × volume. At G123 scale (31+ titles, monthly releases), cost compounds fast. Track cost-per-run by task type and set budget alerts.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Regression on golden set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Run the offline golden set as a scheduled job after every model/prompt update. Alert if TCR drops more than 2 percentage points from baseline. This is the safety net for prompt engineering changes.</w:t>
            </w:r>
          </w:p>
        </w:tc>
      </w:tr>
    </w:tbl>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Frameworks and Tooling</w:t>
      </w:r>
    </w:p>
    <w:p>
      <w:pPr>
        <w:pStyle w:val="ListParagraph"/>
        <w:numPr>
          <w:ilvl w:val="0"/>
          <w:numId w:val="3"/>
        </w:numPr>
        <w:spacing w:after="55" w:before="55"/>
      </w:pPr>
      <w:r>
        <w:rPr>
          <w:rFonts w:ascii="Arial" w:cs="Arial" w:eastAsia="Arial" w:hAnsi="Arial"/>
          <w:b w:val="false"/>
          <w:bCs w:val="false"/>
          <w:color w:val="1A1A1A"/>
          <w:sz w:val="22"/>
          <w:szCs w:val="22"/>
        </w:rPr>
        <w:t xml:space="preserve">LangSmith (LangChain) — trace logging, evaluation datasets, LLM-as-judge at scale. Best integrated if using LangChain/LangGraph for orchestration.</w:t>
      </w:r>
    </w:p>
    <w:p>
      <w:pPr>
        <w:pStyle w:val="ListParagraph"/>
        <w:numPr>
          <w:ilvl w:val="0"/>
          <w:numId w:val="3"/>
        </w:numPr>
        <w:spacing w:after="55" w:before="55"/>
      </w:pPr>
      <w:r>
        <w:rPr>
          <w:rFonts w:ascii="Arial" w:cs="Arial" w:eastAsia="Arial" w:hAnsi="Arial"/>
          <w:b w:val="false"/>
          <w:bCs w:val="false"/>
          <w:color w:val="1A1A1A"/>
          <w:sz w:val="22"/>
          <w:szCs w:val="22"/>
        </w:rPr>
        <w:t xml:space="preserve">Braintrust — standalone eval platform, model-agnostic, strong support for A/B prompt comparison and regression tracking. Good choice if not committed to LangChain.</w:t>
      </w:r>
    </w:p>
    <w:p>
      <w:pPr>
        <w:pStyle w:val="ListParagraph"/>
        <w:numPr>
          <w:ilvl w:val="0"/>
          <w:numId w:val="3"/>
        </w:numPr>
        <w:spacing w:after="55" w:before="55"/>
      </w:pPr>
      <w:r>
        <w:rPr>
          <w:rFonts w:ascii="Arial" w:cs="Arial" w:eastAsia="Arial" w:hAnsi="Arial"/>
          <w:b w:val="false"/>
          <w:bCs w:val="false"/>
          <w:color w:val="1A1A1A"/>
          <w:sz w:val="22"/>
          <w:szCs w:val="22"/>
        </w:rPr>
        <w:t xml:space="preserve">DeepEval — open-source, pytest-native, covers RAGAS-style metrics plus hallucination and faithfulness. Low barrier to entry for offline evals.</w:t>
      </w:r>
    </w:p>
    <w:p>
      <w:pPr>
        <w:pStyle w:val="ListParagraph"/>
        <w:numPr>
          <w:ilvl w:val="0"/>
          <w:numId w:val="3"/>
        </w:numPr>
        <w:spacing w:after="55" w:before="55"/>
      </w:pPr>
      <w:r>
        <w:rPr>
          <w:rFonts w:ascii="Arial" w:cs="Arial" w:eastAsia="Arial" w:hAnsi="Arial"/>
          <w:b w:val="false"/>
          <w:bCs w:val="false"/>
          <w:color w:val="1A1A1A"/>
          <w:sz w:val="22"/>
          <w:szCs w:val="22"/>
        </w:rPr>
        <w:t xml:space="preserve">Weights &amp; Biases (W&amp;B) — broader MLOps platform; trace logging + experiment tracking in one place. Already used for model training runs; extending to agent evals keeps the toolchain unified.</w:t>
      </w:r>
    </w:p>
    <w:p>
      <w:pPr>
        <w:pStyle w:val="ListParagraph"/>
        <w:numPr>
          <w:ilvl w:val="0"/>
          <w:numId w:val="3"/>
        </w:numPr>
        <w:spacing w:after="55" w:before="55"/>
      </w:pPr>
      <w:r>
        <w:rPr>
          <w:rFonts w:ascii="Arial" w:cs="Arial" w:eastAsia="Arial" w:hAnsi="Arial"/>
          <w:b w:val="false"/>
          <w:bCs w:val="false"/>
          <w:color w:val="1A1A1A"/>
          <w:sz w:val="22"/>
          <w:szCs w:val="22"/>
        </w:rPr>
        <w:t xml:space="preserve">PromptFoo — open-source CLI for prompt regression testing. Useful for validating that prompt changes don't degrade performance before merging.</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How to Say This</w:t>
            </w:r>
          </w:p>
          <w:p>
            <w:pPr>
              <w:spacing w:after="0" w:before="0"/>
            </w:pPr>
            <w:r>
              <w:rPr>
                <w:rFonts w:ascii="Arial" w:cs="Arial" w:eastAsia="Arial" w:hAnsi="Arial"/>
                <w:color w:val="1F3864"/>
                <w:sz w:val="21"/>
                <w:szCs w:val="21"/>
              </w:rPr>
              <w:t xml:space="preserve">Line to use: "Before any agent goes to production, I run three gates: offline eval against a golden test set with TCR and tool call accuracy, two weeks of shadow deployment to measure divergence from the human baseline, and a canary with business KPIs gated at 5% traffic. LangSmith or Braintrust for tracing. Regression suite runs on every prompt update. That's the minimum bar for me to call something production-ready."</w:t>
            </w:r>
          </w:p>
        </w:tc>
      </w:tr>
    </w:tbl>
    <w:p>
      <w:pPr>
        <w:spacing w:after="0" w:before="140"/>
      </w:pPr>
      <w:r>
        <w:rPr>
          <w:rFonts w:ascii="Arial" w:cs="Arial" w:eastAsia="Arial" w:hAnsi="Arial"/>
          <w:sz w:val="22"/>
          <w:szCs w:val="22"/>
        </w:rPr>
        <w:t xml:space="preserve"/>
      </w:r>
    </w:p>
    <w:p>
      <w:pPr>
        <w:pStyle w:val="Heading1"/>
        <w:pageBreakBefore/>
        <w:shd w:fill="1F3864" w:val="clear"/>
        <w:spacing w:after="120" w:before="280"/>
        <w:ind w:left="160"/>
      </w:pPr>
      <w:r>
        <w:rPr>
          <w:rFonts w:ascii="Arial" w:cs="Arial" w:eastAsia="Arial" w:hAnsi="Arial"/>
          <w:b/>
          <w:bCs/>
          <w:color w:val="FFFFFF"/>
          <w:sz w:val="30"/>
          <w:szCs w:val="30"/>
        </w:rPr>
        <w:t xml:space="preserve">4. Gaps to Reference — Show Research Depth</w:t>
      </w:r>
    </w:p>
    <w:p>
      <w:pPr>
        <w:spacing w:after="0" w:before="60"/>
      </w:pPr>
      <w:r>
        <w:rPr>
          <w:rFonts w:ascii="Arial" w:cs="Arial" w:eastAsia="Arial" w:hAnsi="Arial"/>
          <w:sz w:val="22"/>
          <w:szCs w:val="22"/>
        </w:rPr>
        <w:t xml:space="preserve"/>
      </w:r>
    </w:p>
    <w:p>
      <w:pPr>
        <w:spacing w:after="60" w:before="60"/>
      </w:pPr>
      <w:r>
        <w:rPr>
          <w:rFonts w:ascii="Arial" w:cs="Arial" w:eastAsia="Arial" w:hAnsi="Arial"/>
          <w:color w:val="404040"/>
          <w:sz w:val="22"/>
          <w:szCs w:val="22"/>
        </w:rPr>
        <w:t xml:space="preserve">Referencing specific gaps — with evidence for why they exist — signals that you understand the business well enough to identify problems they may not have fully articulated yet. Use these selectively, not as a list of criticisms.</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4.1 Recommendation System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Platform-Level Gap to Name Explicitly</w:t>
            </w:r>
          </w:p>
          <w:p>
            <w:pPr>
              <w:spacing w:after="0" w:before="0"/>
            </w:pPr>
            <w:r>
              <w:rPr>
                <w:rFonts w:ascii="Arial" w:cs="Arial" w:eastAsia="Arial" w:hAnsi="Arial"/>
                <w:color w:val="1F3864"/>
                <w:sz w:val="21"/>
                <w:szCs w:val="21"/>
              </w:rPr>
              <w:t xml:space="preserve">The sharpest framing of the gap: CTW's current AI optimises advertising spend to get users INTO individual games (ROAS). It does not personalise the browser platform experience once users are there. These are two fundamentally different ML problems — acquisition ML vs. retention/engagement ML. CTW has built the first; the second is entirely unbuilt.</w:t>
            </w:r>
          </w:p>
        </w:tc>
      </w:tr>
    </w:tbl>
    <w:p>
      <w:pPr>
        <w:spacing w:after="0" w:before="80"/>
      </w:pPr>
      <w:r>
        <w:rPr>
          <w:rFonts w:ascii="Arial" w:cs="Arial" w:eastAsia="Arial" w:hAnsi="Arial"/>
          <w:sz w:val="22"/>
          <w:szCs w:val="22"/>
        </w:rPr>
        <w:t xml:space="preserve"/>
      </w:r>
    </w:p>
    <w:p>
      <w:pPr>
        <w:pStyle w:val="ListParagraph"/>
        <w:numPr>
          <w:ilvl w:val="0"/>
          <w:numId w:val="3"/>
        </w:numPr>
        <w:spacing w:after="55" w:before="55"/>
      </w:pPr>
      <w:r>
        <w:rPr>
          <w:rFonts w:ascii="Arial" w:cs="Arial" w:eastAsia="Arial" w:hAnsi="Arial"/>
          <w:b w:val="false"/>
          <w:bCs w:val="false"/>
          <w:color w:val="1A1A1A"/>
          <w:sz w:val="22"/>
          <w:szCs w:val="22"/>
        </w:rPr>
        <w:t xml:space="preserve">No in-platform cross-game discovery engine. The current ROAS system is an advertising spend optimiser — it predicts which users will pay, so CTW can bid for them on external ad networks. A platform with 31 titles and zero-install switching has a massive untapped engagement opportunity: once a user is on G123, the cost to recommend another game is essentially zero. No ML system exploits this.</w:t>
      </w:r>
    </w:p>
    <w:p>
      <w:pPr>
        <w:pStyle w:val="ListParagraph"/>
        <w:numPr>
          <w:ilvl w:val="0"/>
          <w:numId w:val="3"/>
        </w:numPr>
        <w:spacing w:after="55" w:before="55"/>
      </w:pPr>
      <w:r>
        <w:rPr>
          <w:rFonts w:ascii="Arial" w:cs="Arial" w:eastAsia="Arial" w:hAnsi="Arial"/>
          <w:b w:val="false"/>
          <w:bCs w:val="false"/>
          <w:color w:val="1A1A1A"/>
          <w:sz w:val="22"/>
          <w:szCs w:val="22"/>
        </w:rPr>
        <w:t xml:space="preserve">No multi-game player profile. The most significant architectural gap: there is no unified player identity that aggregates behavioral signals across all 31+ titles. Without a cross-game profile (play sessions by genre, IP affinity, spending patterns, churn risk), you cannot do cross-game recommendation, warm-start new titles from behavioral similarity, or predict platform-level LTV. Every game currently treats every player as a stranger.</w:t>
      </w:r>
    </w:p>
    <w:p>
      <w:pPr>
        <w:pStyle w:val="ListParagraph"/>
        <w:numPr>
          <w:ilvl w:val="0"/>
          <w:numId w:val="3"/>
        </w:numPr>
        <w:spacing w:after="55" w:before="55"/>
      </w:pPr>
      <w:r>
        <w:rPr>
          <w:rFonts w:ascii="Arial" w:cs="Arial" w:eastAsia="Arial" w:hAnsi="Arial"/>
          <w:b w:val="false"/>
          <w:bCs w:val="false"/>
          <w:color w:val="1A1A1A"/>
          <w:sz w:val="22"/>
          <w:szCs w:val="22"/>
        </w:rPr>
        <w:t xml:space="preserve">No player LTV segmentation for existing users. ROAS measures new-user acquisition payback. There's no evidence of a model that identifies high-value players within the platform and adapts their experience or marketing accordingly.</w:t>
      </w:r>
    </w:p>
    <w:p>
      <w:pPr>
        <w:pStyle w:val="ListParagraph"/>
        <w:numPr>
          <w:ilvl w:val="0"/>
          <w:numId w:val="3"/>
        </w:numPr>
        <w:spacing w:after="55" w:before="55"/>
      </w:pPr>
      <w:r>
        <w:rPr>
          <w:rFonts w:ascii="Arial" w:cs="Arial" w:eastAsia="Arial" w:hAnsi="Arial"/>
          <w:b w:val="false"/>
          <w:bCs w:val="false"/>
          <w:color w:val="1A1A1A"/>
          <w:sz w:val="22"/>
          <w:szCs w:val="22"/>
        </w:rPr>
        <w:t xml:space="preserve">Cold-start relies on a separate weaker model rather than cross-game transfer. Modern approaches (meta-learning, cross-domain embedding transfer) would warm-start a new title from day one using behavioural similarity to existing games — the multi-game profile is the prerequisite.</w:t>
      </w:r>
    </w:p>
    <w:p>
      <w:pPr>
        <w:pStyle w:val="ListParagraph"/>
        <w:numPr>
          <w:ilvl w:val="0"/>
          <w:numId w:val="3"/>
        </w:numPr>
        <w:spacing w:after="55" w:before="55"/>
      </w:pPr>
      <w:r>
        <w:rPr>
          <w:rFonts w:ascii="Arial" w:cs="Arial" w:eastAsia="Arial" w:hAnsi="Arial"/>
          <w:b w:val="false"/>
          <w:bCs w:val="false"/>
          <w:color w:val="1A1A1A"/>
          <w:sz w:val="22"/>
          <w:szCs w:val="22"/>
        </w:rPr>
        <w:t xml:space="preserve">Session-level recommendation is absent. Browser gaming sessions are short. Real-time in-session recommendation (what to play next, adaptive onboarding) is an unbuilt capability.</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30" w:before="0"/>
            </w:pPr>
            <w:r>
              <w:rPr>
                <w:rFonts w:ascii="Arial" w:cs="Arial" w:eastAsia="Arial" w:hAnsi="Arial"/>
                <w:b/>
                <w:bCs/>
                <w:color w:val="1A4731"/>
                <w:sz w:val="20"/>
                <w:szCs w:val="20"/>
              </w:rPr>
              <w:t xml:space="preserve">Research to Name-Drop: LLANIME</w:t>
            </w:r>
          </w:p>
          <w:p>
            <w:pPr>
              <w:spacing w:after="0" w:before="0"/>
            </w:pPr>
            <w:r>
              <w:rPr>
                <w:rFonts w:ascii="Arial" w:cs="Arial" w:eastAsia="Arial" w:hAnsi="Arial"/>
                <w:color w:val="1A4731"/>
                <w:sz w:val="21"/>
                <w:szCs w:val="21"/>
              </w:rPr>
              <w:t xml:space="preserve">LLANIME (Agarwal &amp; Sharma, IEEE DeSE 2023) proved that open-source LLMs (FLAN-T5, Falcon, Vicuna, LLaMA) can drive anime recommendation from metadata alone — titles, genres, descriptions. The critical limitation of the paper: no user behavioral data. CTW has 261M users' actual play, engagement, and spend behavior across 31 anime titles. The LLANIME approach + CTW's behavioral corpus = an anime-native recommendation system that academic researchers couldn't build. Name-drop the paper to signal you know the research landscape.</w:t>
            </w:r>
          </w:p>
        </w:tc>
      </w:tr>
    </w:tbl>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4.2 Localization Pipeline Gaps</w:t>
      </w:r>
    </w:p>
    <w:p>
      <w:pPr>
        <w:pStyle w:val="ListParagraph"/>
        <w:numPr>
          <w:ilvl w:val="0"/>
          <w:numId w:val="3"/>
        </w:numPr>
        <w:spacing w:after="55" w:before="55"/>
      </w:pPr>
      <w:r>
        <w:rPr>
          <w:rFonts w:ascii="Arial" w:cs="Arial" w:eastAsia="Arial" w:hAnsi="Arial"/>
          <w:b w:val="false"/>
          <w:bCs w:val="false"/>
          <w:color w:val="1A1A1A"/>
          <w:sz w:val="22"/>
          <w:szCs w:val="22"/>
        </w:rPr>
        <w:t xml:space="preserve">No domain-specific anime terminology system. Generic MT — including LLMs — fails on honorifics, character-specific speech register, franchise-specific proper nouns, and cultural wordplay. A managed glossary applied at inference time is the fix.</w:t>
      </w:r>
    </w:p>
    <w:p>
      <w:pPr>
        <w:pStyle w:val="ListParagraph"/>
        <w:numPr>
          <w:ilvl w:val="0"/>
          <w:numId w:val="3"/>
        </w:numPr>
        <w:spacing w:after="55" w:before="55"/>
      </w:pPr>
      <w:r>
        <w:rPr>
          <w:rFonts w:ascii="Arial" w:cs="Arial" w:eastAsia="Arial" w:hAnsi="Arial"/>
          <w:b w:val="false"/>
          <w:bCs w:val="false"/>
          <w:color w:val="1A1A1A"/>
          <w:sz w:val="22"/>
          <w:szCs w:val="22"/>
        </w:rPr>
        <w:t xml:space="preserve">No automated localisation quality evaluation. Scaling to 50+ titles internationally without automated QA means human review becomes the bottleneck. COMET/BLEURT-based scoring plus hallucination detection is standard practice elsewhere.</w:t>
      </w:r>
    </w:p>
    <w:p>
      <w:pPr>
        <w:pStyle w:val="ListParagraph"/>
        <w:numPr>
          <w:ilvl w:val="0"/>
          <w:numId w:val="3"/>
        </w:numPr>
        <w:spacing w:after="55" w:before="55"/>
      </w:pPr>
      <w:r>
        <w:rPr>
          <w:rFonts w:ascii="Arial" w:cs="Arial" w:eastAsia="Arial" w:hAnsi="Arial"/>
          <w:b w:val="false"/>
          <w:bCs w:val="false"/>
          <w:color w:val="1A1A1A"/>
          <w:sz w:val="22"/>
          <w:szCs w:val="22"/>
        </w:rPr>
        <w:t xml:space="preserve">No consistency tooling across titles. Each game accrues its own terminology. Without a centralised translation memory, inconsistencies compound at scale.</w:t>
      </w:r>
    </w:p>
    <w:p>
      <w:pPr>
        <w:pStyle w:val="ListParagraph"/>
        <w:numPr>
          <w:ilvl w:val="0"/>
          <w:numId w:val="3"/>
        </w:numPr>
        <w:spacing w:after="55" w:before="55"/>
      </w:pPr>
      <w:r>
        <w:rPr>
          <w:rFonts w:ascii="Arial" w:cs="Arial" w:eastAsia="Arial" w:hAnsi="Arial"/>
          <w:b w:val="false"/>
          <w:bCs w:val="false"/>
          <w:color w:val="1A1A1A"/>
          <w:sz w:val="22"/>
          <w:szCs w:val="22"/>
        </w:rPr>
        <w:t xml:space="preserve">CV and NLP pipelines are not integrated. The most immediate multimodal win is a single pipeline that generates localised marketing assets — adapted visual and text copy — for each language market together. Currently these are separate tracks.</w:t>
      </w:r>
    </w:p>
    <w:p>
      <w:pPr>
        <w:pStyle w:val="ListParagraph"/>
        <w:numPr>
          <w:ilvl w:val="0"/>
          <w:numId w:val="3"/>
        </w:numPr>
        <w:spacing w:after="55" w:before="55"/>
      </w:pPr>
      <w:r>
        <w:rPr>
          <w:rFonts w:ascii="Arial" w:cs="Arial" w:eastAsia="Arial" w:hAnsi="Arial"/>
          <w:b w:val="false"/>
          <w:bCs w:val="false"/>
          <w:color w:val="1A1A1A"/>
          <w:sz w:val="22"/>
          <w:szCs w:val="22"/>
        </w:rPr>
        <w:t xml:space="preserve">Voice/audio localisation is an emerging gap. As games add voice acting, the text-only NLP pipeline will hit a wall. No hiring signal exists for audio/speech capabilities yet.</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4.2b LLM Translation Pipeline — How You'd Build It</w:t>
      </w:r>
    </w:p>
    <w:p>
      <w:pPr>
        <w:spacing w:after="60" w:before="60"/>
      </w:pPr>
      <w:r>
        <w:rPr>
          <w:rFonts w:ascii="Arial" w:cs="Arial" w:eastAsia="Arial" w:hAnsi="Arial"/>
          <w:color w:val="404040"/>
          <w:sz w:val="22"/>
          <w:szCs w:val="22"/>
        </w:rPr>
        <w:t xml:space="preserve">This is the 'show your work' answer if asked how you'd fix the localisation pipeline. A concrete four-stage architecture, not a vague answer about 'using LLMs for translation'.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Implementation 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Stage 1 — Pre-processing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Segment game dialogue into translation units (TU). Run entity recognition to extract character names, item names, location names, game-specific terms. Tag all entities with glossary IDs so the downstream model knows not to translate them. Query translation memory (TM) database — if a near-identical TU was previously approved, reuse it (fuzzy match threshold: 85%+). TM lookup is both a quality and cost control: reuse costs $0, LLM translation costs per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Stage 2 — Translation (tiered by content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Tier A — story dialogue, character speech: GPT-4o or Claude Sonnet with a system prompt containing character voice guide (speech register, personality), active glossary entries, and surrounding context window (5–10 preceding TUs). Context is what generic MT gets wrong. Tier B — UI strings, event descriptions, item text: DeepL API with custom glossary attached. Faster, cheaper, good enough for non-narrative content. Tier C — low-resource languages (&lt;10% player share): Meta NLLB-200 (handles 200 languages). Lower quality ceiling; route to human post-edit queue.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Stage 3 — Post-processing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Glossary validation: verify all tagged entities appear in the output unchanged (regex + fuzzy match). Flag any entity that was dropped or modified. Format preservation: confirm HTML tags, variable placeholders ({player_name}, {item_count}), and line break codes survived translation. Length constraint check: UI strings have display limits; alert if translation exceeds character budget. Back-translation check for Tier A: translate output back to source language → compute semantic similarity → flag if below 0.85 cosine similarity.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Stage 4 — QA &amp; Approval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COMET scoring (wmt20-comet-da): reference-free quality estimation — alert if score below threshold (calibrate per language pair). Hallucination detection: check output contains no entity names that weren't in the source. LLM judge: for Tier A, use Claude to evaluate naturalness and character voice consistency against the voice guide. Human review queue: all content below COMET threshold, all Tier A content, and all content touching IP-licensed characters (Doraemon, etc.) → human sign-off before deployment.</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Tooling</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Choice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Translation memory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Custom PostgreSQL store with pgvector for fuzzy TU lookup, or Phrase TM / Memsource for off-the-shelf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Glossary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Internal database: per-game term entries + per-IP-holder approved terms. Injected at inference time via system prompt or function calling.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Pipeline orchestration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LangGraph for multi-step workflow with state persistence. Temporal for batch processing with retry/dead-letter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Quality evaluation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COMET (via evaluate library), DeepEval for hallucination checks, W&amp;B for logging eval metrics per language pair over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Language coverage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12 primary languages (GPT-4o/Claude): JP, EN, ZH, KO, FR, DE, ES, PT, IT, TH, ID, VI. NLLB-200 for remaining markets.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30" w:before="0"/>
            </w:pPr>
            <w:r>
              <w:rPr>
                <w:rFonts w:ascii="Arial" w:cs="Arial" w:eastAsia="Arial" w:hAnsi="Arial"/>
                <w:b/>
                <w:bCs/>
                <w:color w:val="1F3864"/>
                <w:sz w:val="20"/>
                <w:szCs w:val="20"/>
              </w:rPr>
              <w:t xml:space="preserve">How to Say This</w:t>
            </w:r>
          </w:p>
          <w:p>
            <w:pPr>
              <w:spacing w:after="0" w:before="0"/>
            </w:pPr>
            <w:r>
              <w:rPr>
                <w:rFonts w:ascii="Arial" w:cs="Arial" w:eastAsia="Arial" w:hAnsi="Arial"/>
                <w:color w:val="1F3864"/>
                <w:sz w:val="21"/>
                <w:szCs w:val="21"/>
              </w:rPr>
              <w:t xml:space="preserve">Line to use: "The current pipeline appears to be human-led MT. What I'd build first is a tiered LLM pipeline: narrative dialogue goes through GPT-4o or Claude with a per-character voice guide and glossary injection; UI strings go through DeepL with custom glossaries; low-resource languages use NLLB-200 with a human post-edit queue. COMET scoring and glossary validation run automatically before anything hits the human review queue — so reviewers only see content that actually needs their attention."</w:t>
            </w:r>
          </w:p>
        </w:tc>
      </w:tr>
    </w:tbl>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4.3 How to Raise Gaps Constructively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50"/>
              <w:left w:type="dxa" w:w="220"/>
              <w:bottom w:type="dxa" w:w="150"/>
              <w:right w:type="dxa" w:w="220"/>
            </w:tcMar>
          </w:tcPr>
          <w:p>
            <w:pPr>
              <w:spacing w:after="0" w:before="0"/>
            </w:pPr>
            <w:r>
              <w:rPr>
                <w:rFonts w:ascii="Arial" w:cs="Arial" w:eastAsia="Arial" w:hAnsi="Arial"/>
                <w:color w:val="1F3864"/>
                <w:sz w:val="21"/>
                <w:szCs w:val="21"/>
              </w:rPr>
              <w:t xml:space="preserve">Frame gaps as opportunities, not criticisms. The line to use: "I noticed the current system focuses on X — what's your thinking about moving toward Y? I ask because I've seen [specific approach] deliver [specific result] in a similar context." This shows analytical depth while positioning you as a collaborative problem-solver rather than a critic.</w:t>
            </w:r>
          </w:p>
        </w:tc>
      </w:tr>
    </w:tbl>
    <w:p>
      <w:pPr>
        <w:spacing w:after="0" w:before="140"/>
      </w:pPr>
      <w:r>
        <w:rPr>
          <w:rFonts w:ascii="Arial" w:cs="Arial" w:eastAsia="Arial" w:hAnsi="Arial"/>
          <w:sz w:val="22"/>
          <w:szCs w:val="22"/>
        </w:rPr>
        <w:t xml:space="preserve"/>
      </w:r>
    </w:p>
    <w:p>
      <w:pPr>
        <w:pStyle w:val="Heading1"/>
        <w:pageBreakBefore/>
        <w:shd w:fill="1F3864" w:val="clear"/>
        <w:spacing w:after="120" w:before="280"/>
        <w:ind w:left="160"/>
      </w:pPr>
      <w:r>
        <w:rPr>
          <w:rFonts w:ascii="Arial" w:cs="Arial" w:eastAsia="Arial" w:hAnsi="Arial"/>
          <w:b/>
          <w:bCs/>
          <w:color w:val="FFFFFF"/>
          <w:sz w:val="30"/>
          <w:szCs w:val="30"/>
        </w:rPr>
        <w:t xml:space="preserve">5. Questions to Ask Them</w:t>
      </w:r>
    </w:p>
    <w:p>
      <w:pPr>
        <w:spacing w:after="0" w:before="60"/>
      </w:pPr>
      <w:r>
        <w:rPr>
          <w:rFonts w:ascii="Arial" w:cs="Arial" w:eastAsia="Arial" w:hAnsi="Arial"/>
          <w:sz w:val="22"/>
          <w:szCs w:val="22"/>
        </w:rPr>
        <w:t xml:space="preserve"/>
      </w:r>
    </w:p>
    <w:p>
      <w:pPr>
        <w:spacing w:after="60" w:before="60"/>
      </w:pPr>
      <w:r>
        <w:rPr>
          <w:rFonts w:ascii="Arial" w:cs="Arial" w:eastAsia="Arial" w:hAnsi="Arial"/>
          <w:color w:val="404040"/>
          <w:sz w:val="22"/>
          <w:szCs w:val="22"/>
        </w:rPr>
        <w:t xml:space="preserve">Strong questions signal strategic thinking and genuine preparation. Prioritise the starred questions if time is short.</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5.1 On the AI Programme</w:t>
      </w:r>
    </w:p>
    <w:p>
      <w:pPr>
        <w:pStyle w:val="ListParagraph"/>
        <w:numPr>
          <w:ilvl w:val="0"/>
          <w:numId w:val="3"/>
        </w:numPr>
        <w:spacing w:after="55" w:before="55"/>
      </w:pPr>
      <w:r>
        <w:rPr>
          <w:rFonts w:ascii="Arial" w:cs="Arial" w:eastAsia="Arial" w:hAnsi="Arial"/>
          <w:b w:val="false"/>
          <w:bCs w:val="false"/>
          <w:color w:val="1A1A1A"/>
          <w:sz w:val="22"/>
          <w:szCs w:val="22"/>
        </w:rPr>
        <w:t xml:space="preserve">★  The ROAS system is the most visible AI capability publicly. What does the roadmap look like for moving from marketing-side AI into product-side recommendation and discovery?</w:t>
      </w:r>
    </w:p>
    <w:p>
      <w:pPr>
        <w:pStyle w:val="ListParagraph"/>
        <w:numPr>
          <w:ilvl w:val="0"/>
          <w:numId w:val="3"/>
        </w:numPr>
        <w:spacing w:after="55" w:before="55"/>
      </w:pPr>
      <w:r>
        <w:rPr>
          <w:rFonts w:ascii="Arial" w:cs="Arial" w:eastAsia="Arial" w:hAnsi="Arial"/>
          <w:b w:val="false"/>
          <w:bCs w:val="false"/>
          <w:color w:val="1A1A1A"/>
          <w:sz w:val="22"/>
          <w:szCs w:val="22"/>
        </w:rPr>
        <w:t xml:space="preserve">★  For the multimodal gaming model — is the expectation to fine-tune an existing open-weight model (Qwen-VL, InternVL) on CTW's data, or to explore training from a game-specific corpus? I have a view, but I want to understand the internal thinking.</w:t>
      </w:r>
    </w:p>
    <w:p>
      <w:pPr>
        <w:pStyle w:val="ListParagraph"/>
        <w:numPr>
          <w:ilvl w:val="0"/>
          <w:numId w:val="3"/>
        </w:numPr>
        <w:spacing w:after="55" w:before="55"/>
      </w:pPr>
      <w:r>
        <w:rPr>
          <w:rFonts w:ascii="Arial" w:cs="Arial" w:eastAsia="Arial" w:hAnsi="Arial"/>
          <w:b w:val="false"/>
          <w:bCs w:val="false"/>
          <w:color w:val="1A1A1A"/>
          <w:sz w:val="22"/>
          <w:szCs w:val="22"/>
        </w:rPr>
        <w:t xml:space="preserve">How is game telemetry currently instrumented? Is there a centralised feature store, or is data siloed per title?</w:t>
      </w:r>
    </w:p>
    <w:p>
      <w:pPr>
        <w:pStyle w:val="ListParagraph"/>
        <w:numPr>
          <w:ilvl w:val="0"/>
          <w:numId w:val="3"/>
        </w:numPr>
        <w:spacing w:after="55" w:before="55"/>
      </w:pPr>
      <w:r>
        <w:rPr>
          <w:rFonts w:ascii="Arial" w:cs="Arial" w:eastAsia="Arial" w:hAnsi="Arial"/>
          <w:b w:val="false"/>
          <w:bCs w:val="false"/>
          <w:color w:val="1A1A1A"/>
          <w:sz w:val="22"/>
          <w:szCs w:val="22"/>
        </w:rPr>
        <w:t xml:space="preserve">What does the evaluation framework look like today for existing models? How do you measure quality on the ROAS and banner generation systems?</w:t>
      </w:r>
    </w:p>
    <w:p>
      <w:pPr>
        <w:spacing w:after="0" w:before="6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5.2 On the Role &amp; Team</w:t>
      </w:r>
    </w:p>
    <w:p>
      <w:pPr>
        <w:pStyle w:val="ListParagraph"/>
        <w:numPr>
          <w:ilvl w:val="0"/>
          <w:numId w:val="3"/>
        </w:numPr>
        <w:spacing w:after="55" w:before="55"/>
      </w:pPr>
      <w:r>
        <w:rPr>
          <w:rFonts w:ascii="Arial" w:cs="Arial" w:eastAsia="Arial" w:hAnsi="Arial"/>
          <w:b w:val="false"/>
          <w:bCs w:val="false"/>
          <w:color w:val="1A1A1A"/>
          <w:sz w:val="22"/>
          <w:szCs w:val="22"/>
        </w:rPr>
        <w:t xml:space="preserve">★  How does this role interface with the existing NLP and CV Research Scientists? Is the expectation to collaborate on shared infrastructure, or are these parallel tracks?</w:t>
      </w:r>
    </w:p>
    <w:p>
      <w:pPr>
        <w:pStyle w:val="ListParagraph"/>
        <w:numPr>
          <w:ilvl w:val="0"/>
          <w:numId w:val="3"/>
        </w:numPr>
        <w:spacing w:after="55" w:before="55"/>
      </w:pPr>
      <w:r>
        <w:rPr>
          <w:rFonts w:ascii="Arial" w:cs="Arial" w:eastAsia="Arial" w:hAnsi="Arial"/>
          <w:b w:val="false"/>
          <w:bCs w:val="false"/>
          <w:color w:val="1A1A1A"/>
          <w:sz w:val="22"/>
          <w:szCs w:val="22"/>
        </w:rPr>
        <w:t xml:space="preserve">What's the split between Outcome 1 (agent deployment) and Outcome 2 (multimodal gaming model) in the first 12 months? Or are they meant to be pursued in parallel?</w:t>
      </w:r>
    </w:p>
    <w:p>
      <w:pPr>
        <w:pStyle w:val="ListParagraph"/>
        <w:numPr>
          <w:ilvl w:val="0"/>
          <w:numId w:val="3"/>
        </w:numPr>
        <w:spacing w:after="55" w:before="55"/>
      </w:pPr>
      <w:r>
        <w:rPr>
          <w:rFonts w:ascii="Arial" w:cs="Arial" w:eastAsia="Arial" w:hAnsi="Arial"/>
          <w:b w:val="false"/>
          <w:bCs w:val="false"/>
          <w:color w:val="1A1A1A"/>
          <w:sz w:val="22"/>
          <w:szCs w:val="22"/>
        </w:rPr>
        <w:t xml:space="preserve">Neil Yuki built the data platform foundation — how involved is he in the research direction for this role?</w:t>
      </w:r>
    </w:p>
    <w:p>
      <w:pPr>
        <w:spacing w:after="0" w:before="6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5.3 On the Business</w:t>
      </w:r>
    </w:p>
    <w:p>
      <w:pPr>
        <w:pStyle w:val="ListParagraph"/>
        <w:numPr>
          <w:ilvl w:val="0"/>
          <w:numId w:val="3"/>
        </w:numPr>
        <w:spacing w:after="55" w:before="55"/>
      </w:pPr>
      <w:r>
        <w:rPr>
          <w:rFonts w:ascii="Arial" w:cs="Arial" w:eastAsia="Arial" w:hAnsi="Arial"/>
          <w:b w:val="false"/>
          <w:bCs w:val="false"/>
          <w:color w:val="1A1A1A"/>
          <w:sz w:val="22"/>
          <w:szCs w:val="22"/>
        </w:rPr>
        <w:t xml:space="preserve">★  International revenue grew 11 percentage points last year. What are the primary language markets driving that, and where is the localisation pipeline the binding constraint?</w:t>
      </w:r>
    </w:p>
    <w:p>
      <w:pPr>
        <w:pStyle w:val="ListParagraph"/>
        <w:numPr>
          <w:ilvl w:val="0"/>
          <w:numId w:val="3"/>
        </w:numPr>
        <w:spacing w:after="55" w:before="55"/>
      </w:pPr>
      <w:r>
        <w:rPr>
          <w:rFonts w:ascii="Arial" w:cs="Arial" w:eastAsia="Arial" w:hAnsi="Arial"/>
          <w:b w:val="false"/>
          <w:bCs w:val="false"/>
          <w:color w:val="1A1A1A"/>
          <w:sz w:val="22"/>
          <w:szCs w:val="22"/>
        </w:rPr>
        <w:t xml:space="preserve">With 31+ active titles, how does the team currently prioritise which games get AI investment (QA automation, recommendation, etc.) first?</w:t>
      </w:r>
    </w:p>
    <w:p>
      <w:pPr>
        <w:pStyle w:val="ListParagraph"/>
        <w:numPr>
          <w:ilvl w:val="0"/>
          <w:numId w:val="3"/>
        </w:numPr>
        <w:spacing w:after="55" w:before="55"/>
      </w:pPr>
      <w:r>
        <w:rPr>
          <w:rFonts w:ascii="Arial" w:cs="Arial" w:eastAsia="Arial" w:hAnsi="Arial"/>
          <w:b w:val="false"/>
          <w:bCs w:val="false"/>
          <w:color w:val="1A1A1A"/>
          <w:sz w:val="22"/>
          <w:szCs w:val="22"/>
        </w:rPr>
        <w:t xml:space="preserve">As CTW continues to onboard new IP — how many new titles are expected in the next 12 months, and what does that imply for QA and operations overhead?</w:t>
      </w:r>
    </w:p>
    <w:p>
      <w:pPr>
        <w:spacing w:after="0" w:before="140"/>
      </w:pPr>
      <w:r>
        <w:rPr>
          <w:rFonts w:ascii="Arial" w:cs="Arial" w:eastAsia="Arial" w:hAnsi="Arial"/>
          <w:sz w:val="22"/>
          <w:szCs w:val="22"/>
        </w:rPr>
        <w:t xml:space="preserve"/>
      </w:r>
    </w:p>
    <w:p>
      <w:pPr>
        <w:pStyle w:val="Heading1"/>
        <w:shd w:fill="1F3864" w:val="clear"/>
        <w:spacing w:after="120" w:before="280"/>
        <w:ind w:left="160"/>
      </w:pPr>
      <w:r>
        <w:rPr>
          <w:rFonts w:ascii="Arial" w:cs="Arial" w:eastAsia="Arial" w:hAnsi="Arial"/>
          <w:b/>
          <w:bCs/>
          <w:color w:val="FFFFFF"/>
          <w:sz w:val="30"/>
          <w:szCs w:val="30"/>
        </w:rPr>
        <w:t xml:space="preserve">6. Things to Watch Out For</w:t>
      </w:r>
    </w:p>
    <w:p>
      <w:pPr>
        <w:spacing w:after="0" w:before="6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6.1 The Scope Tension</w:t>
      </w:r>
    </w:p>
    <w:p>
      <w:pPr>
        <w:spacing w:after="60" w:before="60"/>
      </w:pPr>
      <w:r>
        <w:rPr>
          <w:rFonts w:ascii="Arial" w:cs="Arial" w:eastAsia="Arial" w:hAnsi="Arial"/>
          <w:color w:val="1A1A1A"/>
          <w:sz w:val="22"/>
          <w:szCs w:val="22"/>
        </w:rPr>
        <w:t xml:space="preserve">The two JD outcomes are quite different in nature. Outcome 1 (production agent deployment) is an infrastructure and MLOps problem. Outcome 2 (multimodal gaming model) is a research problem. If both are expected from one person in year one, that's a very broad scope. Ask directly: "How does the team think about sequencing these two outcomes? Are there separate timelines, or is the expectation to pursue both in parallel?"</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6.2 The Deployment Culture</w:t>
      </w:r>
    </w:p>
    <w:p>
      <w:pPr>
        <w:spacing w:after="60" w:before="60"/>
      </w:pPr>
      <w:r>
        <w:rPr>
          <w:rFonts w:ascii="Arial" w:cs="Arial" w:eastAsia="Arial" w:hAnsi="Arial"/>
          <w:color w:val="1A1A1A"/>
          <w:sz w:val="22"/>
          <w:szCs w:val="22"/>
        </w:rPr>
        <w:t xml:space="preserve">CTW's in-office requirement and standard 10:00–19:00 hours signals a traditional Japanese tech company culture. The AI Research Scientist role will need to navigate between research ambition and production engineering pragmatism. Confirm: does the team ship fast and iterate, or does everything go through long review cycles? The agent deployment outcome requires the former.</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6.3 The Data Access Question</w:t>
      </w:r>
    </w:p>
    <w:p>
      <w:pPr>
        <w:spacing w:after="60" w:before="60"/>
      </w:pPr>
      <w:r>
        <w:rPr>
          <w:rFonts w:ascii="Arial" w:cs="Arial" w:eastAsia="Arial" w:hAnsi="Arial"/>
          <w:color w:val="1A1A1A"/>
          <w:sz w:val="22"/>
          <w:szCs w:val="22"/>
        </w:rPr>
        <w:t xml:space="preserve">The data moat argument only holds if the AI team has frictionless access to gameplay telemetry. In many companies, research teams have limited or delayed access to production data due to privacy, legal, or organisational silos. Confirm: does the AI Research Scientist have direct access to G123 gameplay logs, or does data access go through a separate data engineering request process?</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6.4 Resource Reality</w:t>
      </w:r>
    </w:p>
    <w:p>
      <w:pPr>
        <w:spacing w:after="60" w:before="60"/>
      </w:pPr>
      <w:r>
        <w:rPr>
          <w:rFonts w:ascii="Arial" w:cs="Arial" w:eastAsia="Arial" w:hAnsi="Arial"/>
          <w:color w:val="1A1A1A"/>
          <w:sz w:val="22"/>
          <w:szCs w:val="22"/>
        </w:rPr>
        <w:t xml:space="preserve">CTW raised $12M at IPO — a modest raise for an AI programme with two ambitious mandates. Understand compute budget, cloud infra, and whether there's appetite to fine-tune large models vs. smaller, more efficient ones. The most realistic near-term path to Outcome 2 is fine-tuning an open-weight VLM (e.g., Qwen-VL-7B) on CTW's anime game data — not training a foundation model from scratch. Be ready to make that case if needed.</w:t>
      </w:r>
    </w:p>
    <w:p>
      <w:pPr>
        <w:spacing w:after="0" w:before="80"/>
      </w:pPr>
      <w:r>
        <w:rPr>
          <w:rFonts w:ascii="Arial" w:cs="Arial" w:eastAsia="Arial" w:hAnsi="Arial"/>
          <w:sz w:val="22"/>
          <w:szCs w:val="22"/>
        </w:rPr>
        <w:t xml:space="preserve"/>
      </w:r>
    </w:p>
    <w:p>
      <w:pPr>
        <w:pStyle w:val="Heading2"/>
        <w:pBdr>
          <w:bottom w:val="single" w:color="2E75B6" w:sz="8" w:space="4"/>
        </w:pBdr>
        <w:spacing w:after="100" w:before="220"/>
      </w:pPr>
      <w:r>
        <w:rPr>
          <w:rFonts w:ascii="Arial" w:cs="Arial" w:eastAsia="Arial" w:hAnsi="Arial"/>
          <w:b/>
          <w:bCs/>
          <w:color w:val="1F3864"/>
          <w:sz w:val="26"/>
          <w:szCs w:val="26"/>
        </w:rPr>
        <w:t xml:space="preserve">6.5 Production Deployment Constraints — Know the Environment</w:t>
      </w:r>
    </w:p>
    <w:p>
      <w:pPr>
        <w:spacing w:after="60" w:before="60"/>
      </w:pPr>
      <w:r>
        <w:rPr>
          <w:rFonts w:ascii="Arial" w:cs="Arial" w:eastAsia="Arial" w:hAnsi="Arial"/>
          <w:color w:val="1A1A1A"/>
          <w:sz w:val="22"/>
          <w:szCs w:val="22"/>
        </w:rPr>
        <w:t xml:space="preserve">CTW's production infrastructure has specific constraints that will shape what you can actually deploy and how fast. Going in aware of these signals operational maturity and prevents over-promising on delivery timelines.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Constraint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Means for Agent Deployment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Alibaba Cloud ACK (not AWS/GCP)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CTW migrated from AWS to Alibaba Cloud Container Service for Kubernetes as their primary infra. Model serving tooling differs from SageMaker (AWS) or Vertex AI (GCP). Expect Alibaba Cloud ECS/PAI for ML inference, not the AWS/GCP ecosystem. Training workloads may still need a separate cloud environment with GPU access (A100/H100). Confirm: is there budget for cross-cloud training, or does everything stay on 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Training / serving split across clouds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The data pipeline (Flink + Apache Hudi on Alibaba Cloud) is where CTW's game telemetry lives. If model training happens elsewhere (for GPU availability), artifact transfer and serving latency become a design constraint. An agent's inference endpoint on ACK must be able to reach the feature store — confirm network topology before designing the serving architecture.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HTML5 browser compatibility matrix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Games run in-browser on mobile, tablet, and desktop. Any agent output that touches the front-end (localised content, QA reports, marketing assets) must be validated across Chrome, Firefox, Safari, Edge, and iOS/Android WebKit. Automated cross-browser testing (Playwright, BrowserStack) is a hard dependency for any agent touching player-facing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IP holder approval cycles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Doraemon (Fujiko Pro), The Apothecary Diaries, and other licensed titles require IP holder sign-off on content changes. This means agent-generated content (localised text, marketing banners) cannot be auto-deployed to production — it must pass through an approval step. Design agent pipelines with a mandatory human-review gate before IP-licensed content goes live.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Data privacy: APPI (Japan) + GDPR (EU)</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Japan's Act on Protection of Personal Information (APPI) and GDPR for EU players constrain what gameplay telemetry can be stored, processed, and used for model training. Player-level behavioural data used for recommendation or churn models must comply with both regimes. Confirm: has the legal team defined what signals can be used for ML, and is there a data processing agreement in place for the EU player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1A1A"/>
                <w:sz w:val="20"/>
                <w:szCs w:val="20"/>
              </w:rPr>
              <w:t xml:space="preserve">Monthly new title launch cadence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1A1A1A"/>
                <w:sz w:val="20"/>
                <w:szCs w:val="20"/>
              </w:rPr>
              <w:t xml:space="preserve">CTW's stated target is approximately one new game per month, with 10+ titles in the backlog. Each launch triggers a full QA cycle. An agent-based QA pipeline must handle concurrent test workloads across multiple titles simultaneously — not just queue them sequentially. Confirm: is there a shared QA infrastructure or is each title team independently resourced?</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30" w:before="0"/>
            </w:pPr>
            <w:r>
              <w:rPr>
                <w:rFonts w:ascii="Arial" w:cs="Arial" w:eastAsia="Arial" w:hAnsi="Arial"/>
                <w:b/>
                <w:bCs/>
                <w:color w:val="1A4731"/>
                <w:sz w:val="20"/>
                <w:szCs w:val="20"/>
              </w:rPr>
              <w:t xml:space="preserve">Infrastructure Question to Ask</w:t>
            </w:r>
          </w:p>
          <w:p>
            <w:pPr>
              <w:spacing w:after="0" w:before="0"/>
            </w:pPr>
            <w:r>
              <w:rPr>
                <w:rFonts w:ascii="Arial" w:cs="Arial" w:eastAsia="Arial" w:hAnsi="Arial"/>
                <w:color w:val="1A4731"/>
                <w:sz w:val="21"/>
                <w:szCs w:val="21"/>
              </w:rPr>
              <w:t xml:space="preserve">Question to ask: "I noticed CTW runs on Alibaba Cloud ACK rather than AWS or GCP. For model training workloads — especially if we get to the multimodal gaming model — is there budget for a separate training environment with GPU access, or is the expectation that everything runs on the existing ACK cluster? The answer shapes how I'd architect the serving layer and what our iteration speed looks like."</w:t>
            </w:r>
          </w:p>
        </w:tc>
      </w:tr>
    </w:tbl>
    <w:p>
      <w:pPr>
        <w:spacing w:after="0" w:before="140"/>
      </w:pPr>
      <w:r>
        <w:rPr>
          <w:rFonts w:ascii="Arial" w:cs="Arial" w:eastAsia="Arial" w:hAnsi="Arial"/>
          <w:sz w:val="22"/>
          <w:szCs w:val="22"/>
        </w:rPr>
        <w:t xml:space="preserve"/>
      </w:r>
    </w:p>
    <w:p>
      <w:pPr>
        <w:pStyle w:val="Heading1"/>
        <w:pageBreakBefore/>
        <w:shd w:fill="1F3864" w:val="clear"/>
        <w:spacing w:after="120" w:before="280"/>
        <w:ind w:left="160"/>
      </w:pPr>
      <w:r>
        <w:rPr>
          <w:rFonts w:ascii="Arial" w:cs="Arial" w:eastAsia="Arial" w:hAnsi="Arial"/>
          <w:b/>
          <w:bCs/>
          <w:color w:val="FFFFFF"/>
          <w:sz w:val="30"/>
          <w:szCs w:val="30"/>
        </w:rPr>
        <w:t xml:space="preserve">7. Quick-Reference Cheat Sheet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50"/>
              <w:left w:type="dxa" w:w="220"/>
              <w:bottom w:type="dxa" w:w="150"/>
              <w:right w:type="dxa" w:w="220"/>
            </w:tcMar>
          </w:tcPr>
          <w:p>
            <w:pPr>
              <w:spacing w:after="0" w:before="0"/>
            </w:pPr>
            <w:r>
              <w:rPr>
                <w:rFonts w:ascii="Arial" w:cs="Arial" w:eastAsia="Arial" w:hAnsi="Arial"/>
                <w:color w:val="5C4000"/>
                <w:sz w:val="21"/>
                <w:szCs w:val="21"/>
              </w:rPr>
              <w:t xml:space="preserve">Print or screenshot this page only for the day of the interview.</w:t>
            </w:r>
          </w:p>
        </w:tc>
      </w:tr>
    </w:tbl>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Numbers to Know</w:t>
      </w:r>
    </w:p>
    <w:p>
      <w:pPr>
        <w:pStyle w:val="ListParagraph"/>
        <w:numPr>
          <w:ilvl w:val="0"/>
          <w:numId w:val="3"/>
        </w:numPr>
        <w:spacing w:after="55" w:before="55"/>
      </w:pPr>
      <w:r>
        <w:rPr>
          <w:rFonts w:ascii="Arial" w:cs="Arial" w:eastAsia="Arial" w:hAnsi="Arial"/>
          <w:b w:val="false"/>
          <w:bCs w:val="false"/>
          <w:color w:val="1A1A1A"/>
          <w:sz w:val="22"/>
          <w:szCs w:val="22"/>
        </w:rPr>
        <w:t xml:space="preserve">$90.4M revenue FY2025 (+32% YoY)</w:t>
      </w:r>
    </w:p>
    <w:p>
      <w:pPr>
        <w:pStyle w:val="ListParagraph"/>
        <w:numPr>
          <w:ilvl w:val="0"/>
          <w:numId w:val="3"/>
        </w:numPr>
        <w:spacing w:after="55" w:before="55"/>
      </w:pPr>
      <w:r>
        <w:rPr>
          <w:rFonts w:ascii="Arial" w:cs="Arial" w:eastAsia="Arial" w:hAnsi="Arial"/>
          <w:b w:val="false"/>
          <w:bCs w:val="false"/>
          <w:color w:val="1A1A1A"/>
          <w:sz w:val="22"/>
          <w:szCs w:val="22"/>
        </w:rPr>
        <w:t xml:space="preserve">261M active users (+22% YoY)</w:t>
      </w:r>
    </w:p>
    <w:p>
      <w:pPr>
        <w:pStyle w:val="ListParagraph"/>
        <w:numPr>
          <w:ilvl w:val="0"/>
          <w:numId w:val="3"/>
        </w:numPr>
        <w:spacing w:after="55" w:before="55"/>
      </w:pPr>
      <w:r>
        <w:rPr>
          <w:rFonts w:ascii="Arial" w:cs="Arial" w:eastAsia="Arial" w:hAnsi="Arial"/>
          <w:b w:val="false"/>
          <w:bCs w:val="false"/>
          <w:color w:val="1A1A1A"/>
          <w:sz w:val="22"/>
          <w:szCs w:val="22"/>
        </w:rPr>
        <w:t xml:space="preserve">International revenue: 19% → 30% in one year</w:t>
      </w:r>
    </w:p>
    <w:p>
      <w:pPr>
        <w:pStyle w:val="ListParagraph"/>
        <w:numPr>
          <w:ilvl w:val="0"/>
          <w:numId w:val="3"/>
        </w:numPr>
        <w:spacing w:after="55" w:before="55"/>
      </w:pPr>
      <w:r>
        <w:rPr>
          <w:rFonts w:ascii="Arial" w:cs="Arial" w:eastAsia="Arial" w:hAnsi="Arial"/>
          <w:b w:val="false"/>
          <w:bCs w:val="false"/>
          <w:color w:val="1A1A1A"/>
          <w:sz w:val="22"/>
          <w:szCs w:val="22"/>
        </w:rPr>
        <w:t xml:space="preserve">31+ active titles, 190 countries, IPO Aug 2025 (Nasdaq: CTW)</w:t>
      </w:r>
    </w:p>
    <w:p>
      <w:pPr>
        <w:pStyle w:val="ListParagraph"/>
        <w:numPr>
          <w:ilvl w:val="0"/>
          <w:numId w:val="3"/>
        </w:numPr>
        <w:spacing w:after="55" w:before="55"/>
      </w:pPr>
      <w:r>
        <w:rPr>
          <w:rFonts w:ascii="Arial" w:cs="Arial" w:eastAsia="Arial" w:hAnsi="Arial"/>
          <w:b w:val="false"/>
          <w:bCs w:val="false"/>
          <w:color w:val="1A1A1A"/>
          <w:sz w:val="22"/>
          <w:szCs w:val="22"/>
        </w:rPr>
        <w:t xml:space="preserve">IPO raised $12M at $5/share</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Current AI Stack</w:t>
      </w:r>
    </w:p>
    <w:p>
      <w:pPr>
        <w:pStyle w:val="ListParagraph"/>
        <w:numPr>
          <w:ilvl w:val="0"/>
          <w:numId w:val="3"/>
        </w:numPr>
        <w:spacing w:after="55" w:before="55"/>
      </w:pPr>
      <w:r>
        <w:rPr>
          <w:rFonts w:ascii="Arial" w:cs="Arial" w:eastAsia="Arial" w:hAnsi="Arial"/>
          <w:b w:val="false"/>
          <w:bCs w:val="false"/>
          <w:color w:val="1A1A1A"/>
          <w:sz w:val="22"/>
          <w:szCs w:val="22"/>
        </w:rPr>
        <w:t xml:space="preserve">ROAS prediction — ad spend optimisation, two models (established games / new games)  [Source: G123 tech blog]</w:t>
      </w:r>
    </w:p>
    <w:p>
      <w:pPr>
        <w:pStyle w:val="ListParagraph"/>
        <w:numPr>
          <w:ilvl w:val="0"/>
          <w:numId w:val="3"/>
        </w:numPr>
        <w:spacing w:after="55" w:before="55"/>
      </w:pPr>
      <w:r>
        <w:rPr>
          <w:rFonts w:ascii="Arial" w:cs="Arial" w:eastAsia="Arial" w:hAnsi="Arial"/>
          <w:b w:val="false"/>
          <w:bCs w:val="false"/>
          <w:color w:val="1A1A1A"/>
          <w:sz w:val="22"/>
          <w:szCs w:val="22"/>
        </w:rPr>
        <w:t xml:space="preserve">Banner generation — GAN / Stable Diffusion for marketing assets  [CV Research Scientist JD]</w:t>
      </w:r>
    </w:p>
    <w:p>
      <w:pPr>
        <w:pStyle w:val="ListParagraph"/>
        <w:numPr>
          <w:ilvl w:val="0"/>
          <w:numId w:val="3"/>
        </w:numPr>
        <w:spacing w:after="55" w:before="55"/>
      </w:pPr>
      <w:r>
        <w:rPr>
          <w:rFonts w:ascii="Arial" w:cs="Arial" w:eastAsia="Arial" w:hAnsi="Arial"/>
          <w:b w:val="false"/>
          <w:bCs w:val="false"/>
          <w:color w:val="1A1A1A"/>
          <w:sz w:val="22"/>
          <w:szCs w:val="22"/>
        </w:rPr>
        <w:t xml:space="preserve">NLP localisation — being built now, not yet mature  [NLP Research Scientist JD]</w:t>
      </w:r>
    </w:p>
    <w:p>
      <w:pPr>
        <w:pStyle w:val="ListParagraph"/>
        <w:numPr>
          <w:ilvl w:val="0"/>
          <w:numId w:val="3"/>
        </w:numPr>
        <w:spacing w:after="55" w:before="55"/>
      </w:pPr>
      <w:r>
        <w:rPr>
          <w:rFonts w:ascii="Arial" w:cs="Arial" w:eastAsia="Arial" w:hAnsi="Arial"/>
          <w:b w:val="false"/>
          <w:bCs w:val="false"/>
          <w:color w:val="1A1A1A"/>
          <w:sz w:val="22"/>
          <w:szCs w:val="22"/>
        </w:rPr>
        <w:t xml:space="preserve">MLOps — CI/CD for model deployment, TF/PyTorch  [MLOps Engineer JD]</w:t>
      </w:r>
    </w:p>
    <w:p>
      <w:pPr>
        <w:pStyle w:val="ListParagraph"/>
        <w:numPr>
          <w:ilvl w:val="0"/>
          <w:numId w:val="3"/>
        </w:numPr>
        <w:spacing w:after="55" w:before="55"/>
      </w:pPr>
      <w:r>
        <w:rPr>
          <w:rFonts w:ascii="Arial" w:cs="Arial" w:eastAsia="Arial" w:hAnsi="Arial"/>
          <w:b w:val="false"/>
          <w:bCs w:val="false"/>
          <w:color w:val="1A1A1A"/>
          <w:sz w:val="22"/>
          <w:szCs w:val="22"/>
        </w:rPr>
        <w:t xml:space="preserve">VP of AI: Neil Yuki (ex-Rakuten, LINE, Indeed)</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Competitors to Name-Drop</w:t>
      </w:r>
    </w:p>
    <w:p>
      <w:pPr>
        <w:pStyle w:val="ListParagraph"/>
        <w:numPr>
          <w:ilvl w:val="0"/>
          <w:numId w:val="3"/>
        </w:numPr>
        <w:spacing w:after="55" w:before="55"/>
      </w:pPr>
      <w:r>
        <w:rPr>
          <w:rFonts w:ascii="Arial" w:cs="Arial" w:eastAsia="Arial" w:hAnsi="Arial"/>
          <w:b w:val="false"/>
          <w:bCs w:val="false"/>
          <w:color w:val="1A1A1A"/>
          <w:sz w:val="22"/>
          <w:szCs w:val="22"/>
        </w:rPr>
        <w:t xml:space="preserve">nunu.ai — production game QA agents (Google Cloud partnership), 50% QA cost reduction claimed — no proprietary model</w:t>
      </w:r>
    </w:p>
    <w:p>
      <w:pPr>
        <w:pStyle w:val="ListParagraph"/>
        <w:numPr>
          <w:ilvl w:val="0"/>
          <w:numId w:val="3"/>
        </w:numPr>
        <w:spacing w:after="55" w:before="55"/>
      </w:pPr>
      <w:r>
        <w:rPr>
          <w:rFonts w:ascii="Arial" w:cs="Arial" w:eastAsia="Arial" w:hAnsi="Arial"/>
          <w:b w:val="false"/>
          <w:bCs w:val="false"/>
          <w:color w:val="1A1A1A"/>
          <w:sz w:val="22"/>
          <w:szCs w:val="22"/>
        </w:rPr>
        <w:t xml:space="preserve">Google DeepMind — SIMA 2 (game-playing agent) + Genie 2 (world model) — research only, no anime/HTML5</w:t>
      </w:r>
    </w:p>
    <w:p>
      <w:pPr>
        <w:pStyle w:val="ListParagraph"/>
        <w:numPr>
          <w:ilvl w:val="0"/>
          <w:numId w:val="3"/>
        </w:numPr>
        <w:spacing w:after="55" w:before="55"/>
      </w:pPr>
      <w:r>
        <w:rPr>
          <w:rFonts w:ascii="Arial" w:cs="Arial" w:eastAsia="Arial" w:hAnsi="Arial"/>
          <w:b w:val="false"/>
          <w:bCs w:val="false"/>
          <w:color w:val="1A1A1A"/>
          <w:sz w:val="22"/>
          <w:szCs w:val="22"/>
        </w:rPr>
        <w:t xml:space="preserve">Square Enix — targeting 70% QA automation by 2027, internal programme, 3D console games only</w:t>
      </w:r>
    </w:p>
    <w:p>
      <w:pPr>
        <w:pStyle w:val="ListParagraph"/>
        <w:numPr>
          <w:ilvl w:val="0"/>
          <w:numId w:val="3"/>
        </w:numPr>
        <w:spacing w:after="55" w:before="55"/>
      </w:pPr>
      <w:r>
        <w:rPr>
          <w:rFonts w:ascii="Arial" w:cs="Arial" w:eastAsia="Arial" w:hAnsi="Arial"/>
          <w:b w:val="false"/>
          <w:bCs w:val="false"/>
          <w:color w:val="1A1A1A"/>
          <w:sz w:val="22"/>
          <w:szCs w:val="22"/>
        </w:rPr>
        <w:t xml:space="preserve">ManaMind — early-stage QA startup, $1.1M raised, no domain specificity</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High QA Burden Titles to Name</w:t>
      </w:r>
    </w:p>
    <w:p>
      <w:pPr>
        <w:pStyle w:val="ListParagraph"/>
        <w:numPr>
          <w:ilvl w:val="0"/>
          <w:numId w:val="3"/>
        </w:numPr>
        <w:spacing w:after="55" w:before="55"/>
      </w:pPr>
      <w:r>
        <w:rPr>
          <w:rFonts w:ascii="Arial" w:cs="Arial" w:eastAsia="Arial" w:hAnsi="Arial"/>
          <w:b w:val="false"/>
          <w:bCs w:val="false"/>
          <w:color w:val="1A1A1A"/>
          <w:sz w:val="22"/>
          <w:szCs w:val="22"/>
        </w:rPr>
        <w:t xml:space="preserve">The Apothecary Diaries: Palace Chronicles — #1 anime tie-in, 50K+ pre-regs, strict IP approval, multi-market simultaneous launch</w:t>
      </w:r>
    </w:p>
    <w:p>
      <w:pPr>
        <w:pStyle w:val="ListParagraph"/>
        <w:numPr>
          <w:ilvl w:val="0"/>
          <w:numId w:val="3"/>
        </w:numPr>
        <w:spacing w:after="55" w:before="55"/>
      </w:pPr>
      <w:r>
        <w:rPr>
          <w:rFonts w:ascii="Arial" w:cs="Arial" w:eastAsia="Arial" w:hAnsi="Arial"/>
          <w:b w:val="false"/>
          <w:bCs w:val="false"/>
          <w:color w:val="1A1A1A"/>
          <w:sz w:val="22"/>
          <w:szCs w:val="22"/>
        </w:rPr>
        <w:t xml:space="preserve">Doraemon Comic Traveler — Fujiko Pro license = most IP-sensitive title, children's audience = zero error tolerance</w:t>
      </w:r>
    </w:p>
    <w:p>
      <w:pPr>
        <w:pStyle w:val="ListParagraph"/>
        <w:numPr>
          <w:ilvl w:val="0"/>
          <w:numId w:val="3"/>
        </w:numPr>
        <w:spacing w:after="55" w:before="55"/>
      </w:pPr>
      <w:r>
        <w:rPr>
          <w:rFonts w:ascii="Arial" w:cs="Arial" w:eastAsia="Arial" w:hAnsi="Arial"/>
          <w:b w:val="false"/>
          <w:bCs w:val="false"/>
          <w:color w:val="1A1A1A"/>
          <w:sz w:val="22"/>
          <w:szCs w:val="22"/>
        </w:rPr>
        <w:t xml:space="preserve">High School DxD: Operation Paradise Infinity — launched April 2025, active RPG = weekly content drops, gacha probability QA</w:t>
      </w:r>
    </w:p>
    <w:p>
      <w:pPr>
        <w:pStyle w:val="ListParagraph"/>
        <w:numPr>
          <w:ilvl w:val="0"/>
          <w:numId w:val="3"/>
        </w:numPr>
        <w:spacing w:after="55" w:before="55"/>
      </w:pPr>
      <w:r>
        <w:rPr>
          <w:rFonts w:ascii="Arial" w:cs="Arial" w:eastAsia="Arial" w:hAnsi="Arial"/>
          <w:b w:val="false"/>
          <w:bCs w:val="false"/>
          <w:color w:val="1A1A1A"/>
          <w:sz w:val="22"/>
          <w:szCs w:val="22"/>
        </w:rPr>
        <w:t xml:space="preserve">Structural: ~1 new title/month = standing peak QA burden for new launches</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Eval Framework — Three Gates Before Production</w:t>
      </w:r>
    </w:p>
    <w:p>
      <w:pPr>
        <w:pStyle w:val="ListParagraph"/>
        <w:numPr>
          <w:ilvl w:val="0"/>
          <w:numId w:val="3"/>
        </w:numPr>
        <w:spacing w:after="55" w:before="55"/>
      </w:pPr>
      <w:r>
        <w:rPr>
          <w:rFonts w:ascii="Arial" w:cs="Arial" w:eastAsia="Arial" w:hAnsi="Arial"/>
          <w:b w:val="false"/>
          <w:bCs w:val="false"/>
          <w:color w:val="1A1A1A"/>
          <w:sz w:val="22"/>
          <w:szCs w:val="22"/>
        </w:rPr>
        <w:t xml:space="preserve">Gate 1 (Offline): Golden test set → Task Completion Rate + Tool Call Accuracy + LLM-as-judge</w:t>
      </w:r>
    </w:p>
    <w:p>
      <w:pPr>
        <w:pStyle w:val="ListParagraph"/>
        <w:numPr>
          <w:ilvl w:val="0"/>
          <w:numId w:val="3"/>
        </w:numPr>
        <w:spacing w:after="55" w:before="55"/>
      </w:pPr>
      <w:r>
        <w:rPr>
          <w:rFonts w:ascii="Arial" w:cs="Arial" w:eastAsia="Arial" w:hAnsi="Arial"/>
          <w:b w:val="false"/>
          <w:bCs w:val="false"/>
          <w:color w:val="1A1A1A"/>
          <w:sz w:val="22"/>
          <w:szCs w:val="22"/>
        </w:rPr>
        <w:t xml:space="preserve">Gate 2 (Shadow): 2-week shadow deployment → measure divergence from human baseline</w:t>
      </w:r>
    </w:p>
    <w:p>
      <w:pPr>
        <w:pStyle w:val="ListParagraph"/>
        <w:numPr>
          <w:ilvl w:val="0"/>
          <w:numId w:val="3"/>
        </w:numPr>
        <w:spacing w:after="55" w:before="55"/>
      </w:pPr>
      <w:r>
        <w:rPr>
          <w:rFonts w:ascii="Arial" w:cs="Arial" w:eastAsia="Arial" w:hAnsi="Arial"/>
          <w:b w:val="false"/>
          <w:bCs w:val="false"/>
          <w:color w:val="1A1A1A"/>
          <w:sz w:val="22"/>
          <w:szCs w:val="22"/>
        </w:rPr>
        <w:t xml:space="preserve">Gate 3 (Canary): 5% traffic canary → business KPIs gated before full rollout</w:t>
      </w:r>
    </w:p>
    <w:p>
      <w:pPr>
        <w:pStyle w:val="ListParagraph"/>
        <w:numPr>
          <w:ilvl w:val="0"/>
          <w:numId w:val="3"/>
        </w:numPr>
        <w:spacing w:after="55" w:before="55"/>
      </w:pPr>
      <w:r>
        <w:rPr>
          <w:rFonts w:ascii="Arial" w:cs="Arial" w:eastAsia="Arial" w:hAnsi="Arial"/>
          <w:b w:val="false"/>
          <w:bCs w:val="false"/>
          <w:color w:val="1A1A1A"/>
          <w:sz w:val="22"/>
          <w:szCs w:val="22"/>
        </w:rPr>
        <w:t xml:space="preserve">Tools: LangSmith / Braintrust / DeepEval / W&amp;B — regression suite on every prompt change</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Infra Constraints to Know</w:t>
      </w:r>
    </w:p>
    <w:p>
      <w:pPr>
        <w:pStyle w:val="ListParagraph"/>
        <w:numPr>
          <w:ilvl w:val="0"/>
          <w:numId w:val="3"/>
        </w:numPr>
        <w:spacing w:after="55" w:before="55"/>
      </w:pPr>
      <w:r>
        <w:rPr>
          <w:rFonts w:ascii="Arial" w:cs="Arial" w:eastAsia="Arial" w:hAnsi="Arial"/>
          <w:b w:val="false"/>
          <w:bCs w:val="false"/>
          <w:color w:val="1A1A1A"/>
          <w:sz w:val="22"/>
          <w:szCs w:val="22"/>
        </w:rPr>
        <w:t xml:space="preserve">Alibaba Cloud ACK (not AWS/GCP) — different ML serving stack; training may need separate GPU environment</w:t>
      </w:r>
    </w:p>
    <w:p>
      <w:pPr>
        <w:pStyle w:val="ListParagraph"/>
        <w:numPr>
          <w:ilvl w:val="0"/>
          <w:numId w:val="3"/>
        </w:numPr>
        <w:spacing w:after="55" w:before="55"/>
      </w:pPr>
      <w:r>
        <w:rPr>
          <w:rFonts w:ascii="Arial" w:cs="Arial" w:eastAsia="Arial" w:hAnsi="Arial"/>
          <w:b w:val="false"/>
          <w:bCs w:val="false"/>
          <w:color w:val="1A1A1A"/>
          <w:sz w:val="22"/>
          <w:szCs w:val="22"/>
        </w:rPr>
        <w:t xml:space="preserve">Flink + Apache Hudi data pipeline — where game telemetry lives</w:t>
      </w:r>
    </w:p>
    <w:p>
      <w:pPr>
        <w:pStyle w:val="ListParagraph"/>
        <w:numPr>
          <w:ilvl w:val="0"/>
          <w:numId w:val="3"/>
        </w:numPr>
        <w:spacing w:after="55" w:before="55"/>
      </w:pPr>
      <w:r>
        <w:rPr>
          <w:rFonts w:ascii="Arial" w:cs="Arial" w:eastAsia="Arial" w:hAnsi="Arial"/>
          <w:b w:val="false"/>
          <w:bCs w:val="false"/>
          <w:color w:val="1A1A1A"/>
          <w:sz w:val="22"/>
          <w:szCs w:val="22"/>
        </w:rPr>
        <w:t xml:space="preserve">IP approval gates — agent content cannot auto-deploy for licensed titles (Doraemon, Apothecary, etc.)</w:t>
      </w:r>
    </w:p>
    <w:p>
      <w:pPr>
        <w:pStyle w:val="ListParagraph"/>
        <w:numPr>
          <w:ilvl w:val="0"/>
          <w:numId w:val="3"/>
        </w:numPr>
        <w:spacing w:after="55" w:before="55"/>
      </w:pPr>
      <w:r>
        <w:rPr>
          <w:rFonts w:ascii="Arial" w:cs="Arial" w:eastAsia="Arial" w:hAnsi="Arial"/>
          <w:b w:val="false"/>
          <w:bCs w:val="false"/>
          <w:color w:val="1A1A1A"/>
          <w:sz w:val="22"/>
          <w:szCs w:val="22"/>
        </w:rPr>
        <w:t xml:space="preserve">APPI (Japan) + GDPR (EU) — confirm which telemetry signals are cleared for ML use</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Core Gaps You've Identified</w:t>
      </w:r>
    </w:p>
    <w:p>
      <w:pPr>
        <w:pStyle w:val="ListParagraph"/>
        <w:numPr>
          <w:ilvl w:val="0"/>
          <w:numId w:val="3"/>
        </w:numPr>
        <w:spacing w:after="55" w:before="55"/>
      </w:pPr>
      <w:r>
        <w:rPr>
          <w:rFonts w:ascii="Arial" w:cs="Arial" w:eastAsia="Arial" w:hAnsi="Arial"/>
          <w:b w:val="false"/>
          <w:bCs w:val="false"/>
          <w:color w:val="1A1A1A"/>
          <w:sz w:val="22"/>
          <w:szCs w:val="22"/>
        </w:rPr>
        <w:t xml:space="preserve">Platform gap: optimises ad spend to ACQUIRE users per game — no ML personalising the in-platform browser experience once they're there</w:t>
      </w:r>
    </w:p>
    <w:p>
      <w:pPr>
        <w:pStyle w:val="ListParagraph"/>
        <w:numPr>
          <w:ilvl w:val="0"/>
          <w:numId w:val="3"/>
        </w:numPr>
        <w:spacing w:after="55" w:before="55"/>
      </w:pPr>
      <w:r>
        <w:rPr>
          <w:rFonts w:ascii="Arial" w:cs="Arial" w:eastAsia="Arial" w:hAnsi="Arial"/>
          <w:b w:val="false"/>
          <w:bCs w:val="false"/>
          <w:color w:val="1A1A1A"/>
          <w:sz w:val="22"/>
          <w:szCs w:val="22"/>
        </w:rPr>
        <w:t xml:space="preserve">No multi-game player profile — every game treats every player as a stranger; can't do cross-game rec or cold-start warm-starting without it</w:t>
      </w:r>
    </w:p>
    <w:p>
      <w:pPr>
        <w:pStyle w:val="ListParagraph"/>
        <w:numPr>
          <w:ilvl w:val="0"/>
          <w:numId w:val="3"/>
        </w:numPr>
        <w:spacing w:after="55" w:before="55"/>
      </w:pPr>
      <w:r>
        <w:rPr>
          <w:rFonts w:ascii="Arial" w:cs="Arial" w:eastAsia="Arial" w:hAnsi="Arial"/>
          <w:b w:val="false"/>
          <w:bCs w:val="false"/>
          <w:color w:val="1A1A1A"/>
          <w:sz w:val="22"/>
          <w:szCs w:val="22"/>
        </w:rPr>
        <w:t xml:space="preserve">No automated localisation QA or consistency tooling across 31+ titles</w:t>
      </w:r>
    </w:p>
    <w:p>
      <w:pPr>
        <w:pStyle w:val="ListParagraph"/>
        <w:numPr>
          <w:ilvl w:val="0"/>
          <w:numId w:val="3"/>
        </w:numPr>
        <w:spacing w:after="55" w:before="55"/>
      </w:pPr>
      <w:r>
        <w:rPr>
          <w:rFonts w:ascii="Arial" w:cs="Arial" w:eastAsia="Arial" w:hAnsi="Arial"/>
          <w:b w:val="false"/>
          <w:bCs w:val="false"/>
          <w:color w:val="1A1A1A"/>
          <w:sz w:val="22"/>
          <w:szCs w:val="22"/>
        </w:rPr>
        <w:t xml:space="preserve">CV and NLP pipelines not integrated (multimodal localisation is low-hanging fruit)</w:t>
      </w:r>
    </w:p>
    <w:p>
      <w:pPr>
        <w:pStyle w:val="ListParagraph"/>
        <w:numPr>
          <w:ilvl w:val="0"/>
          <w:numId w:val="3"/>
        </w:numPr>
        <w:spacing w:after="55" w:before="55"/>
      </w:pPr>
      <w:r>
        <w:rPr>
          <w:rFonts w:ascii="Arial" w:cs="Arial" w:eastAsia="Arial" w:hAnsi="Arial"/>
          <w:b w:val="false"/>
          <w:bCs w:val="false"/>
          <w:color w:val="1A1A1A"/>
          <w:sz w:val="22"/>
          <w:szCs w:val="22"/>
        </w:rPr>
        <w:t xml:space="preserve">LLANIME (IEEE 2023) proved LLMs work for anime rec from metadata — CTW can do it with 261M users' actual behavioral data</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MLOps Stack</w:t>
      </w:r>
    </w:p>
    <w:p>
      <w:pPr>
        <w:pStyle w:val="ListParagraph"/>
        <w:numPr>
          <w:ilvl w:val="0"/>
          <w:numId w:val="3"/>
        </w:numPr>
        <w:spacing w:after="55" w:before="55"/>
      </w:pPr>
      <w:r>
        <w:rPr>
          <w:rFonts w:ascii="Arial" w:cs="Arial" w:eastAsia="Arial" w:hAnsi="Arial"/>
          <w:b w:val="false"/>
          <w:bCs w:val="false"/>
          <w:color w:val="1A1A1A"/>
          <w:sz w:val="22"/>
          <w:szCs w:val="22"/>
        </w:rPr>
        <w:t xml:space="preserve">TF = legacy/production (ROAS). PyTorch = new research (Stable Diffusion, NLP). Mid-migration.</w:t>
      </w:r>
    </w:p>
    <w:p>
      <w:pPr>
        <w:pStyle w:val="ListParagraph"/>
        <w:numPr>
          <w:ilvl w:val="0"/>
          <w:numId w:val="3"/>
        </w:numPr>
        <w:spacing w:after="55" w:before="55"/>
      </w:pPr>
      <w:r>
        <w:rPr>
          <w:rFonts w:ascii="Arial" w:cs="Arial" w:eastAsia="Arial" w:hAnsi="Arial"/>
          <w:b w:val="false"/>
          <w:bCs w:val="false"/>
          <w:color w:val="1A1A1A"/>
          <w:sz w:val="22"/>
          <w:szCs w:val="22"/>
        </w:rPr>
        <w:t xml:space="preserve">CI/CD for ML: data validation → training → golden set eval → artefact registry → staging integration tests → canary → prod</w:t>
      </w:r>
    </w:p>
    <w:p>
      <w:pPr>
        <w:pStyle w:val="ListParagraph"/>
        <w:numPr>
          <w:ilvl w:val="0"/>
          <w:numId w:val="3"/>
        </w:numPr>
        <w:spacing w:after="55" w:before="55"/>
      </w:pPr>
      <w:r>
        <w:rPr>
          <w:rFonts w:ascii="Arial" w:cs="Arial" w:eastAsia="Arial" w:hAnsi="Arial"/>
          <w:b w:val="false"/>
          <w:bCs w:val="false"/>
          <w:color w:val="1A1A1A"/>
          <w:sz w:val="22"/>
          <w:szCs w:val="22"/>
        </w:rPr>
        <w:t xml:space="preserve">The mature CI/CD pipeline doesn't exist yet (MLOps Engineer JD). Build timelines accordingly.</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LLM Translation Pipeline — 3-Line Summary</w:t>
      </w:r>
    </w:p>
    <w:p>
      <w:pPr>
        <w:pStyle w:val="ListParagraph"/>
        <w:numPr>
          <w:ilvl w:val="0"/>
          <w:numId w:val="3"/>
        </w:numPr>
        <w:spacing w:after="55" w:before="55"/>
      </w:pPr>
      <w:r>
        <w:rPr>
          <w:rFonts w:ascii="Arial" w:cs="Arial" w:eastAsia="Arial" w:hAnsi="Arial"/>
          <w:b w:val="false"/>
          <w:bCs w:val="false"/>
          <w:color w:val="1A1A1A"/>
          <w:sz w:val="22"/>
          <w:szCs w:val="22"/>
        </w:rPr>
        <w:t xml:space="preserve">Tier A (narrative / IP-sensitive): GPT-4o or Claude + character voice guide + glossary injection + context window</w:t>
      </w:r>
    </w:p>
    <w:p>
      <w:pPr>
        <w:pStyle w:val="ListParagraph"/>
        <w:numPr>
          <w:ilvl w:val="0"/>
          <w:numId w:val="3"/>
        </w:numPr>
        <w:spacing w:after="55" w:before="55"/>
      </w:pPr>
      <w:r>
        <w:rPr>
          <w:rFonts w:ascii="Arial" w:cs="Arial" w:eastAsia="Arial" w:hAnsi="Arial"/>
          <w:b w:val="false"/>
          <w:bCs w:val="false"/>
          <w:color w:val="1A1A1A"/>
          <w:sz w:val="22"/>
          <w:szCs w:val="22"/>
        </w:rPr>
        <w:t xml:space="preserve">Tier B (UI/events): DeepL + custom glossaries. Tier C (low-resource languages): NLLB-200 + human post-edit</w:t>
      </w:r>
    </w:p>
    <w:p>
      <w:pPr>
        <w:pStyle w:val="ListParagraph"/>
        <w:numPr>
          <w:ilvl w:val="0"/>
          <w:numId w:val="3"/>
        </w:numPr>
        <w:spacing w:after="55" w:before="55"/>
      </w:pPr>
      <w:r>
        <w:rPr>
          <w:rFonts w:ascii="Arial" w:cs="Arial" w:eastAsia="Arial" w:hAnsi="Arial"/>
          <w:b w:val="false"/>
          <w:bCs w:val="false"/>
          <w:color w:val="1A1A1A"/>
          <w:sz w:val="22"/>
          <w:szCs w:val="22"/>
        </w:rPr>
        <w:t xml:space="preserve">QA: COMET scoring → hallucination check → LLM judge → human queue for IP-licensed content</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Agent Deployment — Key Phrases to Land</w:t>
      </w:r>
    </w:p>
    <w:p>
      <w:pPr>
        <w:pStyle w:val="ListParagraph"/>
        <w:numPr>
          <w:ilvl w:val="0"/>
          <w:numId w:val="3"/>
        </w:numPr>
        <w:spacing w:after="55" w:before="55"/>
      </w:pPr>
      <w:r>
        <w:rPr>
          <w:rFonts w:ascii="Arial" w:cs="Arial" w:eastAsia="Arial" w:hAnsi="Arial"/>
          <w:b w:val="false"/>
          <w:bCs w:val="false"/>
          <w:color w:val="1A1A1A"/>
          <w:sz w:val="22"/>
          <w:szCs w:val="22"/>
        </w:rPr>
        <w:t xml:space="preserve">"Auditability is a first-class requirement — structured traces, policy layer outside the model, HITL on write actions."</w:t>
      </w:r>
    </w:p>
    <w:p>
      <w:pPr>
        <w:pStyle w:val="ListParagraph"/>
        <w:numPr>
          <w:ilvl w:val="0"/>
          <w:numId w:val="3"/>
        </w:numPr>
        <w:spacing w:after="55" w:before="55"/>
      </w:pPr>
      <w:r>
        <w:rPr>
          <w:rFonts w:ascii="Arial" w:cs="Arial" w:eastAsia="Arial" w:hAnsi="Arial"/>
          <w:b w:val="false"/>
          <w:bCs w:val="false"/>
          <w:color w:val="1A1A1A"/>
          <w:sz w:val="22"/>
          <w:szCs w:val="22"/>
        </w:rPr>
        <w:t xml:space="preserve">"DevOps teams saw 20–40% MTTD/MTTR gains with runbook agents. CTW's equivalent: QA cycle time and localisation throughput."</w:t>
      </w:r>
    </w:p>
    <w:p>
      <w:pPr>
        <w:pStyle w:val="ListParagraph"/>
        <w:numPr>
          <w:ilvl w:val="0"/>
          <w:numId w:val="3"/>
        </w:numPr>
        <w:spacing w:after="55" w:before="55"/>
      </w:pPr>
      <w:r>
        <w:rPr>
          <w:rFonts w:ascii="Arial" w:cs="Arial" w:eastAsia="Arial" w:hAnsi="Arial"/>
          <w:b w:val="false"/>
          <w:bCs w:val="false"/>
          <w:color w:val="1A1A1A"/>
          <w:sz w:val="22"/>
          <w:szCs w:val="22"/>
        </w:rPr>
        <w:t xml:space="preserve">"Tool-calling via typed JSON schemas + state-machine orchestration (LangGraph/Temporal) for multi-step pipelines."</w:t>
      </w:r>
    </w:p>
    <w:p>
      <w:pPr>
        <w:pStyle w:val="ListParagraph"/>
        <w:numPr>
          <w:ilvl w:val="0"/>
          <w:numId w:val="3"/>
        </w:numPr>
        <w:spacing w:after="55" w:before="55"/>
      </w:pPr>
      <w:r>
        <w:rPr>
          <w:rFonts w:ascii="Arial" w:cs="Arial" w:eastAsia="Arial" w:hAnsi="Arial"/>
          <w:b w:val="false"/>
          <w:bCs w:val="false"/>
          <w:color w:val="1A1A1A"/>
          <w:sz w:val="22"/>
          <w:szCs w:val="22"/>
        </w:rPr>
        <w:t xml:space="preserve">"Canary deployments, circuit breakers, deterministic fallbacks — not a prototype if there's no graceful failure path."</w:t>
      </w:r>
    </w:p>
    <w:p>
      <w:pPr>
        <w:spacing w:after="0" w:before="8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3"/>
          <w:szCs w:val="23"/>
        </w:rPr>
        <w:t xml:space="preserve">Your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50"/>
              <w:left w:type="dxa" w:w="220"/>
              <w:bottom w:type="dxa" w:w="150"/>
              <w:right w:type="dxa" w:w="220"/>
            </w:tcMar>
          </w:tcPr>
          <w:p>
            <w:pPr>
              <w:spacing w:after="0" w:before="0"/>
            </w:pPr>
            <w:r>
              <w:rPr>
                <w:rFonts w:ascii="Arial" w:cs="Arial" w:eastAsia="Arial" w:hAnsi="Arial"/>
                <w:color w:val="1A4731"/>
                <w:sz w:val="21"/>
                <w:szCs w:val="21"/>
              </w:rPr>
              <w:t xml:space="preserve">"CTW has the data no one else can access and the deployment context that turns research into revenue. My job is to connect those two things."</w:t>
            </w:r>
          </w:p>
        </w:tc>
      </w:tr>
    </w:tbl>
    <w:p>
      <w:pPr>
        <w:spacing w:after="0" w:before="100"/>
      </w:pPr>
      <w:r>
        <w:rPr>
          <w:rFonts w:ascii="Arial" w:cs="Arial" w:eastAsia="Arial" w:hAnsi="Arial"/>
          <w:sz w:val="22"/>
          <w:szCs w:val="22"/>
        </w:rPr>
        <w:t xml:space="preserve"/>
      </w:r>
    </w:p>
    <w:p>
      <w:pPr>
        <w:spacing w:after="0" w:before="160"/>
        <w:jc w:val="center"/>
      </w:pPr>
      <w:r>
        <w:rPr>
          <w:rFonts w:ascii="Arial" w:cs="Arial" w:eastAsia="Arial" w:hAnsi="Arial"/>
          <w:b/>
          <w:bCs/>
          <w:color w:val="1F3864"/>
          <w:sz w:val="24"/>
          <w:szCs w:val="24"/>
        </w:rPr>
        <w:t xml:space="preserve">Good luck, Robert.</w:t>
      </w:r>
    </w:p>
    <w:p>
      <w:pPr>
        <w:spacing w:after="0" w:before="40"/>
        <w:jc w:val="center"/>
      </w:pPr>
      <w:r>
        <w:rPr>
          <w:rFonts w:ascii="Arial" w:cs="Arial" w:eastAsia="Arial" w:hAnsi="Arial"/>
          <w:i/>
          <w:iCs/>
          <w:color w:val="666666"/>
          <w:sz w:val="22"/>
          <w:szCs w:val="22"/>
        </w:rPr>
        <w:t xml:space="preserve">You've done the research. Own the room.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Robert Dixon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2E75B6"/>
        <w:sz w:val="18"/>
        <w:szCs w:val="18"/>
      </w:rPr>
      <w:t xml:space="preserve">CTW Inc. — AI Research Scientist Interview Notes</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2026-03-02T02:13:19.856Z</dcterms:created>
  <dcterms:modified xsi:type="dcterms:W3CDTF">2026-03-02T02:13:19.856Z</dcterms:modified>
</cp:coreProperties>
</file>

<file path=docProps/custom.xml><?xml version="1.0" encoding="utf-8"?>
<Properties xmlns="http://schemas.openxmlformats.org/officeDocument/2006/custom-properties" xmlns:vt="http://schemas.openxmlformats.org/officeDocument/2006/docPropsVTypes"/>
</file>