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3730A3"/>
          <w:sz w:val="56"/>
          <w:szCs w:val="56"/>
        </w:rPr>
        <w:t xml:space="preserve">PROJECT YADA</w:t>
      </w:r>
    </w:p>
    <w:p>
      <w:pPr>
        <w:spacing w:after="200" w:before="0"/>
        <w:jc w:val="center"/>
      </w:pPr>
      <w:r>
        <w:rPr>
          <w:rFonts w:ascii="Arial" w:cs="Arial" w:eastAsia="Arial" w:hAnsi="Arial"/>
          <w:color w:val="1E293B"/>
          <w:sz w:val="34"/>
          <w:szCs w:val="34"/>
        </w:rPr>
        <w:t xml:space="preserve">Competitive Analysis &amp; P&amp;L Forecast</w:t>
      </w:r>
    </w:p>
    <w:p>
      <w:pPr>
        <w:pBdr>
          <w:bottom w:val="single" w:color="CBD5E1" w:sz="2" w:space="8"/>
        </w:pBdr>
        <w:spacing w:after="240" w:before="0"/>
        <w:jc w:val="center"/>
      </w:pPr>
      <w:r>
        <w:rPr>
          <w:rFonts w:ascii="Arial" w:cs="Arial" w:eastAsia="Arial" w:hAnsi="Arial"/>
          <w:color w:val="475569"/>
          <w:sz w:val="22"/>
          <w:szCs w:val="22"/>
        </w:rPr>
        <w:t xml:space="preserve">March 2026  ·  Confidential — Solo Founder Use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3730A3" w:val="clear"/>
            <w:tcMar>
              <w:top w:type="dxa" w:w="180"/>
              <w:left w:type="dxa" w:w="200"/>
              <w:bottom w:type="dxa" w:w="180"/>
              <w:right w:type="dxa" w:w="200"/>
            </w:tcMar>
          </w:tcPr>
          <w:p>
            <w:pPr>
              <w:jc w:val="center"/>
            </w:pPr>
            <w:r>
              <w:rPr>
                <w:rFonts w:ascii="Arial" w:cs="Arial" w:eastAsia="Arial" w:hAnsi="Arial"/>
                <w:b/>
                <w:bCs/>
                <w:color w:val="FFFFFF"/>
                <w:sz w:val="42"/>
                <w:szCs w:val="42"/>
              </w:rPr>
              <w:t xml:space="preserve">$3.75B</w:t>
            </w:r>
          </w:p>
          <w:p>
            <w:pPr>
              <w:jc w:val="center"/>
            </w:pPr>
            <w:r>
              <w:rPr>
                <w:rFonts w:ascii="Arial" w:cs="Arial" w:eastAsia="Arial" w:hAnsi="Arial"/>
                <w:color w:val="D1D5DB"/>
                <w:sz w:val="19"/>
                <w:szCs w:val="19"/>
              </w:rPr>
              <w:t xml:space="preserve">Global Gacha Market (2024)</w:t>
            </w:r>
          </w:p>
        </w:tc>
        <w:tc>
          <w:tcPr>
            <w:tcW w:type="dxa" w:w="3120"/>
            <w:tcBorders>
              <w:top w:val="single" w:color="CBD5E1" w:sz="1"/>
              <w:left w:val="single" w:color="CBD5E1" w:sz="1"/>
              <w:bottom w:val="single" w:color="CBD5E1" w:sz="1"/>
              <w:right w:val="single" w:color="CBD5E1" w:sz="1"/>
            </w:tcBorders>
            <w:shd w:fill="4F46E5" w:val="clear"/>
            <w:tcMar>
              <w:top w:type="dxa" w:w="180"/>
              <w:left w:type="dxa" w:w="200"/>
              <w:bottom w:type="dxa" w:w="180"/>
              <w:right w:type="dxa" w:w="200"/>
            </w:tcMar>
          </w:tcPr>
          <w:p>
            <w:pPr>
              <w:jc w:val="center"/>
            </w:pPr>
            <w:r>
              <w:rPr>
                <w:rFonts w:ascii="Arial" w:cs="Arial" w:eastAsia="Arial" w:hAnsi="Arial"/>
                <w:b/>
                <w:bCs/>
                <w:color w:val="FFFFFF"/>
                <w:sz w:val="42"/>
                <w:szCs w:val="42"/>
              </w:rPr>
              <w:t xml:space="preserve">15.3% CAGR</w:t>
            </w:r>
          </w:p>
          <w:p>
            <w:pPr>
              <w:jc w:val="center"/>
            </w:pPr>
            <w:r>
              <w:rPr>
                <w:rFonts w:ascii="Arial" w:cs="Arial" w:eastAsia="Arial" w:hAnsi="Arial"/>
                <w:color w:val="D1D5DB"/>
                <w:sz w:val="19"/>
                <w:szCs w:val="19"/>
              </w:rPr>
              <w:t xml:space="preserve">Through 2032 ($9.9B)</w:t>
            </w:r>
          </w:p>
        </w:tc>
        <w:tc>
          <w:tcPr>
            <w:tcW w:type="dxa" w:w="3120"/>
            <w:tcBorders>
              <w:top w:val="single" w:color="CBD5E1" w:sz="1"/>
              <w:left w:val="single" w:color="CBD5E1" w:sz="1"/>
              <w:bottom w:val="single" w:color="CBD5E1" w:sz="1"/>
              <w:right w:val="single" w:color="CBD5E1" w:sz="1"/>
            </w:tcBorders>
            <w:shd w:fill="1E293B" w:val="clear"/>
            <w:tcMar>
              <w:top w:type="dxa" w:w="180"/>
              <w:left w:type="dxa" w:w="200"/>
              <w:bottom w:type="dxa" w:w="180"/>
              <w:right w:type="dxa" w:w="200"/>
            </w:tcMar>
          </w:tcPr>
          <w:p>
            <w:pPr>
              <w:jc w:val="center"/>
            </w:pPr>
            <w:r>
              <w:rPr>
                <w:rFonts w:ascii="Arial" w:cs="Arial" w:eastAsia="Arial" w:hAnsi="Arial"/>
                <w:b/>
                <w:bCs/>
                <w:color w:val="FFFFFF"/>
                <w:sz w:val="42"/>
                <w:szCs w:val="42"/>
              </w:rPr>
              <w:t xml:space="preserve">$90.4M</w:t>
            </w:r>
          </w:p>
          <w:p>
            <w:pPr>
              <w:jc w:val="center"/>
            </w:pPr>
            <w:r>
              <w:rPr>
                <w:rFonts w:ascii="Arial" w:cs="Arial" w:eastAsia="Arial" w:hAnsi="Arial"/>
                <w:color w:val="D1D5DB"/>
                <w:sz w:val="19"/>
                <w:szCs w:val="19"/>
              </w:rPr>
              <w:t xml:space="preserve">G123 (CTW) FY2025 Revenue</w:t>
            </w:r>
          </w:p>
        </w:tc>
      </w:tr>
    </w:tbl>
    <w:p>
      <w:pPr>
        <w:spacing w:after="60" w:before="60"/>
      </w:pPr>
      <w:r>
        <w:t xml:space="preserve"/>
      </w:r>
    </w:p>
    <w:p>
      <w:pPr>
        <w:spacing w:after="60" w:before="60"/>
      </w:pPr>
      <w:r>
        <w:t xml:space="preserve"/>
      </w:r>
    </w:p>
    <w:p>
      <w:r>
        <w:br w:type="page"/>
      </w:r>
    </w:p>
    <w:p>
      <w:pPr>
        <w:pStyle w:val="Heading1"/>
        <w:pBdr>
          <w:bottom w:val="single" w:color="4F46E5" w:sz="4" w:space="4"/>
        </w:pBdr>
        <w:spacing w:after="160" w:before="320"/>
      </w:pPr>
      <w:r>
        <w:rPr>
          <w:rFonts w:ascii="Arial" w:cs="Arial" w:eastAsia="Arial" w:hAnsi="Arial"/>
          <w:b/>
          <w:bCs/>
          <w:color w:val="3730A3"/>
          <w:sz w:val="32"/>
          <w:szCs w:val="32"/>
        </w:rPr>
        <w:t xml:space="preserve">1. Executive Summary</w:t>
      </w:r>
    </w:p>
    <w:p>
      <w:pPr>
        <w:spacing w:after="80" w:before="80" w:line="340"/>
      </w:pPr>
      <w:r>
        <w:rPr>
          <w:rFonts w:ascii="Arial" w:cs="Arial" w:eastAsia="Arial" w:hAnsi="Arial"/>
          <w:color w:val="475569"/>
          <w:sz w:val="22"/>
          <w:szCs w:val="22"/>
        </w:rPr>
        <w:t xml:space="preserve">The browser-native gacha RPG market is growing at 15.3% CAGR and remains underpenetrated by original IP in Western markets. The dominant incumbent, G123/CTW Inc., is a licensed-anime-IP platform built for Japanese audiences now expanding to North America. This creates a specific gap: there is no authentic Western-original-IP browser gacha platform competing for the growing NA/EU audience.</w:t>
      </w:r>
    </w:p>
    <w:p>
      <w:pPr>
        <w:spacing w:after="60" w:before="60"/>
      </w:pPr>
      <w:r>
        <w:t xml:space="preserve"/>
      </w:r>
    </w:p>
    <w:p>
      <w:pPr>
        <w:spacing w:after="80" w:before="80" w:line="340"/>
      </w:pPr>
      <w:r>
        <w:rPr>
          <w:rFonts w:ascii="Arial" w:cs="Arial" w:eastAsia="Arial" w:hAnsi="Arial"/>
          <w:color w:val="475569"/>
          <w:sz w:val="22"/>
          <w:szCs w:val="22"/>
        </w:rPr>
        <w:t xml:space="preserve">Yada is positioned to own that gap. Original IP ownership versus G123's licensing model is the central strategic bet — it means higher long-term margins, no royalty drag, and the ability to build franchise equity that a licensor can never claim.</w:t>
      </w:r>
    </w:p>
    <w:p>
      <w:pPr>
        <w:spacing w:after="60" w:before="60"/>
      </w:pPr>
      <w:r>
        <w:t xml:space="preserve"/>
      </w:r>
    </w:p>
    <w:p>
      <w:pPr>
        <w:spacing w:after="80" w:before="80" w:line="340"/>
      </w:pPr>
      <w:r>
        <w:rPr>
          <w:rFonts w:ascii="Arial" w:cs="Arial" w:eastAsia="Arial" w:hAnsi="Arial"/>
          <w:color w:val="475569"/>
          <w:sz w:val="22"/>
          <w:szCs w:val="22"/>
        </w:rPr>
        <w:t xml:space="preserve">This document covers: (1) the competitive landscape and Yada's positioning against key players, (2) monetization benchmarks from the industry, and (3) a 3-scenario, 3-year P&amp;L forecast to frame the financial opportunity.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8"/>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b/>
                <w:bCs/>
                <w:color w:val="3730A3"/>
                <w:sz w:val="21"/>
                <w:szCs w:val="21"/>
              </w:rPr>
              <w:t xml:space="preserve">Bottom Line</w:t>
            </w:r>
          </w:p>
          <w:p>
            <w:pPr>
              <w:spacing w:after="0" w:before="60"/>
            </w:pPr>
            <w:r>
              <w:rPr>
                <w:rFonts w:ascii="Arial" w:cs="Arial" w:eastAsia="Arial" w:hAnsi="Arial"/>
                <w:color w:val="334155"/>
                <w:sz w:val="21"/>
                <w:szCs w:val="21"/>
              </w:rPr>
              <w:t xml:space="preserve">At Base Case assumptions, Yada reaches ~$320K revenue in Year 2 and ~$1.5M in Year 3 on $110K in cumulative UA spend. The bull case eclipses $4M by Year 3. The key levers are: quality of the flagship IP, conversion rate optimization, and UA efficiency. Runway to profitability requires either external capital or a flagship game that generates enough early revenue to self-fund.</w:t>
            </w:r>
          </w:p>
        </w:tc>
      </w:tr>
    </w:tbl>
    <w:p>
      <w:pPr>
        <w:spacing w:after="60" w:before="60"/>
      </w:pPr>
      <w:r>
        <w:t xml:space="preserve"/>
      </w:r>
    </w:p>
    <w:p>
      <w:pPr>
        <w:spacing w:after="60" w:before="60"/>
      </w:pPr>
      <w:r>
        <w:t xml:space="preserve"/>
      </w:r>
    </w:p>
    <w:p>
      <w:r>
        <w:br w:type="page"/>
      </w:r>
    </w:p>
    <w:p>
      <w:pPr>
        <w:pStyle w:val="Heading1"/>
        <w:pBdr>
          <w:bottom w:val="single" w:color="4F46E5" w:sz="4" w:space="4"/>
        </w:pBdr>
        <w:spacing w:after="160" w:before="320"/>
      </w:pPr>
      <w:r>
        <w:rPr>
          <w:rFonts w:ascii="Arial" w:cs="Arial" w:eastAsia="Arial" w:hAnsi="Arial"/>
          <w:b/>
          <w:bCs/>
          <w:color w:val="3730A3"/>
          <w:sz w:val="32"/>
          <w:szCs w:val="32"/>
        </w:rPr>
        <w:t xml:space="preserve">2. Competitive Landscape</w:t>
      </w:r>
    </w:p>
    <w:p>
      <w:pPr>
        <w:pStyle w:val="Heading2"/>
        <w:spacing w:after="120" w:before="240"/>
      </w:pPr>
      <w:r>
        <w:rPr>
          <w:rFonts w:ascii="Arial" w:cs="Arial" w:eastAsia="Arial" w:hAnsi="Arial"/>
          <w:b/>
          <w:bCs/>
          <w:color w:val="1E293B"/>
          <w:sz w:val="26"/>
          <w:szCs w:val="26"/>
        </w:rPr>
        <w:t xml:space="preserve">2.1  Market Context</w:t>
      </w:r>
    </w:p>
    <w:p>
      <w:pPr>
        <w:spacing w:after="80" w:before="80" w:line="340"/>
      </w:pPr>
      <w:r>
        <w:rPr>
          <w:rFonts w:ascii="Arial" w:cs="Arial" w:eastAsia="Arial" w:hAnsi="Arial"/>
          <w:color w:val="475569"/>
          <w:sz w:val="22"/>
          <w:szCs w:val="22"/>
        </w:rPr>
        <w:t xml:space="preserve">The gacha games market was valued at $3.75B globally in 2024 and is projected to reach $9.9B by 2032 (15.3% CAGR). Asia-Pacific holds ~60% of current revenue, with North America and Europe representing the under-indexed growth opportunity. The top-grossing native mobile gacha titles (Honkai: Star Rail, Genshin Impact) pull $45–67M per month each — but they are native app downloads with billion-dollar development budgets. Browser-native gacha is structurally different and far less crowded.</w:t>
      </w:r>
    </w:p>
    <w:p>
      <w:pPr>
        <w:spacing w:after="60" w:before="60"/>
      </w:pPr>
      <w:r>
        <w:t xml:space="preserve"/>
      </w:r>
    </w:p>
    <w:p>
      <w:pPr>
        <w:spacing w:after="80" w:before="80" w:line="340"/>
      </w:pPr>
      <w:r>
        <w:rPr>
          <w:rFonts w:ascii="Arial" w:cs="Arial" w:eastAsia="Arial" w:hAnsi="Arial"/>
          <w:color w:val="475569"/>
          <w:sz w:val="22"/>
          <w:szCs w:val="22"/>
        </w:rPr>
        <w:t xml:space="preserve">The key insight: browser gacha has a distribution advantage (zero install friction, no app store cut) but a discovery disadvantage (no app store featuring). The winning strategy builds organic loops and community that native apps cannot easily replicate. G123 solves discovery through anime IP recognition. Yada must solve it through original IP quality and community-first growth.</w:t>
      </w:r>
    </w:p>
    <w:p>
      <w:pPr>
        <w:spacing w:after="60" w:before="60"/>
      </w:pPr>
      <w:r>
        <w:t xml:space="preserve"/>
      </w:r>
    </w:p>
    <w:p>
      <w:pPr>
        <w:pStyle w:val="Heading2"/>
        <w:spacing w:after="120" w:before="240"/>
      </w:pPr>
      <w:r>
        <w:rPr>
          <w:rFonts w:ascii="Arial" w:cs="Arial" w:eastAsia="Arial" w:hAnsi="Arial"/>
          <w:b/>
          <w:bCs/>
          <w:color w:val="1E293B"/>
          <w:sz w:val="26"/>
          <w:szCs w:val="26"/>
        </w:rPr>
        <w:t xml:space="preserve">2.2  Competitor Profiles</w:t>
      </w:r>
    </w:p>
    <w:p>
      <w:pPr>
        <w:pStyle w:val="Heading3"/>
        <w:spacing w:after="80" w:before="180"/>
      </w:pPr>
      <w:r>
        <w:rPr>
          <w:rFonts w:ascii="Arial" w:cs="Arial" w:eastAsia="Arial" w:hAnsi="Arial"/>
          <w:b/>
          <w:bCs/>
          <w:color w:val="334155"/>
          <w:sz w:val="22"/>
          <w:szCs w:val="22"/>
        </w:rPr>
        <w:t xml:space="preserve">G123 / CTW Inc. — Primary Direct Competitor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69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Revenue (FY2025)</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$90.4M (+32% YoY); $8M Adjusted EBITDA; IPO August 2025 (NASDAQ: CTW)</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Users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500M+ registered; ~30% of revenue from outside Japan (up from 19% prior year)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Model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Licensed anime IP browser gacha; F2P + IAP; 29 active games, 24-game backlog for FY26</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IP Strategy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Licenses popular anime IP (Spider, Arifureta, Dragon Maid, Queen's Blade, etc.). Zero original IP ownership. Pays royalties to IP holders — estimated 20–30% revenue drag.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Target Market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Japan-primary, expanding globally; skews male 18–35 anime fans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Distribution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Browser + mobile web, no download. G123.jp domain. Platform, not single-game site.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Weakness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Licensed IP = no franchise equity, high royalty costs, Japanese cultural lens — poor fit for Western-original storytelling.</w:t>
            </w:r>
          </w:p>
        </w:tc>
      </w:tr>
    </w:tbl>
    <w:p>
      <w:pPr>
        <w:spacing w:after="60" w:before="60"/>
      </w:pPr>
      <w:r>
        <w:t xml:space="preserve"/>
      </w:r>
    </w:p>
    <w:p>
      <w:pPr>
        <w:pStyle w:val="Heading3"/>
        <w:spacing w:after="80" w:before="180"/>
      </w:pPr>
      <w:r>
        <w:rPr>
          <w:rFonts w:ascii="Arial" w:cs="Arial" w:eastAsia="Arial" w:hAnsi="Arial"/>
          <w:b/>
          <w:bCs/>
          <w:color w:val="334155"/>
          <w:sz w:val="22"/>
          <w:szCs w:val="22"/>
        </w:rPr>
        <w:t xml:space="preserve">Plarium — Browser/Cross-Platform Strategy Games</w:t>
      </w:r>
    </w:p>
    <w:p>
      <w:pPr>
        <w:spacing w:after="80" w:before="80" w:line="340"/>
      </w:pPr>
      <w:r>
        <w:rPr>
          <w:rFonts w:ascii="Arial" w:cs="Arial" w:eastAsia="Arial" w:hAnsi="Arial"/>
          <w:color w:val="475569"/>
          <w:sz w:val="22"/>
          <w:szCs w:val="22"/>
        </w:rPr>
        <w:t xml:space="preserve">Plarium operates cross-platform strategy and RPG games (Vikings: War of Clans, Raid: Shadow Legends) with 500M+ registered players. Their model is advertising-heavy (especially YouTube/influencer UA) with aggressive IAP monetization. Raid: Shadow Legends brought gacha mechanics into the PC/browser consciousness for a Western audience — proving that Western players will pay for gacha at scale. However, Plarium's games are dark/gritty strategy, not the anime-adjacent character-collector space Yada occupies. Plarium competes for the same UA dollars and player time, not for the same genre or aesthetic.</w:t>
      </w:r>
    </w:p>
    <w:p>
      <w:pPr>
        <w:spacing w:after="60" w:before="60"/>
      </w:pPr>
      <w:r>
        <w:t xml:space="preserve"/>
      </w:r>
    </w:p>
    <w:p>
      <w:pPr>
        <w:pStyle w:val="Heading3"/>
        <w:spacing w:after="80" w:before="180"/>
      </w:pPr>
      <w:r>
        <w:rPr>
          <w:rFonts w:ascii="Arial" w:cs="Arial" w:eastAsia="Arial" w:hAnsi="Arial"/>
          <w:b/>
          <w:bCs/>
          <w:color w:val="334155"/>
          <w:sz w:val="22"/>
          <w:szCs w:val="22"/>
        </w:rPr>
        <w:t xml:space="preserve">Nutaku — Niche Adult Browser Gacha</w:t>
      </w:r>
    </w:p>
    <w:p>
      <w:pPr>
        <w:spacing w:after="80" w:before="80" w:line="340"/>
      </w:pPr>
      <w:r>
        <w:rPr>
          <w:rFonts w:ascii="Arial" w:cs="Arial" w:eastAsia="Arial" w:hAnsi="Arial"/>
          <w:color w:val="475569"/>
          <w:sz w:val="22"/>
          <w:szCs w:val="22"/>
        </w:rPr>
        <w:t xml:space="preserve">Nutaku (owned by Aylo) runs a browser/download platform focused on adult anime games with 500+ titles. Their demographic is narrow (adult male), their IP is licensed or third-party, and their brand is explicitly adult. They are irrelevant as a direct competitor to Yada's mainstream gacha positioning but validate that browser-native monetization in the anime-adjacent genre works.</w:t>
      </w:r>
    </w:p>
    <w:p>
      <w:pPr>
        <w:spacing w:after="60" w:before="60"/>
      </w:pPr>
      <w:r>
        <w:t xml:space="preserve"/>
      </w:r>
    </w:p>
    <w:p>
      <w:pPr>
        <w:pStyle w:val="Heading3"/>
        <w:spacing w:after="80" w:before="180"/>
      </w:pPr>
      <w:r>
        <w:rPr>
          <w:rFonts w:ascii="Arial" w:cs="Arial" w:eastAsia="Arial" w:hAnsi="Arial"/>
          <w:b/>
          <w:bCs/>
          <w:color w:val="334155"/>
          <w:sz w:val="22"/>
          <w:szCs w:val="22"/>
        </w:rPr>
        <w:t xml:space="preserve">HoYoverse (Genshin, Honkai: Star Rail, ZZZ) — Indirect / Aspirational Benchmark</w:t>
      </w:r>
    </w:p>
    <w:p>
      <w:pPr>
        <w:spacing w:after="80" w:before="80" w:line="340"/>
      </w:pPr>
      <w:r>
        <w:rPr>
          <w:rFonts w:ascii="Arial" w:cs="Arial" w:eastAsia="Arial" w:hAnsi="Arial"/>
          <w:color w:val="475569"/>
          <w:sz w:val="22"/>
          <w:szCs w:val="22"/>
        </w:rPr>
        <w:t xml:space="preserve">HoYoverse titles are the gold standard for gacha monetization: $45–67M/month per title, 5–10% conversion, loyal spenders at $87/month average ARPPU. They are native app downloads (iOS/Android/PC) with billion-dollar budgets. Yada cannot directly compete with them — they set the genre expectation for quality. The strategic question is: can Yada capture players who want the HoYoverse character-collector experience but in a zero-friction browser format? Almost certainly yes, as a segment.</w:t>
      </w:r>
    </w:p>
    <w:p>
      <w:pPr>
        <w:spacing w:after="60" w:before="60"/>
      </w:pPr>
      <w:r>
        <w:t xml:space="preserve"/>
      </w:r>
    </w:p>
    <w:p>
      <w:pPr>
        <w:pStyle w:val="Heading2"/>
        <w:spacing w:after="120" w:before="240"/>
      </w:pPr>
      <w:r>
        <w:rPr>
          <w:rFonts w:ascii="Arial" w:cs="Arial" w:eastAsia="Arial" w:hAnsi="Arial"/>
          <w:b/>
          <w:bCs/>
          <w:color w:val="1E293B"/>
          <w:sz w:val="26"/>
          <w:szCs w:val="26"/>
        </w:rPr>
        <w:t xml:space="preserve">2.3  Competitive Feature Matrix</w:t>
      </w:r>
    </w:p>
    <w:p>
      <w:pPr>
        <w:spacing w:after="60" w:before="60"/>
      </w:pPr>
      <w:r>
        <w:t xml:space="preserve"/>
      </w:r>
    </w:p>
    <w:p>
      <w:pPr>
        <w:spacing w:after="80" w:before="60"/>
      </w:pPr>
      <w:r>
        <w:rPr>
          <w:rFonts w:ascii="Arial" w:cs="Arial" w:eastAsia="Arial" w:hAnsi="Arial"/>
          <w:b/>
          <w:bCs/>
          <w:color w:val="1E293B"/>
          <w:sz w:val="20"/>
          <w:szCs w:val="20"/>
        </w:rPr>
        <w:t xml:space="preserve">Rating scale: </w:t>
      </w:r>
      <w:r>
        <w:rPr>
          <w:rFonts w:ascii="Arial" w:cs="Arial" w:eastAsia="Arial" w:hAnsi="Arial"/>
          <w:b/>
          <w:bCs/>
          <w:color w:val="16A34A"/>
          <w:sz w:val="20"/>
          <w:szCs w:val="20"/>
        </w:rPr>
        <w:t xml:space="preserve">Strong</w:t>
      </w:r>
      <w:r>
        <w:rPr>
          <w:rFonts w:ascii="Arial" w:cs="Arial" w:eastAsia="Arial" w:hAnsi="Arial"/>
          <w:color w:val="475569"/>
          <w:sz w:val="20"/>
          <w:szCs w:val="20"/>
        </w:rPr>
        <w:t xml:space="preserve"> / </w:t>
      </w:r>
      <w:r>
        <w:rPr>
          <w:rFonts w:ascii="Arial" w:cs="Arial" w:eastAsia="Arial" w:hAnsi="Arial"/>
          <w:b/>
          <w:bCs/>
          <w:color w:val="D97706"/>
          <w:sz w:val="20"/>
          <w:szCs w:val="20"/>
        </w:rPr>
        <w:t xml:space="preserve">Adequate</w:t>
      </w:r>
      <w:r>
        <w:rPr>
          <w:rFonts w:ascii="Arial" w:cs="Arial" w:eastAsia="Arial" w:hAnsi="Arial"/>
          <w:color w:val="475569"/>
          <w:sz w:val="20"/>
          <w:szCs w:val="20"/>
        </w:rPr>
        <w:t xml:space="preserve"> / </w:t>
      </w:r>
      <w:r>
        <w:rPr>
          <w:rFonts w:ascii="Arial" w:cs="Arial" w:eastAsia="Arial" w:hAnsi="Arial"/>
          <w:b/>
          <w:bCs/>
          <w:color w:val="DC2626"/>
          <w:sz w:val="20"/>
          <w:szCs w:val="20"/>
        </w:rPr>
        <w:t xml:space="preserve">Weak</w:t>
      </w:r>
      <w:r>
        <w:rPr>
          <w:rFonts w:ascii="Arial" w:cs="Arial" w:eastAsia="Arial" w:hAnsi="Arial"/>
          <w:color w:val="475569"/>
          <w:sz w:val="20"/>
          <w:szCs w:val="20"/>
        </w:rPr>
        <w:t xml:space="preserve"> / </w:t>
      </w:r>
      <w:r>
        <w:rPr>
          <w:rFonts w:ascii="Arial" w:cs="Arial" w:eastAsia="Arial" w:hAnsi="Arial"/>
          <w:color w:val="475569"/>
          <w:sz w:val="20"/>
          <w:szCs w:val="20"/>
        </w:rPr>
        <w:t xml:space="preserve">Absent</w:t>
      </w:r>
      <w:r>
        <w:rPr>
          <w:rFonts w:ascii="Arial" w:cs="Arial" w:eastAsia="Arial" w:hAnsi="Arial"/>
          <w:color w:val="CBD5E1"/>
          <w:sz w:val="20"/>
          <w:szCs w:val="20"/>
        </w:rPr>
        <w:t xml:space="preserve">  ·  </w:t>
      </w:r>
      <w:r>
        <w:rPr>
          <w:rFonts w:ascii="Arial" w:cs="Arial" w:eastAsia="Arial" w:hAnsi="Arial"/>
          <w:b/>
          <w:bCs/>
          <w:color w:val="3730A3"/>
          <w:sz w:val="20"/>
          <w:szCs w:val="20"/>
        </w:rPr>
        <w:t xml:space="preserve">† = Yada advantage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15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Yada †</w:t>
            </w:r>
          </w:p>
        </w:tc>
        <w:tc>
          <w:tcPr>
            <w:tcW w:type="dxa" w:w="15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G123/CTW</w:t>
            </w:r>
          </w:p>
        </w:tc>
        <w:tc>
          <w:tcPr>
            <w:tcW w:type="dxa" w:w="15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Plarium</w:t>
            </w:r>
          </w:p>
        </w:tc>
        <w:tc>
          <w:tcPr>
            <w:tcW w:type="dxa" w:w="15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HoYoverse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DISTRIBUTION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Browser-native, no download</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No app store fee / 30% cut †</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PWA / push notifications</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IP &amp; CONTENT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Wholly owned original IP †</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Western-first storytelling/aesthetic †</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Weak</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Weak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Existing IP fanbase</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Character roster depth</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Weak</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MONETIZATION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Gacha / pull system</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Battle Pass subscription</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Transparent odds / Fair Play †</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Weak</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IAP catalog depth (gem packs)</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BUSINESS MODEL</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Royalty-free IP margin †</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Multi-game platform / catalog</w:t>
            </w:r>
          </w:p>
        </w:tc>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DC2626"/>
                <w:sz w:val="19"/>
                <w:szCs w:val="19"/>
              </w:rPr>
              <w:t xml:space="preserve">Weak</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Franchise / merch / media potential †</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D97706"/>
                <w:sz w:val="19"/>
                <w:szCs w:val="19"/>
              </w:rPr>
              <w:t xml:space="preserve">Adequate</w:t>
            </w:r>
          </w:p>
        </w:tc>
        <w:tc>
          <w:tcPr>
            <w:tcW w:type="dxa" w:w="1560"/>
            <w:tcBorders>
              <w:top w:val="single" w:color="CBD5E1" w:sz="1"/>
              <w:left w:val="single" w:color="CBD5E1" w:sz="1"/>
              <w:bottom w:val="single" w:color="CBD5E1" w:sz="1"/>
              <w:right w:val="single" w:color="CBD5E1" w:sz="1"/>
            </w:tcBorders>
            <w:shd w:fill="DCFCE7" w:val="clear"/>
            <w:tcMar>
              <w:top w:type="dxa" w:w="80"/>
              <w:left w:type="dxa" w:w="120"/>
              <w:bottom w:type="dxa" w:w="80"/>
              <w:right w:type="dxa" w:w="120"/>
            </w:tcMar>
            <w:vAlign w:val="center"/>
          </w:tcPr>
          <w:p>
            <w:pPr>
              <w:jc w:val="center"/>
            </w:pPr>
            <w:r>
              <w:rPr>
                <w:rFonts w:ascii="Arial" w:cs="Arial" w:eastAsia="Arial" w:hAnsi="Arial"/>
                <w:b/>
                <w:bCs/>
                <w:color w:val="16A34A"/>
                <w:sz w:val="19"/>
                <w:szCs w:val="19"/>
              </w:rPr>
              <w:t xml:space="preserve">Strong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Third-party developer platform</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center"/>
            </w:pPr>
            <w:r>
              <w:rPr>
                <w:rFonts w:ascii="Arial" w:cs="Arial" w:eastAsia="Arial" w:hAnsi="Arial"/>
                <w:b/>
                <w:bCs/>
                <w:color w:val="475569"/>
                <w:sz w:val="19"/>
                <w:szCs w:val="19"/>
              </w:rPr>
              <w:t xml:space="preserve">Absent</w:t>
            </w:r>
          </w:p>
        </w:tc>
      </w:tr>
    </w:tbl>
    <w:p>
      <w:pPr>
        <w:spacing w:after="60" w:before="60"/>
      </w:pPr>
      <w:r>
        <w:t xml:space="preserve"/>
      </w:r>
    </w:p>
    <w:p>
      <w:pPr>
        <w:pStyle w:val="Heading2"/>
        <w:spacing w:after="120" w:before="240"/>
      </w:pPr>
      <w:r>
        <w:rPr>
          <w:rFonts w:ascii="Arial" w:cs="Arial" w:eastAsia="Arial" w:hAnsi="Arial"/>
          <w:b/>
          <w:bCs/>
          <w:color w:val="1E293B"/>
          <w:sz w:val="26"/>
          <w:szCs w:val="26"/>
        </w:rPr>
        <w:t xml:space="preserve">2.4  Positioning Analysis</w:t>
      </w:r>
    </w:p>
    <w:p>
      <w:pPr>
        <w:spacing w:after="80" w:before="80" w:line="340"/>
      </w:pPr>
      <w:r>
        <w:rPr>
          <w:rFonts w:ascii="Arial" w:cs="Arial" w:eastAsia="Arial" w:hAnsi="Arial"/>
          <w:color w:val="475569"/>
          <w:sz w:val="22"/>
          <w:szCs w:val="22"/>
        </w:rPr>
        <w:t xml:space="preserve">G123/CTW's positioning: "The global anime browser gaming platform." Every game they launch is an extension of existing Japanese IP. Their competitive moat is deal flow with anime studios and operational efficiency in launching/localizing licensed games. They are a media licensing business wearing a gaming hat.</w:t>
      </w:r>
    </w:p>
    <w:p>
      <w:pPr>
        <w:spacing w:after="60" w:before="60"/>
      </w:pPr>
      <w:r>
        <w:t xml:space="preserve"/>
      </w:r>
    </w:p>
    <w:p>
      <w:pPr>
        <w:spacing w:after="80" w:before="80" w:line="340"/>
      </w:pPr>
      <w:r>
        <w:rPr>
          <w:rFonts w:ascii="Arial" w:cs="Arial" w:eastAsia="Arial" w:hAnsi="Arial"/>
          <w:color w:val="475569"/>
          <w:sz w:val="22"/>
          <w:szCs w:val="22"/>
        </w:rPr>
        <w:t xml:space="preserve">Yada's positioning opportunity: "The original-IP browser gacha platform built for Western players." This is a clean, unclaimed position in the market. No significant player occupies this space. The risk is execution: original IP must earn its audience rather than inherit one. The reward is full franchise ownership — something G123 will never have.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30A3" w:sz="8"/>
              <w:left w:val="none" w:color="FFFFFF" w:sz="0"/>
              <w:bottom w:val="none" w:color="FFFFFF" w:sz="0"/>
              <w:right w:val="none" w:color="FFFFFF" w:sz="0"/>
            </w:tcBorders>
            <w:shd w:fill="F0F4FF" w:val="clear"/>
            <w:tcMar>
              <w:top w:type="dxa" w:w="120"/>
              <w:left w:type="dxa" w:w="160"/>
              <w:bottom w:type="dxa" w:w="120"/>
              <w:right w:type="dxa" w:w="160"/>
            </w:tcMar>
          </w:tcPr>
          <w:p>
            <w:r>
              <w:rPr>
                <w:rFonts w:ascii="Arial" w:cs="Arial" w:eastAsia="Arial" w:hAnsi="Arial"/>
                <w:b/>
                <w:bCs/>
                <w:color w:val="3730A3"/>
                <w:sz w:val="21"/>
                <w:szCs w:val="21"/>
              </w:rPr>
              <w:t xml:space="preserve">Strategic Recommendation</w:t>
            </w:r>
          </w:p>
          <w:p>
            <w:pPr>
              <w:spacing w:after="0" w:before="60"/>
            </w:pPr>
            <w:r>
              <w:rPr>
                <w:rFonts w:ascii="Arial" w:cs="Arial" w:eastAsia="Arial" w:hAnsi="Arial"/>
                <w:color w:val="334155"/>
                <w:sz w:val="21"/>
                <w:szCs w:val="21"/>
              </w:rPr>
              <w:t xml:space="preserve">Do not try to out-G123 G123. They have 29 games, 500M users, and anime IP deals. Yada wins by going where they can't: original stories, Western aesthetics, and ethical gacha that builds a trust-based relationship with Western players who are growing weary of exploitative mechanics. The Fair Play Pledge is not just a marketing tagline — it is a structural competitive advantage in a market where the backlash against predatory gacha is accelerating.</w:t>
            </w:r>
          </w:p>
        </w:tc>
      </w:tr>
    </w:tbl>
    <w:p>
      <w:pPr>
        <w:spacing w:after="60" w:before="60"/>
      </w:pPr>
      <w:r>
        <w:t xml:space="preserve"/>
      </w:r>
    </w:p>
    <w:p>
      <w:pPr>
        <w:spacing w:after="60" w:before="60"/>
      </w:pPr>
      <w:r>
        <w:t xml:space="preserve"/>
      </w:r>
    </w:p>
    <w:p>
      <w:r>
        <w:br w:type="page"/>
      </w:r>
    </w:p>
    <w:p>
      <w:pPr>
        <w:pStyle w:val="Heading1"/>
        <w:pBdr>
          <w:bottom w:val="single" w:color="4F46E5" w:sz="4" w:space="4"/>
        </w:pBdr>
        <w:spacing w:after="160" w:before="320"/>
      </w:pPr>
      <w:r>
        <w:rPr>
          <w:rFonts w:ascii="Arial" w:cs="Arial" w:eastAsia="Arial" w:hAnsi="Arial"/>
          <w:b/>
          <w:bCs/>
          <w:color w:val="3730A3"/>
          <w:sz w:val="32"/>
          <w:szCs w:val="32"/>
        </w:rPr>
        <w:t xml:space="preserve">3. Monetization Benchmarks</w:t>
      </w:r>
    </w:p>
    <w:p>
      <w:pPr>
        <w:pStyle w:val="Heading2"/>
        <w:spacing w:after="120" w:before="240"/>
      </w:pPr>
      <w:r>
        <w:rPr>
          <w:rFonts w:ascii="Arial" w:cs="Arial" w:eastAsia="Arial" w:hAnsi="Arial"/>
          <w:b/>
          <w:bCs/>
          <w:color w:val="1E293B"/>
          <w:sz w:val="26"/>
          <w:szCs w:val="26"/>
        </w:rPr>
        <w:t xml:space="preserve">3.1  Industry Benchmarks</w:t>
      </w:r>
    </w:p>
    <w:p>
      <w:pPr>
        <w:spacing w:after="80" w:before="80" w:line="340"/>
      </w:pPr>
      <w:r>
        <w:rPr>
          <w:rFonts w:ascii="Arial" w:cs="Arial" w:eastAsia="Arial" w:hAnsi="Arial"/>
          <w:color w:val="475569"/>
          <w:sz w:val="22"/>
          <w:szCs w:val="22"/>
        </w:rPr>
        <w:t xml:space="preserve">The following benchmarks are drawn from industry reports and comparable F2P gacha titles. All figures are for established titles — new launches perform below these until they find product-market fit.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 (Conservative)</w:t>
            </w:r>
          </w:p>
        </w:tc>
        <w:tc>
          <w:tcPr>
            <w:tcW w:type="dxa" w:w="20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Mid (Base)</w:t>
            </w:r>
          </w:p>
        </w:tc>
        <w:tc>
          <w:tcPr>
            <w:tcW w:type="dxa" w:w="17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 (Bull)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Paying user conversion rate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5–7%</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8–10%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Avg. monthly spend per paying user (ARPPU)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$35–45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$55–70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$80–120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Battle Pass attach rate (% of paying users)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20–25%</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DAU/MAU ratio (engagement quality)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20–25%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30–40%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45–55%</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Day-30 retention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10–15%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15–20%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20–30%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Browser-game UA CAC (NA/EU)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$7–12</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$12–20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Top 1% spender monthly spend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$300+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$500+</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$1,500+</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Revenue from top 10% of payers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65–70%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70–75%</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75–80%</w:t>
            </w:r>
          </w:p>
        </w:tc>
      </w:tr>
    </w:tbl>
    <w:p>
      <w:pPr>
        <w:spacing w:after="60" w:before="60"/>
      </w:pPr>
      <w:r>
        <w:t xml:space="preserve"/>
      </w:r>
    </w:p>
    <w:p>
      <w:pPr>
        <w:pStyle w:val="Heading2"/>
        <w:spacing w:after="120" w:before="240"/>
      </w:pPr>
      <w:r>
        <w:rPr>
          <w:rFonts w:ascii="Arial" w:cs="Arial" w:eastAsia="Arial" w:hAnsi="Arial"/>
          <w:b/>
          <w:bCs/>
          <w:color w:val="1E293B"/>
          <w:sz w:val="26"/>
          <w:szCs w:val="26"/>
        </w:rPr>
        <w:t xml:space="preserve">3.2  Yada Revenue Model Breakdown</w:t>
      </w:r>
    </w:p>
    <w:p>
      <w:pPr>
        <w:spacing w:after="80" w:before="80" w:line="340"/>
      </w:pPr>
      <w:r>
        <w:rPr>
          <w:rFonts w:ascii="Arial" w:cs="Arial" w:eastAsia="Arial" w:hAnsi="Arial"/>
          <w:color w:val="475569"/>
          <w:sz w:val="22"/>
          <w:szCs w:val="22"/>
        </w:rPr>
        <w:t xml:space="preserve">Yada operates a three-layer monetization stack. The gem IAP layer drives the majority of revenue and is the primary gacha engagement driver. The Battle Pass provides recurring subscription revenue with lower friction and higher attach from engaged daily players. Direct gem-pack purchases convert the high-intent whale segment.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Stream</w:t>
            </w:r>
          </w:p>
        </w:tc>
        <w:tc>
          <w:tcPr>
            <w:tcW w:type="dxa" w:w="16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16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 Share Est.</w:t>
            </w:r>
          </w:p>
        </w:tc>
        <w:tc>
          <w:tcPr>
            <w:tcW w:type="dxa" w:w="33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Single Pull (160 gems)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~$2.56 equiv.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N/A — soft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Gem economy; not direct cash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10-Pull (1,600 gems)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~$25.60 equiv.</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N/A — soft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Primary pull unit; typical player behavior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Gem Pack — Small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$9.99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~40%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Entry-level; converts minnows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Gem Pack — Medium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$24.99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~25%</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Core dolphin purchase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Gem Pack — Large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$49.99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~20%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Whale entry point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Gem Pack — Whale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$99.99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~10%</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Top spender; high margin per transaction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Starter Pack ($4.99)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$4.99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~5%</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Conversion catalyst; one-time per account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Battle Pass ($9.99/mo)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$9.99/mo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Recurring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MRR base; targets daily-active players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none" w:color="FFFFFF" w:sz="0"/>
              <w:bottom w:val="none" w:color="FFFFFF" w:sz="0"/>
              <w:right w:val="none" w:color="FFFFFF" w:sz="0"/>
            </w:tcBorders>
            <w:shd w:fill="F0FFF4" w:val="clear"/>
            <w:tcMar>
              <w:top w:type="dxa" w:w="120"/>
              <w:left w:type="dxa" w:w="160"/>
              <w:bottom w:type="dxa" w:w="120"/>
              <w:right w:type="dxa" w:w="160"/>
            </w:tcMar>
          </w:tcPr>
          <w:p>
            <w:r>
              <w:rPr>
                <w:rFonts w:ascii="Arial" w:cs="Arial" w:eastAsia="Arial" w:hAnsi="Arial"/>
                <w:b/>
                <w:bCs/>
                <w:color w:val="16A34A"/>
                <w:sz w:val="21"/>
                <w:szCs w:val="21"/>
              </w:rPr>
              <w:t xml:space="preserve">Unit Economics (Base Case, Year 2)</w:t>
            </w:r>
          </w:p>
          <w:p>
            <w:pPr>
              <w:spacing w:after="0" w:before="60"/>
            </w:pPr>
            <w:r>
              <w:rPr>
                <w:rFonts w:ascii="Arial" w:cs="Arial" w:eastAsia="Arial" w:hAnsi="Arial"/>
                <w:color w:val="334155"/>
                <w:sz w:val="21"/>
                <w:szCs w:val="21"/>
              </w:rPr>
              <w:t xml:space="preserve">At 15,000 DAU with 5% conversion = 750 paying users. Average ARPPU $55/mo = $41,250/mo IAP revenue. Battle Pass at 20% attach = 150 subscribers x $9.99 = $1,499/mo MRR. Total monthly revenue: ~$42,750. Annual run-rate: ~$513K. Stripe fees (2.9% + fixed): ~$1,500/mo. PlayFab: ~$200/mo at this scale. Net margin before UA and staff: ~70%.</w:t>
            </w:r>
          </w:p>
        </w:tc>
      </w:tr>
    </w:tbl>
    <w:p>
      <w:pPr>
        <w:spacing w:after="60" w:before="60"/>
      </w:pPr>
      <w:r>
        <w:t xml:space="preserve"/>
      </w:r>
    </w:p>
    <w:p>
      <w:pPr>
        <w:spacing w:after="60" w:before="60"/>
      </w:pPr>
      <w:r>
        <w:t xml:space="preserve"/>
      </w:r>
    </w:p>
    <w:p>
      <w:r>
        <w:br w:type="page"/>
      </w:r>
    </w:p>
    <w:p>
      <w:pPr>
        <w:pStyle w:val="Heading1"/>
        <w:pBdr>
          <w:bottom w:val="single" w:color="4F46E5" w:sz="4" w:space="4"/>
        </w:pBdr>
        <w:spacing w:after="160" w:before="320"/>
      </w:pPr>
      <w:r>
        <w:rPr>
          <w:rFonts w:ascii="Arial" w:cs="Arial" w:eastAsia="Arial" w:hAnsi="Arial"/>
          <w:b/>
          <w:bCs/>
          <w:color w:val="3730A3"/>
          <w:sz w:val="32"/>
          <w:szCs w:val="32"/>
        </w:rPr>
        <w:t xml:space="preserve">4. Three-Year P&amp;L Forecast</w:t>
      </w:r>
    </w:p>
    <w:p>
      <w:pPr>
        <w:pStyle w:val="Heading2"/>
        <w:spacing w:after="120" w:before="240"/>
      </w:pPr>
      <w:r>
        <w:rPr>
          <w:rFonts w:ascii="Arial" w:cs="Arial" w:eastAsia="Arial" w:hAnsi="Arial"/>
          <w:b/>
          <w:bCs/>
          <w:color w:val="1E293B"/>
          <w:sz w:val="26"/>
          <w:szCs w:val="26"/>
        </w:rPr>
        <w:t xml:space="preserve">4.1  Key Assumptions</w:t>
      </w:r>
    </w:p>
    <w:p>
      <w:pPr>
        <w:spacing w:after="80" w:before="80" w:line="340"/>
      </w:pPr>
      <w:r>
        <w:rPr>
          <w:rFonts w:ascii="Arial" w:cs="Arial" w:eastAsia="Arial" w:hAnsi="Arial"/>
          <w:color w:val="475569"/>
          <w:sz w:val="22"/>
          <w:szCs w:val="22"/>
        </w:rPr>
        <w:t xml:space="preserve">The forecast models three scenarios: Conservative (modest growth, limited UA), Base (moderate UA investment, solid retention), and Bull (strong IP resonance, viral growth, increased UA). All assume:</w:t>
      </w:r>
    </w:p>
    <w:p>
      <w:pPr>
        <w:spacing w:after="60" w:before="60"/>
      </w:pPr>
      <w:r>
        <w:t xml:space="preserve"/>
      </w:r>
    </w:p>
    <w:p>
      <w:pPr>
        <w:pStyle w:val="ListParagraph"/>
        <w:numPr>
          <w:ilvl w:val="0"/>
          <w:numId w:val="2"/>
        </w:numPr>
        <w:spacing w:after="40" w:before="40"/>
      </w:pPr>
      <w:r>
        <w:rPr>
          <w:rFonts w:ascii="Arial" w:cs="Arial" w:eastAsia="Arial" w:hAnsi="Arial"/>
          <w:color w:val="475569"/>
          <w:sz w:val="22"/>
          <w:szCs w:val="22"/>
        </w:rPr>
        <w:t xml:space="preserve">Robert remains the sole developer through Year 1; contractors/hires added in Year 2+</w:t>
      </w:r>
    </w:p>
    <w:p>
      <w:pPr>
        <w:pStyle w:val="ListParagraph"/>
        <w:numPr>
          <w:ilvl w:val="0"/>
          <w:numId w:val="2"/>
        </w:numPr>
        <w:spacing w:after="40" w:before="40"/>
      </w:pPr>
      <w:r>
        <w:rPr>
          <w:rFonts w:ascii="Arial" w:cs="Arial" w:eastAsia="Arial" w:hAnsi="Arial"/>
          <w:color w:val="475569"/>
          <w:sz w:val="22"/>
          <w:szCs w:val="22"/>
        </w:rPr>
        <w:t xml:space="preserve">Flagship game launches in Q3 2026 (H2 Year 1)</w:t>
      </w:r>
    </w:p>
    <w:p>
      <w:pPr>
        <w:pStyle w:val="ListParagraph"/>
        <w:numPr>
          <w:ilvl w:val="0"/>
          <w:numId w:val="2"/>
        </w:numPr>
        <w:spacing w:after="40" w:before="40"/>
      </w:pPr>
      <w:r>
        <w:rPr>
          <w:rFonts w:ascii="Arial" w:cs="Arial" w:eastAsia="Arial" w:hAnsi="Arial"/>
          <w:color w:val="475569"/>
          <w:sz w:val="22"/>
          <w:szCs w:val="22"/>
        </w:rPr>
        <w:t xml:space="preserve">Revenue is entirely browser-based; no app store fee applies (100% gross revenue retained before Stripe fees)</w:t>
      </w:r>
    </w:p>
    <w:p>
      <w:pPr>
        <w:pStyle w:val="ListParagraph"/>
        <w:numPr>
          <w:ilvl w:val="0"/>
          <w:numId w:val="2"/>
        </w:numPr>
        <w:spacing w:after="40" w:before="40"/>
      </w:pPr>
      <w:r>
        <w:rPr>
          <w:rFonts w:ascii="Arial" w:cs="Arial" w:eastAsia="Arial" w:hAnsi="Arial"/>
          <w:color w:val="475569"/>
          <w:sz w:val="22"/>
          <w:szCs w:val="22"/>
        </w:rPr>
        <w:t xml:space="preserve">Stripe fees modeled at 3.5% of gross revenue (blended 2.9% + fixed per transaction)</w:t>
      </w:r>
    </w:p>
    <w:p>
      <w:pPr>
        <w:pStyle w:val="ListParagraph"/>
        <w:numPr>
          <w:ilvl w:val="0"/>
          <w:numId w:val="2"/>
        </w:numPr>
        <w:spacing w:after="40" w:before="40"/>
      </w:pPr>
      <w:r>
        <w:rPr>
          <w:rFonts w:ascii="Arial" w:cs="Arial" w:eastAsia="Arial" w:hAnsi="Arial"/>
          <w:color w:val="475569"/>
          <w:sz w:val="22"/>
          <w:szCs w:val="22"/>
        </w:rPr>
        <w:t xml:space="preserve">PlayFab costs: free tier covers early scale; ~$200–500/mo by Year 2</w:t>
      </w:r>
    </w:p>
    <w:p>
      <w:pPr>
        <w:pStyle w:val="ListParagraph"/>
        <w:numPr>
          <w:ilvl w:val="0"/>
          <w:numId w:val="2"/>
        </w:numPr>
        <w:spacing w:after="40" w:before="40"/>
      </w:pPr>
      <w:r>
        <w:rPr>
          <w:rFonts w:ascii="Arial" w:cs="Arial" w:eastAsia="Arial" w:hAnsi="Arial"/>
          <w:color w:val="475569"/>
          <w:sz w:val="22"/>
          <w:szCs w:val="22"/>
        </w:rPr>
        <w:t xml:space="preserve">No licensing royalties — original IP means zero royalty drag</w:t>
      </w:r>
    </w:p>
    <w:p>
      <w:pPr>
        <w:pStyle w:val="ListParagraph"/>
        <w:numPr>
          <w:ilvl w:val="0"/>
          <w:numId w:val="2"/>
        </w:numPr>
        <w:spacing w:after="40" w:before="40"/>
      </w:pPr>
      <w:r>
        <w:rPr>
          <w:rFonts w:ascii="Arial" w:cs="Arial" w:eastAsia="Arial" w:hAnsi="Arial"/>
          <w:color w:val="475569"/>
          <w:sz w:val="22"/>
          <w:szCs w:val="22"/>
        </w:rPr>
        <w:t xml:space="preserve">All figures in USD. Fiscal year aligns with calendar year starting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Assumption</w:t>
            </w:r>
          </w:p>
        </w:tc>
        <w:tc>
          <w:tcPr>
            <w:tcW w:type="dxa" w:w="212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Conservative</w:t>
            </w:r>
          </w:p>
        </w:tc>
        <w:tc>
          <w:tcPr>
            <w:tcW w:type="dxa" w:w="212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Base</w:t>
            </w:r>
          </w:p>
        </w:tc>
        <w:tc>
          <w:tcPr>
            <w:tcW w:type="dxa" w:w="212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Launch (Month)</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Month 9</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Month 8</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Month 7</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Avg DAU — Year 1 H2</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400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700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Avg DAU — End Year 2</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5,000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15,000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40,000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Avg DAU — End Year 3</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12,000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35,000</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120,000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Conversion (paying ÷ DAU)</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2.5%</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4.5%</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ARPPU (monthly)</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$42</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$55</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Battle Pass attach rate</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15%</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22%</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UA Spend — Year 2</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$20K</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$35K</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$80K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UA Spend — Year 3</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$40K</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$75K</w:t>
            </w:r>
          </w:p>
        </w:tc>
        <w:tc>
          <w:tcPr>
            <w:tcW w:type="dxa" w:w="2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20"/>
                <w:szCs w:val="20"/>
              </w:rPr>
              <w:t xml:space="preserve">$200K</w:t>
            </w:r>
          </w:p>
        </w:tc>
      </w:tr>
    </w:tbl>
    <w:p>
      <w:pPr>
        <w:spacing w:after="60" w:before="60"/>
      </w:pPr>
      <w:r>
        <w:t xml:space="preserve"/>
      </w:r>
    </w:p>
    <w:p>
      <w:pPr>
        <w:pStyle w:val="Heading2"/>
        <w:spacing w:after="120" w:before="240"/>
      </w:pPr>
      <w:r>
        <w:rPr>
          <w:rFonts w:ascii="Arial" w:cs="Arial" w:eastAsia="Arial" w:hAnsi="Arial"/>
          <w:b/>
          <w:bCs/>
          <w:color w:val="1E293B"/>
          <w:sz w:val="26"/>
          <w:szCs w:val="26"/>
        </w:rPr>
        <w:t xml:space="preserve">4.2  Revenue Model</w:t>
      </w:r>
    </w:p>
    <w:p>
      <w:pPr>
        <w:spacing w:after="80" w:before="80" w:line="340"/>
      </w:pPr>
      <w:r>
        <w:rPr>
          <w:rFonts w:ascii="Arial" w:cs="Arial" w:eastAsia="Arial" w:hAnsi="Arial"/>
          <w:color w:val="475569"/>
          <w:sz w:val="22"/>
          <w:szCs w:val="22"/>
        </w:rPr>
        <w:t xml:space="preserve">Revenue is computed monthly using DAU ramp (linear), then annualized. IAP revenue = DAU x conversion% x ARPPU x 12. Battle Pass revenue = paying users x attach% x $9.99 x 12.</w:t>
      </w:r>
    </w:p>
    <w:p>
      <w:pPr>
        <w:spacing w:after="60" w:before="60"/>
      </w:pPr>
      <w:r>
        <w:t xml:space="preserve"/>
      </w:r>
    </w:p>
    <w:p>
      <w:pPr>
        <w:pStyle w:val="Heading3"/>
        <w:spacing w:after="80" w:before="180"/>
      </w:pPr>
      <w:r>
        <w:rPr>
          <w:rFonts w:ascii="Arial" w:cs="Arial" w:eastAsia="Arial" w:hAnsi="Arial"/>
          <w:b/>
          <w:bCs/>
          <w:color w:val="334155"/>
          <w:sz w:val="22"/>
          <w:szCs w:val="22"/>
        </w:rPr>
        <w:t xml:space="preserve">Annual Revenue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780"/>
        <w:gridCol w:w="780"/>
        <w:gridCol w:w="780"/>
        <w:gridCol w:w="780"/>
        <w:gridCol w:w="780"/>
        <w:gridCol w:w="780"/>
        <w:gridCol w:w="780"/>
        <w:gridCol w:w="780"/>
        <w:gridCol w:w="780"/>
      </w:tblGrid>
      <w:tr>
        <w:tc>
          <w:tcPr>
            <w:tcW w:type="dxa" w:w="264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60"/>
            </w:tcMar>
          </w:tcPr>
          <w:p>
            <w:r>
              <w:rPr>
                <w:rFonts w:ascii="Arial" w:cs="Arial" w:eastAsia="Arial" w:hAnsi="Arial"/>
                <w:sz w:val="18"/>
                <w:szCs w:val="18"/>
              </w:rPr>
              <w:t xml:space="preserve"/>
            </w:r>
          </w:p>
        </w:tc>
        <w:tc>
          <w:tcPr>
            <w:tcW w:type="dxa" w:w="2340"/>
            <w:gridSpan w:val="3"/>
            <w:tcBorders>
              <w:top w:val="single" w:color="CBD5E1" w:sz="1"/>
              <w:left w:val="single" w:color="CBD5E1" w:sz="1"/>
              <w:bottom w:val="single" w:color="CBD5E1" w:sz="1"/>
              <w:right w:val="single" w:color="CBD5E1" w:sz="1"/>
            </w:tcBorders>
            <w:shd w:fill="3730A3" w:val="clear"/>
            <w:tcMar>
              <w:top w:type="dxa" w:w="60"/>
              <w:left w:type="dxa" w:w="60"/>
              <w:bottom w:type="dxa" w:w="60"/>
              <w:right w:type="dxa" w:w="60"/>
            </w:tcMar>
          </w:tcPr>
          <w:p>
            <w:pPr>
              <w:jc w:val="center"/>
            </w:pPr>
            <w:r>
              <w:rPr>
                <w:rFonts w:ascii="Arial" w:cs="Arial" w:eastAsia="Arial" w:hAnsi="Arial"/>
                <w:b/>
                <w:bCs/>
                <w:color w:val="FFFFFF"/>
                <w:sz w:val="20"/>
                <w:szCs w:val="20"/>
              </w:rPr>
              <w:t xml:space="preserve">Year 1 (2026)</w:t>
            </w:r>
          </w:p>
        </w:tc>
        <w:tc>
          <w:tcPr>
            <w:tcW w:type="dxa" w:w="2340"/>
            <w:gridSpan w:val="3"/>
            <w:tcBorders>
              <w:top w:val="single" w:color="CBD5E1" w:sz="1"/>
              <w:left w:val="single" w:color="CBD5E1" w:sz="1"/>
              <w:bottom w:val="single" w:color="CBD5E1" w:sz="1"/>
              <w:right w:val="single" w:color="CBD5E1" w:sz="1"/>
            </w:tcBorders>
            <w:shd w:fill="4F46E5" w:val="clear"/>
            <w:tcMar>
              <w:top w:type="dxa" w:w="60"/>
              <w:left w:type="dxa" w:w="60"/>
              <w:bottom w:type="dxa" w:w="60"/>
              <w:right w:type="dxa" w:w="60"/>
            </w:tcMar>
          </w:tcPr>
          <w:p>
            <w:pPr>
              <w:jc w:val="center"/>
            </w:pPr>
            <w:r>
              <w:rPr>
                <w:rFonts w:ascii="Arial" w:cs="Arial" w:eastAsia="Arial" w:hAnsi="Arial"/>
                <w:b/>
                <w:bCs/>
                <w:color w:val="FFFFFF"/>
                <w:sz w:val="20"/>
                <w:szCs w:val="20"/>
              </w:rPr>
              <w:t xml:space="preserve">Year 2 (2027)</w:t>
            </w:r>
          </w:p>
        </w:tc>
        <w:tc>
          <w:tcPr>
            <w:tcW w:type="dxa" w:w="2340"/>
            <w:gridSpan w:val="3"/>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center"/>
            </w:pPr>
            <w:r>
              <w:rPr>
                <w:rFonts w:ascii="Arial" w:cs="Arial" w:eastAsia="Arial" w:hAnsi="Arial"/>
                <w:b/>
                <w:bCs/>
                <w:color w:val="FFFFFF"/>
                <w:sz w:val="20"/>
                <w:szCs w:val="20"/>
              </w:rPr>
              <w:t xml:space="preserve">Year 3 (2028)</w:t>
            </w:r>
          </w:p>
        </w:tc>
      </w:tr>
      <w:tr>
        <w:tc>
          <w:tcPr>
            <w:tcW w:type="dxa" w:w="264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60"/>
            </w:tcMar>
          </w:tcPr>
          <w:p>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Cons.</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Base</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Bull</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Cons.</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Base</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Bull</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Cons.</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Base</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Bull</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IAP Revenue</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$95K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$274K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$730K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$226K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$891K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$3,326K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Battle Pass MRR (ann.)</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$147K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$194K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$666K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Starter Pack (one-time conv.)</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$60K</w:t>
            </w:r>
          </w:p>
        </w:tc>
      </w:tr>
      <w:tr>
        <w:tc>
          <w:tcPr>
            <w:tcW w:type="dxa" w:w="2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60"/>
            </w:tcMar>
          </w:tcPr>
          <w:p>
            <w:r>
              <w:rPr>
                <w:rFonts w:ascii="Arial" w:cs="Arial" w:eastAsia="Arial" w:hAnsi="Arial"/>
                <w:b/>
                <w:bCs/>
                <w:color w:val="1E293B"/>
                <w:sz w:val="20"/>
                <w:szCs w:val="20"/>
              </w:rPr>
              <w:t xml:space="preserve">Total Gross Revenue</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$4.5K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$9K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$18K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$118K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$346K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$909K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$278K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$1,110K</w:t>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bCs/>
                <w:color w:val="3730A3"/>
                <w:sz w:val="20"/>
                <w:szCs w:val="20"/>
              </w:rPr>
              <w:t xml:space="preserve">$4,052K</w:t>
            </w:r>
          </w:p>
        </w:tc>
      </w:tr>
    </w:tbl>
    <w:p>
      <w:pPr>
        <w:spacing w:after="60" w:before="60"/>
      </w:pPr>
      <w:r>
        <w:t xml:space="preserve"/>
      </w:r>
    </w:p>
    <w:p>
      <w:pPr>
        <w:pStyle w:val="Heading2"/>
        <w:spacing w:after="120" w:before="240"/>
      </w:pPr>
      <w:r>
        <w:rPr>
          <w:rFonts w:ascii="Arial" w:cs="Arial" w:eastAsia="Arial" w:hAnsi="Arial"/>
          <w:b/>
          <w:bCs/>
          <w:color w:val="1E293B"/>
          <w:sz w:val="26"/>
          <w:szCs w:val="26"/>
        </w:rPr>
        <w:t xml:space="preserve">4.3  Full P&amp;L</w:t>
      </w:r>
    </w:p>
    <w:p>
      <w:pPr>
        <w:pStyle w:val="Heading3"/>
        <w:spacing w:after="80" w:before="180"/>
      </w:pPr>
      <w:r>
        <w:rPr>
          <w:rFonts w:ascii="Arial" w:cs="Arial" w:eastAsia="Arial" w:hAnsi="Arial"/>
          <w:b/>
          <w:bCs/>
          <w:color w:val="334155"/>
          <w:sz w:val="22"/>
          <w:szCs w:val="22"/>
        </w:rPr>
        <w:t xml:space="preserve">Costs &amp; Operating Expenses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780"/>
        <w:gridCol w:w="780"/>
        <w:gridCol w:w="780"/>
        <w:gridCol w:w="780"/>
        <w:gridCol w:w="780"/>
        <w:gridCol w:w="780"/>
        <w:gridCol w:w="780"/>
        <w:gridCol w:w="780"/>
        <w:gridCol w:w="780"/>
      </w:tblGrid>
      <w:tr>
        <w:tc>
          <w:tcPr>
            <w:tcW w:type="dxa" w:w="264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60"/>
            </w:tcMar>
          </w:tcPr>
          <w:p>
            <w:r>
              <w:rPr>
                <w:rFonts w:ascii="Arial" w:cs="Arial" w:eastAsia="Arial" w:hAnsi="Arial"/>
                <w:sz w:val="18"/>
                <w:szCs w:val="18"/>
              </w:rPr>
              <w:t xml:space="preserve"/>
            </w:r>
          </w:p>
        </w:tc>
        <w:tc>
          <w:tcPr>
            <w:tcW w:type="dxa" w:w="2340"/>
            <w:gridSpan w:val="3"/>
            <w:tcBorders>
              <w:top w:val="single" w:color="CBD5E1" w:sz="1"/>
              <w:left w:val="single" w:color="CBD5E1" w:sz="1"/>
              <w:bottom w:val="single" w:color="CBD5E1" w:sz="1"/>
              <w:right w:val="single" w:color="CBD5E1" w:sz="1"/>
            </w:tcBorders>
            <w:shd w:fill="3730A3" w:val="clear"/>
            <w:tcMar>
              <w:top w:type="dxa" w:w="60"/>
              <w:left w:type="dxa" w:w="60"/>
              <w:bottom w:type="dxa" w:w="60"/>
              <w:right w:type="dxa" w:w="60"/>
            </w:tcMar>
          </w:tcPr>
          <w:p>
            <w:pPr>
              <w:jc w:val="center"/>
            </w:pPr>
            <w:r>
              <w:rPr>
                <w:rFonts w:ascii="Arial" w:cs="Arial" w:eastAsia="Arial" w:hAnsi="Arial"/>
                <w:b/>
                <w:bCs/>
                <w:color w:val="FFFFFF"/>
                <w:sz w:val="20"/>
                <w:szCs w:val="20"/>
              </w:rPr>
              <w:t xml:space="preserve">Year 1 (2026)</w:t>
            </w:r>
          </w:p>
        </w:tc>
        <w:tc>
          <w:tcPr>
            <w:tcW w:type="dxa" w:w="2340"/>
            <w:gridSpan w:val="3"/>
            <w:tcBorders>
              <w:top w:val="single" w:color="CBD5E1" w:sz="1"/>
              <w:left w:val="single" w:color="CBD5E1" w:sz="1"/>
              <w:bottom w:val="single" w:color="CBD5E1" w:sz="1"/>
              <w:right w:val="single" w:color="CBD5E1" w:sz="1"/>
            </w:tcBorders>
            <w:shd w:fill="4F46E5" w:val="clear"/>
            <w:tcMar>
              <w:top w:type="dxa" w:w="60"/>
              <w:left w:type="dxa" w:w="60"/>
              <w:bottom w:type="dxa" w:w="60"/>
              <w:right w:type="dxa" w:w="60"/>
            </w:tcMar>
          </w:tcPr>
          <w:p>
            <w:pPr>
              <w:jc w:val="center"/>
            </w:pPr>
            <w:r>
              <w:rPr>
                <w:rFonts w:ascii="Arial" w:cs="Arial" w:eastAsia="Arial" w:hAnsi="Arial"/>
                <w:b/>
                <w:bCs/>
                <w:color w:val="FFFFFF"/>
                <w:sz w:val="20"/>
                <w:szCs w:val="20"/>
              </w:rPr>
              <w:t xml:space="preserve">Year 2 (2027)</w:t>
            </w:r>
          </w:p>
        </w:tc>
        <w:tc>
          <w:tcPr>
            <w:tcW w:type="dxa" w:w="2340"/>
            <w:gridSpan w:val="3"/>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center"/>
            </w:pPr>
            <w:r>
              <w:rPr>
                <w:rFonts w:ascii="Arial" w:cs="Arial" w:eastAsia="Arial" w:hAnsi="Arial"/>
                <w:b/>
                <w:bCs/>
                <w:color w:val="FFFFFF"/>
                <w:sz w:val="20"/>
                <w:szCs w:val="20"/>
              </w:rPr>
              <w:t xml:space="preserve">Year 3 (2028)</w:t>
            </w:r>
          </w:p>
        </w:tc>
      </w:tr>
      <w:tr>
        <w:tc>
          <w:tcPr>
            <w:tcW w:type="dxa" w:w="264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60"/>
            </w:tcMar>
          </w:tcPr>
          <w:p>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Cons.</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Base</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Bull</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Cons.</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Base</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Bull</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Cons.</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Base</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Bull</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Gross Revenue</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$9K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$118K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$346K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$909K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$278K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$1,110K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$4,052K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Stripe/Payment Fees (3.5%)</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($39K)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($142K)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Net Revenue</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$8.7K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$17.4K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$114K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$334K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$877K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$268K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$1,071K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$3,910K</w:t>
            </w:r>
          </w:p>
        </w:tc>
      </w:tr>
      <w:tr>
        <w:tc>
          <w:tcPr>
            <w:tcW w:type="dxa" w:w="2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60"/>
            </w:tcMar>
          </w:tcPr>
          <w:p>
            <w:r>
              <w:rPr>
                <w:rFonts w:ascii="Arial" w:cs="Arial" w:eastAsia="Arial" w:hAnsi="Arial"/>
                <w:b w:val="false"/>
                <w:bCs w:val="false"/>
                <w:color w:val="334155"/>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r>
      <w:tr>
        <w:tc>
          <w:tcPr>
            <w:tcW w:type="dxa" w:w="264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60"/>
            </w:tcMar>
          </w:tcPr>
          <w:p>
            <w:r>
              <w:rPr>
                <w:rFonts w:ascii="Arial" w:cs="Arial" w:eastAsia="Arial" w:hAnsi="Arial"/>
                <w:b/>
                <w:bCs/>
                <w:color w:val="FFFFFF"/>
                <w:sz w:val="19"/>
                <w:szCs w:val="19"/>
              </w:rPr>
              <w:t xml:space="preserve">COST OF GOODS SOLD</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Infrastructure (servers/CDN/PF)</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($60K)</w:t>
            </w:r>
          </w:p>
        </w:tc>
      </w:tr>
      <w:tr>
        <w:tc>
          <w:tcPr>
            <w:tcW w:type="dxa" w:w="2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60"/>
            </w:tcMar>
          </w:tcPr>
          <w:p>
            <w:r>
              <w:rPr>
                <w:rFonts w:ascii="Arial" w:cs="Arial" w:eastAsia="Arial" w:hAnsi="Arial"/>
                <w:b w:val="false"/>
                <w:bCs w:val="false"/>
                <w:color w:val="334155"/>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r>
      <w:tr>
        <w:tc>
          <w:tcPr>
            <w:tcW w:type="dxa" w:w="2640"/>
            <w:tcBorders>
              <w:top w:val="single" w:color="CBD5E1" w:sz="1"/>
              <w:left w:val="single" w:color="CBD5E1" w:sz="1"/>
              <w:bottom w:val="single" w:color="CBD5E1" w:sz="1"/>
              <w:right w:val="single" w:color="CBD5E1" w:sz="1"/>
            </w:tcBorders>
            <w:shd w:fill="1E293B" w:val="clear"/>
            <w:tcMar>
              <w:top w:type="dxa" w:w="60"/>
              <w:left w:type="dxa" w:w="120"/>
              <w:bottom w:type="dxa" w:w="60"/>
              <w:right w:type="dxa" w:w="60"/>
            </w:tcMar>
          </w:tcPr>
          <w:p>
            <w:r>
              <w:rPr>
                <w:rFonts w:ascii="Arial" w:cs="Arial" w:eastAsia="Arial" w:hAnsi="Arial"/>
                <w:b/>
                <w:bCs/>
                <w:color w:val="FFFFFF"/>
                <w:sz w:val="19"/>
                <w:szCs w:val="19"/>
              </w:rPr>
              <w:t xml:space="preserve">OPERATING EXPENSES</w:t>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c>
          <w:tcPr>
            <w:tcW w:type="dxa" w:w="780"/>
            <w:tcBorders>
              <w:top w:val="single" w:color="CBD5E1" w:sz="1"/>
              <w:left w:val="single" w:color="CBD5E1" w:sz="1"/>
              <w:bottom w:val="single" w:color="CBD5E1" w:sz="1"/>
              <w:right w:val="single" w:color="CBD5E1" w:sz="1"/>
            </w:tcBorders>
            <w:shd w:fill="1E293B" w:val="clear"/>
            <w:tcMar>
              <w:top w:type="dxa" w:w="60"/>
              <w:left w:type="dxa" w:w="60"/>
              <w:bottom w:type="dxa" w:w="60"/>
              <w:right w:type="dxa" w:w="60"/>
            </w:tcMar>
          </w:tcPr>
          <w:p>
            <w:pPr>
              <w:jc w:val="right"/>
            </w:pPr>
            <w:r>
              <w:rPr>
                <w:rFonts w:ascii="Arial" w:cs="Arial" w:eastAsia="Arial" w:hAnsi="Arial"/>
                <w:b/>
                <w:bCs/>
                <w:color w:val="FFFFFF"/>
                <w:sz w:val="19"/>
                <w:szCs w:val="19"/>
              </w:rPr>
              <w:t xml:space="preserve"/>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Art / Character Design (freelance)</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($100K)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($140K)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($240K)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Engineering / Contractor</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($160K)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($300K)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User Acquisition (UA)</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($75K)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($200K)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Legal / Compliance / IP filing</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SaaS Tools / Ops</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($10K)</w:t>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Founder Salary (imputed)</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$0</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$60K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$120K</w:t>
            </w:r>
          </w:p>
        </w:tc>
      </w:tr>
      <w:tr>
        <w:tc>
          <w:tcPr>
            <w:tcW w:type="dxa" w:w="26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60"/>
            </w:tcMar>
          </w:tcPr>
          <w:p>
            <w:r>
              <w:rPr>
                <w:rFonts w:ascii="Arial" w:cs="Arial" w:eastAsia="Arial" w:hAnsi="Arial"/>
                <w:b w:val="false"/>
                <w:bCs w:val="false"/>
                <w:color w:val="334155"/>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c>
          <w:tcPr>
            <w:tcW w:type="dxa" w:w="780"/>
            <w:tcBorders>
              <w:top w:val="single" w:color="CBD5E1" w:sz="1"/>
              <w:left w:val="single" w:color="CBD5E1" w:sz="1"/>
              <w:bottom w:val="single" w:color="CBD5E1" w:sz="1"/>
              <w:right w:val="single" w:color="CBD5E1" w:sz="1"/>
            </w:tcBorders>
            <w:shd w:fill="F1F5F9"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
            </w:r>
          </w:p>
        </w:tc>
      </w:tr>
      <w:tr>
        <w:tc>
          <w:tcPr>
            <w:tcW w:type="dxa" w:w="26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60"/>
            </w:tcMar>
          </w:tcPr>
          <w:p>
            <w:r>
              <w:rPr>
                <w:rFonts w:ascii="Arial" w:cs="Arial" w:eastAsia="Arial" w:hAnsi="Arial"/>
                <w:b w:val="false"/>
                <w:bCs w:val="false"/>
                <w:color w:val="334155"/>
                <w:sz w:val="19"/>
                <w:szCs w:val="19"/>
              </w:rPr>
              <w:t xml:space="preserve">Total Costs</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($27K)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($45K)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($117K)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($176K)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($338K)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($222K)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($473K)</w:t>
            </w:r>
          </w:p>
        </w:tc>
        <w:tc>
          <w:tcPr>
            <w:tcW w:type="dxa" w:w="78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tcPr>
          <w:p>
            <w:pPr>
              <w:jc w:val="right"/>
            </w:pPr>
            <w:r>
              <w:rPr>
                <w:rFonts w:ascii="Arial" w:cs="Arial" w:eastAsia="Arial" w:hAnsi="Arial"/>
                <w:b w:val="false"/>
                <w:bCs w:val="false"/>
                <w:color w:val="475569"/>
                <w:sz w:val="19"/>
                <w:szCs w:val="19"/>
              </w:rPr>
              <w:t xml:space="preserve">($1,022K)</w:t>
            </w:r>
          </w:p>
        </w:tc>
      </w:tr>
      <w:tr>
        <w:tc>
          <w:tcPr>
            <w:tcW w:type="dxa" w:w="26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60"/>
            </w:tcMar>
          </w:tcPr>
          <w:p>
            <w:r>
              <w:rPr>
                <w:rFonts w:ascii="Arial" w:cs="Arial" w:eastAsia="Arial" w:hAnsi="Arial"/>
                <w:b/>
                <w:bCs/>
                <w:color w:val="1E293B"/>
                <w:sz w:val="20"/>
                <w:szCs w:val="20"/>
              </w:rPr>
              <w:t xml:space="preserve">Net Income / (Loss)</w:t>
            </w:r>
          </w:p>
        </w:tc>
        <w:tc>
          <w:tcPr>
            <w:tcW w:type="dxa" w:w="780"/>
            <w:tcBorders>
              <w:top w:val="single" w:color="CBD5E1" w:sz="1"/>
              <w:left w:val="single" w:color="CBD5E1" w:sz="1"/>
              <w:bottom w:val="single" w:color="CBD5E1" w:sz="1"/>
              <w:right w:val="single" w:color="CBD5E1" w:sz="1"/>
            </w:tcBorders>
            <w:shd w:fill="FEE2E2" w:val="clear"/>
            <w:tcMar>
              <w:top w:type="dxa" w:w="80"/>
              <w:left w:type="dxa" w:w="60"/>
              <w:bottom w:type="dxa" w:w="80"/>
              <w:right w:type="dxa" w:w="60"/>
            </w:tcMar>
          </w:tcPr>
          <w:p>
            <w:pPr>
              <w:jc w:val="right"/>
            </w:pPr>
            <w:r>
              <w:rPr>
                <w:rFonts w:ascii="Arial" w:cs="Arial" w:eastAsia="Arial" w:hAnsi="Arial"/>
                <w:b/>
                <w:bCs/>
                <w:color w:val="DC2626"/>
                <w:sz w:val="20"/>
                <w:szCs w:val="20"/>
              </w:rPr>
              <w:t xml:space="preserve">($23K)</w:t>
            </w:r>
          </w:p>
        </w:tc>
        <w:tc>
          <w:tcPr>
            <w:tcW w:type="dxa" w:w="780"/>
            <w:tcBorders>
              <w:top w:val="single" w:color="CBD5E1" w:sz="1"/>
              <w:left w:val="single" w:color="CBD5E1" w:sz="1"/>
              <w:bottom w:val="single" w:color="CBD5E1" w:sz="1"/>
              <w:right w:val="single" w:color="CBD5E1" w:sz="1"/>
            </w:tcBorders>
            <w:shd w:fill="FEE2E2" w:val="clear"/>
            <w:tcMar>
              <w:top w:type="dxa" w:w="80"/>
              <w:left w:type="dxa" w:w="60"/>
              <w:bottom w:type="dxa" w:w="80"/>
              <w:right w:type="dxa" w:w="60"/>
            </w:tcMar>
          </w:tcPr>
          <w:p>
            <w:pPr>
              <w:jc w:val="right"/>
            </w:pPr>
            <w:r>
              <w:rPr>
                <w:rFonts w:ascii="Arial" w:cs="Arial" w:eastAsia="Arial" w:hAnsi="Arial"/>
                <w:b/>
                <w:bCs/>
                <w:color w:val="DC2626"/>
                <w:sz w:val="20"/>
                <w:szCs w:val="20"/>
              </w:rPr>
              <w:t xml:space="preserve">($24K)</w:t>
            </w:r>
          </w:p>
        </w:tc>
        <w:tc>
          <w:tcPr>
            <w:tcW w:type="dxa" w:w="780"/>
            <w:tcBorders>
              <w:top w:val="single" w:color="CBD5E1" w:sz="1"/>
              <w:left w:val="single" w:color="CBD5E1" w:sz="1"/>
              <w:bottom w:val="single" w:color="CBD5E1" w:sz="1"/>
              <w:right w:val="single" w:color="CBD5E1" w:sz="1"/>
            </w:tcBorders>
            <w:shd w:fill="FEE2E2" w:val="clear"/>
            <w:tcMar>
              <w:top w:type="dxa" w:w="80"/>
              <w:left w:type="dxa" w:w="60"/>
              <w:bottom w:type="dxa" w:w="80"/>
              <w:right w:type="dxa" w:w="60"/>
            </w:tcMar>
          </w:tcPr>
          <w:p>
            <w:pPr>
              <w:jc w:val="right"/>
            </w:pPr>
            <w:r>
              <w:rPr>
                <w:rFonts w:ascii="Arial" w:cs="Arial" w:eastAsia="Arial" w:hAnsi="Arial"/>
                <w:b/>
                <w:bCs/>
                <w:color w:val="DC2626"/>
                <w:sz w:val="20"/>
                <w:szCs w:val="20"/>
              </w:rPr>
              <w:t xml:space="preserve">($28K)</w:t>
            </w:r>
          </w:p>
        </w:tc>
        <w:tc>
          <w:tcPr>
            <w:tcW w:type="dxa" w:w="780"/>
            <w:tcBorders>
              <w:top w:val="single" w:color="CBD5E1" w:sz="1"/>
              <w:left w:val="single" w:color="CBD5E1" w:sz="1"/>
              <w:bottom w:val="single" w:color="CBD5E1" w:sz="1"/>
              <w:right w:val="single" w:color="CBD5E1" w:sz="1"/>
            </w:tcBorders>
            <w:shd w:fill="FEE2E2" w:val="clear"/>
            <w:tcMar>
              <w:top w:type="dxa" w:w="80"/>
              <w:left w:type="dxa" w:w="60"/>
              <w:bottom w:type="dxa" w:w="80"/>
              <w:right w:type="dxa" w:w="60"/>
            </w:tcMar>
          </w:tcPr>
          <w:p>
            <w:pPr>
              <w:jc w:val="right"/>
            </w:pPr>
            <w:r>
              <w:rPr>
                <w:rFonts w:ascii="Arial" w:cs="Arial" w:eastAsia="Arial" w:hAnsi="Arial"/>
                <w:b/>
                <w:bCs/>
                <w:color w:val="DC2626"/>
                <w:sz w:val="20"/>
                <w:szCs w:val="20"/>
              </w:rPr>
              <w:t xml:space="preserve">($3K)</w:t>
            </w:r>
          </w:p>
        </w:tc>
        <w:tc>
          <w:tcPr>
            <w:tcW w:type="dxa" w:w="780"/>
            <w:tcBorders>
              <w:top w:val="single" w:color="CBD5E1" w:sz="1"/>
              <w:left w:val="single" w:color="CBD5E1" w:sz="1"/>
              <w:bottom w:val="single" w:color="CBD5E1" w:sz="1"/>
              <w:right w:val="single" w:color="CBD5E1" w:sz="1"/>
            </w:tcBorders>
            <w:shd w:fill="DCFCE7" w:val="clear"/>
            <w:tcMar>
              <w:top w:type="dxa" w:w="80"/>
              <w:left w:type="dxa" w:w="60"/>
              <w:bottom w:type="dxa" w:w="80"/>
              <w:right w:type="dxa" w:w="60"/>
            </w:tcMar>
          </w:tcPr>
          <w:p>
            <w:pPr>
              <w:jc w:val="right"/>
            </w:pPr>
            <w:r>
              <w:rPr>
                <w:rFonts w:ascii="Arial" w:cs="Arial" w:eastAsia="Arial" w:hAnsi="Arial"/>
                <w:b/>
                <w:bCs/>
                <w:color w:val="16A34A"/>
                <w:sz w:val="20"/>
                <w:szCs w:val="20"/>
              </w:rPr>
              <w:t xml:space="preserve">$158K</w:t>
            </w:r>
          </w:p>
        </w:tc>
        <w:tc>
          <w:tcPr>
            <w:tcW w:type="dxa" w:w="780"/>
            <w:tcBorders>
              <w:top w:val="single" w:color="CBD5E1" w:sz="1"/>
              <w:left w:val="single" w:color="CBD5E1" w:sz="1"/>
              <w:bottom w:val="single" w:color="CBD5E1" w:sz="1"/>
              <w:right w:val="single" w:color="CBD5E1" w:sz="1"/>
            </w:tcBorders>
            <w:shd w:fill="DCFCE7" w:val="clear"/>
            <w:tcMar>
              <w:top w:type="dxa" w:w="80"/>
              <w:left w:type="dxa" w:w="60"/>
              <w:bottom w:type="dxa" w:w="80"/>
              <w:right w:type="dxa" w:w="60"/>
            </w:tcMar>
          </w:tcPr>
          <w:p>
            <w:pPr>
              <w:jc w:val="right"/>
            </w:pPr>
            <w:r>
              <w:rPr>
                <w:rFonts w:ascii="Arial" w:cs="Arial" w:eastAsia="Arial" w:hAnsi="Arial"/>
                <w:b/>
                <w:bCs/>
                <w:color w:val="16A34A"/>
                <w:sz w:val="20"/>
                <w:szCs w:val="20"/>
              </w:rPr>
              <w:t xml:space="preserve">$539K</w:t>
            </w:r>
          </w:p>
        </w:tc>
        <w:tc>
          <w:tcPr>
            <w:tcW w:type="dxa" w:w="780"/>
            <w:tcBorders>
              <w:top w:val="single" w:color="CBD5E1" w:sz="1"/>
              <w:left w:val="single" w:color="CBD5E1" w:sz="1"/>
              <w:bottom w:val="single" w:color="CBD5E1" w:sz="1"/>
              <w:right w:val="single" w:color="CBD5E1" w:sz="1"/>
            </w:tcBorders>
            <w:shd w:fill="DCFCE7" w:val="clear"/>
            <w:tcMar>
              <w:top w:type="dxa" w:w="80"/>
              <w:left w:type="dxa" w:w="60"/>
              <w:bottom w:type="dxa" w:w="80"/>
              <w:right w:type="dxa" w:w="60"/>
            </w:tcMar>
          </w:tcPr>
          <w:p>
            <w:pPr>
              <w:jc w:val="right"/>
            </w:pPr>
            <w:r>
              <w:rPr>
                <w:rFonts w:ascii="Arial" w:cs="Arial" w:eastAsia="Arial" w:hAnsi="Arial"/>
                <w:b/>
                <w:bCs/>
                <w:color w:val="16A34A"/>
                <w:sz w:val="20"/>
                <w:szCs w:val="20"/>
              </w:rPr>
              <w:t xml:space="preserve">$46K</w:t>
            </w:r>
          </w:p>
        </w:tc>
        <w:tc>
          <w:tcPr>
            <w:tcW w:type="dxa" w:w="780"/>
            <w:tcBorders>
              <w:top w:val="single" w:color="CBD5E1" w:sz="1"/>
              <w:left w:val="single" w:color="CBD5E1" w:sz="1"/>
              <w:bottom w:val="single" w:color="CBD5E1" w:sz="1"/>
              <w:right w:val="single" w:color="CBD5E1" w:sz="1"/>
            </w:tcBorders>
            <w:shd w:fill="DCFCE7" w:val="clear"/>
            <w:tcMar>
              <w:top w:type="dxa" w:w="80"/>
              <w:left w:type="dxa" w:w="60"/>
              <w:bottom w:type="dxa" w:w="80"/>
              <w:right w:type="dxa" w:w="60"/>
            </w:tcMar>
          </w:tcPr>
          <w:p>
            <w:pPr>
              <w:jc w:val="right"/>
            </w:pPr>
            <w:r>
              <w:rPr>
                <w:rFonts w:ascii="Arial" w:cs="Arial" w:eastAsia="Arial" w:hAnsi="Arial"/>
                <w:b/>
                <w:bCs/>
                <w:color w:val="16A34A"/>
                <w:sz w:val="20"/>
                <w:szCs w:val="20"/>
              </w:rPr>
              <w:t xml:space="preserve">$598K</w:t>
            </w:r>
          </w:p>
        </w:tc>
        <w:tc>
          <w:tcPr>
            <w:tcW w:type="dxa" w:w="780"/>
            <w:tcBorders>
              <w:top w:val="single" w:color="CBD5E1" w:sz="1"/>
              <w:left w:val="single" w:color="CBD5E1" w:sz="1"/>
              <w:bottom w:val="single" w:color="CBD5E1" w:sz="1"/>
              <w:right w:val="single" w:color="CBD5E1" w:sz="1"/>
            </w:tcBorders>
            <w:shd w:fill="DCFCE7" w:val="clear"/>
            <w:tcMar>
              <w:top w:type="dxa" w:w="80"/>
              <w:left w:type="dxa" w:w="60"/>
              <w:bottom w:type="dxa" w:w="80"/>
              <w:right w:type="dxa" w:w="60"/>
            </w:tcMar>
          </w:tcPr>
          <w:p>
            <w:pPr>
              <w:jc w:val="right"/>
            </w:pPr>
            <w:r>
              <w:rPr>
                <w:rFonts w:ascii="Arial" w:cs="Arial" w:eastAsia="Arial" w:hAnsi="Arial"/>
                <w:b/>
                <w:bCs/>
                <w:color w:val="16A34A"/>
                <w:sz w:val="20"/>
                <w:szCs w:val="20"/>
              </w:rPr>
              <w:t xml:space="preserve">$2,888K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none" w:color="FFFFFF" w:sz="0"/>
              <w:bottom w:val="none" w:color="FFFFFF" w:sz="0"/>
              <w:right w:val="none" w:color="FFFFFF" w:sz="0"/>
            </w:tcBorders>
            <w:shd w:fill="FFF7ED" w:val="clear"/>
            <w:tcMar>
              <w:top w:type="dxa" w:w="120"/>
              <w:left w:type="dxa" w:w="160"/>
              <w:bottom w:type="dxa" w:w="120"/>
              <w:right w:type="dxa" w:w="160"/>
            </w:tcMar>
          </w:tcPr>
          <w:p>
            <w:r>
              <w:rPr>
                <w:rFonts w:ascii="Arial" w:cs="Arial" w:eastAsia="Arial" w:hAnsi="Arial"/>
                <w:b/>
                <w:bCs/>
                <w:color w:val="D97706"/>
                <w:sz w:val="21"/>
                <w:szCs w:val="21"/>
              </w:rPr>
              <w:t xml:space="preserve">Path to Profitability</w:t>
            </w:r>
          </w:p>
          <w:p>
            <w:pPr>
              <w:spacing w:after="0" w:before="60"/>
            </w:pPr>
            <w:r>
              <w:rPr>
                <w:rFonts w:ascii="Arial" w:cs="Arial" w:eastAsia="Arial" w:hAnsi="Arial"/>
                <w:color w:val="334155"/>
                <w:sz w:val="21"/>
                <w:szCs w:val="21"/>
              </w:rPr>
              <w:t xml:space="preserve">Conservative scenario reaches near-breakeven in Year 2 ($3K loss) and turns profitable in Year 3 ($46K). Base case turns profitable in Year 2 ($158K net income) and generates $598K in Year 3. Bull case generates $539K in Year 2 and $2.9M in Year 3 — at which point hiring, salary, and reinvestment decisions become material. The biggest variable in all scenarios is the art spend: original IP requires meaningful upfront character and world design investment that G123 avoids by licensing existing IP.</w:t>
            </w:r>
          </w:p>
        </w:tc>
      </w:tr>
    </w:tbl>
    <w:p>
      <w:pPr>
        <w:spacing w:after="60" w:before="60"/>
      </w:pPr>
      <w:r>
        <w:t xml:space="preserve"/>
      </w:r>
    </w:p>
    <w:p>
      <w:pPr>
        <w:spacing w:after="60" w:before="60"/>
      </w:pPr>
      <w:r>
        <w:t xml:space="preserve"/>
      </w:r>
    </w:p>
    <w:p>
      <w:r>
        <w:br w:type="page"/>
      </w:r>
    </w:p>
    <w:p>
      <w:pPr>
        <w:pStyle w:val="Heading1"/>
        <w:pBdr>
          <w:bottom w:val="single" w:color="4F46E5" w:sz="4" w:space="4"/>
        </w:pBdr>
        <w:spacing w:after="160" w:before="320"/>
      </w:pPr>
      <w:r>
        <w:rPr>
          <w:rFonts w:ascii="Arial" w:cs="Arial" w:eastAsia="Arial" w:hAnsi="Arial"/>
          <w:b/>
          <w:bCs/>
          <w:color w:val="3730A3"/>
          <w:sz w:val="32"/>
          <w:szCs w:val="32"/>
        </w:rPr>
        <w:t xml:space="preserve">5. Strategic Implications &amp; Recommendations</w:t>
      </w:r>
    </w:p>
    <w:p>
      <w:pPr>
        <w:pStyle w:val="Heading2"/>
        <w:spacing w:after="120" w:before="240"/>
      </w:pPr>
      <w:r>
        <w:rPr>
          <w:rFonts w:ascii="Arial" w:cs="Arial" w:eastAsia="Arial" w:hAnsi="Arial"/>
          <w:b/>
          <w:bCs/>
          <w:color w:val="1E293B"/>
          <w:sz w:val="26"/>
          <w:szCs w:val="26"/>
        </w:rPr>
        <w:t xml:space="preserve">5.1  Where to Focus First</w:t>
      </w:r>
    </w:p>
    <w:p>
      <w:pPr>
        <w:spacing w:after="80" w:before="80" w:line="340"/>
      </w:pPr>
      <w:r>
        <w:rPr>
          <w:rFonts w:ascii="Arial" w:cs="Arial" w:eastAsia="Arial" w:hAnsi="Arial"/>
          <w:color w:val="475569"/>
          <w:sz w:val="22"/>
          <w:szCs w:val="22"/>
        </w:rPr>
        <w:t xml:space="preserve">The P&amp;L makes clear that the lever that dominates all scenarios is the flagship IP quality and its ability to convert casual visitors into paying players. At 4.5% conversion and $55 ARPPU, Yada reaches $346K in Year 2 on modest UA. At 2.5% conversion, even Year 3 is marginal. This means:</w:t>
      </w:r>
    </w:p>
    <w:p>
      <w:pPr>
        <w:spacing w:after="60" w:before="60"/>
      </w:pPr>
      <w:r>
        <w:t xml:space="preserve"/>
      </w:r>
    </w:p>
    <w:p>
      <w:pPr>
        <w:pStyle w:val="ListParagraph"/>
        <w:numPr>
          <w:ilvl w:val="0"/>
          <w:numId w:val="2"/>
        </w:numPr>
        <w:spacing w:after="40" w:before="40"/>
      </w:pPr>
      <w:r>
        <w:rPr>
          <w:rFonts w:ascii="Arial" w:cs="Arial" w:eastAsia="Arial" w:hAnsi="Arial"/>
          <w:color w:val="475569"/>
          <w:sz w:val="22"/>
          <w:szCs w:val="22"/>
        </w:rPr>
        <w:t xml:space="preserve">Lock the flagship concept before writing significant code. The art direction session (already on the task list) is the most important strategic decision Yada will make in the next 30 days.</w:t>
      </w:r>
    </w:p>
    <w:p>
      <w:pPr>
        <w:pStyle w:val="ListParagraph"/>
        <w:numPr>
          <w:ilvl w:val="0"/>
          <w:numId w:val="2"/>
        </w:numPr>
        <w:spacing w:after="40" w:before="40"/>
      </w:pPr>
      <w:r>
        <w:rPr>
          <w:rFonts w:ascii="Arial" w:cs="Arial" w:eastAsia="Arial" w:hAnsi="Arial"/>
          <w:color w:val="475569"/>
          <w:sz w:val="22"/>
          <w:szCs w:val="22"/>
        </w:rPr>
        <w:t xml:space="preserve">The character roster is the product. In gacha, players pay for characters they love. Invest disproportionately in character design, lore, and pull-worthiness early.</w:t>
      </w:r>
    </w:p>
    <w:p>
      <w:pPr>
        <w:pStyle w:val="ListParagraph"/>
        <w:numPr>
          <w:ilvl w:val="0"/>
          <w:numId w:val="2"/>
        </w:numPr>
        <w:spacing w:after="40" w:before="40"/>
      </w:pPr>
      <w:r>
        <w:rPr>
          <w:rFonts w:ascii="Arial" w:cs="Arial" w:eastAsia="Arial" w:hAnsi="Arial"/>
          <w:color w:val="475569"/>
          <w:sz w:val="22"/>
          <w:szCs w:val="22"/>
        </w:rPr>
        <w:t xml:space="preserve">Conversion optimization (in-game economy tuning, soft pity signaling, featured banner cadence) has a bigger P&amp;L impact than UA spend in Year 1.</w:t>
      </w:r>
    </w:p>
    <w:p>
      <w:pPr>
        <w:spacing w:after="60" w:before="60"/>
      </w:pPr>
      <w:r>
        <w:t xml:space="preserve"/>
      </w:r>
    </w:p>
    <w:p>
      <w:pPr>
        <w:pStyle w:val="Heading2"/>
        <w:spacing w:after="120" w:before="240"/>
      </w:pPr>
      <w:r>
        <w:rPr>
          <w:rFonts w:ascii="Arial" w:cs="Arial" w:eastAsia="Arial" w:hAnsi="Arial"/>
          <w:b/>
          <w:bCs/>
          <w:color w:val="1E293B"/>
          <w:sz w:val="26"/>
          <w:szCs w:val="26"/>
        </w:rPr>
        <w:t xml:space="preserve">5.2  Original IP vs. Licensed IP — The Core Bet</w:t>
      </w:r>
    </w:p>
    <w:p>
      <w:pPr>
        <w:spacing w:after="80" w:before="80" w:line="340"/>
      </w:pPr>
      <w:r>
        <w:rPr>
          <w:rFonts w:ascii="Arial" w:cs="Arial" w:eastAsia="Arial" w:hAnsi="Arial"/>
          <w:color w:val="475569"/>
          <w:sz w:val="22"/>
          <w:szCs w:val="22"/>
        </w:rPr>
        <w:t xml:space="preserve">G123 generates $90M/year but pays an estimated 20–30% in royalties to anime studios. At their revenue level, that is $18–27M/year leaving the company. Yada's model keeps 100% of that margin — but must earn the audience rather than inherit it. This is the fundamental trade-off, and it is the right bet for a solo founder who cannot afford licensing deals with major studios anyway.</w:t>
      </w:r>
    </w:p>
    <w:p>
      <w:pPr>
        <w:spacing w:after="60" w:before="60"/>
      </w:pPr>
      <w:r>
        <w:t xml:space="preserve"/>
      </w:r>
    </w:p>
    <w:p>
      <w:pPr>
        <w:spacing w:after="80" w:before="80" w:line="340"/>
      </w:pPr>
      <w:r>
        <w:rPr>
          <w:rFonts w:ascii="Arial" w:cs="Arial" w:eastAsia="Arial" w:hAnsi="Arial"/>
          <w:color w:val="475569"/>
          <w:sz w:val="22"/>
          <w:szCs w:val="22"/>
        </w:rPr>
        <w:t xml:space="preserve">Original IP also enables franchise expansion: merchandise, webcomics, potential animation deals. G123 can never build a franchise — they are tenants of other people's IP. Yada can become a media company. That is the 5-year upside that the P&amp;L above does not capture.</w:t>
      </w:r>
    </w:p>
    <w:p>
      <w:pPr>
        <w:spacing w:after="60" w:before="60"/>
      </w:pPr>
      <w:r>
        <w:t xml:space="preserve"/>
      </w:r>
    </w:p>
    <w:p>
      <w:pPr>
        <w:pStyle w:val="Heading2"/>
        <w:spacing w:after="120" w:before="240"/>
      </w:pPr>
      <w:r>
        <w:rPr>
          <w:rFonts w:ascii="Arial" w:cs="Arial" w:eastAsia="Arial" w:hAnsi="Arial"/>
          <w:b/>
          <w:bCs/>
          <w:color w:val="1E293B"/>
          <w:sz w:val="26"/>
          <w:szCs w:val="26"/>
        </w:rPr>
        <w:t xml:space="preserve">5.3  Competitive Moat Priorities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Period</w:t>
            </w:r>
          </w:p>
        </w:tc>
        <w:tc>
          <w:tcPr>
            <w:tcW w:type="dxa" w:w="7800"/>
            <w:tcBorders>
              <w:top w:val="single" w:color="CBD5E1" w:sz="1"/>
              <w:left w:val="single" w:color="CBD5E1" w:sz="1"/>
              <w:bottom w:val="single" w:color="CBD5E1" w:sz="1"/>
              <w:right w:val="single" w:color="CBD5E1" w:sz="1"/>
            </w:tcBorders>
            <w:shd w:fill="3730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Moat to Build</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Year 1</w:t>
            </w:r>
          </w:p>
        </w:tc>
        <w:tc>
          <w:tcPr>
            <w:tcW w:type="dxa" w:w="7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IP quality — the character designs, world, and story that make players want to pull. No shortcut here.</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Year 2</w:t>
            </w:r>
          </w:p>
        </w:tc>
        <w:tc>
          <w:tcPr>
            <w:tcW w:type="dxa" w:w="7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Retention engine — daily quests, story chapter cadence, event structure that keeps players active. DAU/MAU ratio is everything.</w:t>
            </w:r>
          </w:p>
        </w:tc>
      </w:tr>
      <w:tr>
        <w:tc>
          <w:tcPr>
            <w:tcW w:type="dxa" w:w="1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jc w:val="left"/>
            </w:pPr>
            <w:r>
              <w:rPr>
                <w:rFonts w:ascii="Arial" w:cs="Arial" w:eastAsia="Arial" w:hAnsi="Arial"/>
                <w:b/>
                <w:bCs/>
                <w:color w:val="1E293B"/>
                <w:sz w:val="20"/>
                <w:szCs w:val="20"/>
              </w:rPr>
              <w:t xml:space="preserve">Year 3</w:t>
            </w:r>
          </w:p>
        </w:tc>
        <w:tc>
          <w:tcPr>
            <w:tcW w:type="dxa" w:w="7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20"/>
                <w:szCs w:val="20"/>
              </w:rPr>
              <w:t xml:space="preserve">Community + franchise — Discord/Reddit, fan art, character fandom, cross-media potential. This is what separates a game from a franchise.</w:t>
            </w:r>
          </w:p>
        </w:tc>
      </w:tr>
    </w:tbl>
    <w:p>
      <w:pPr>
        <w:spacing w:after="60" w:before="60"/>
      </w:pPr>
      <w:r>
        <w:t xml:space="preserve"/>
      </w:r>
    </w:p>
    <w:p>
      <w:pPr>
        <w:pStyle w:val="Heading2"/>
        <w:spacing w:after="120" w:before="240"/>
      </w:pPr>
      <w:r>
        <w:rPr>
          <w:rFonts w:ascii="Arial" w:cs="Arial" w:eastAsia="Arial" w:hAnsi="Arial"/>
          <w:b/>
          <w:bCs/>
          <w:color w:val="1E293B"/>
          <w:sz w:val="26"/>
          <w:szCs w:val="26"/>
        </w:rPr>
        <w:t xml:space="preserve">5.4  Fair Play Pledge as Competitive Differentiator</w:t>
      </w:r>
    </w:p>
    <w:p>
      <w:pPr>
        <w:spacing w:after="80" w:before="80" w:line="340"/>
      </w:pPr>
      <w:r>
        <w:rPr>
          <w:rFonts w:ascii="Arial" w:cs="Arial" w:eastAsia="Arial" w:hAnsi="Arial"/>
          <w:color w:val="475569"/>
          <w:sz w:val="22"/>
          <w:szCs w:val="22"/>
        </w:rPr>
        <w:t xml:space="preserve">The backlash against exploitative gacha mechanics (loot boxes, hidden odds, no pity) is growing in the US and EU. Regulatory scrutiny is increasing. Yada's Fair Play Pledge — transparent odds, hard pity at 90, F2P-completable content — is not just ethical. It is a durable competitive advantage that builds trust with Western players and protects against future regulatory risk.</w:t>
      </w:r>
    </w:p>
    <w:p>
      <w:pPr>
        <w:spacing w:after="60" w:before="60"/>
      </w:pPr>
      <w:r>
        <w:t xml:space="preserve"/>
      </w:r>
    </w:p>
    <w:p>
      <w:pPr>
        <w:spacing w:after="80" w:before="80" w:line="340"/>
      </w:pPr>
      <w:r>
        <w:rPr>
          <w:rFonts w:ascii="Arial" w:cs="Arial" w:eastAsia="Arial" w:hAnsi="Arial"/>
          <w:color w:val="475569"/>
          <w:sz w:val="22"/>
          <w:szCs w:val="22"/>
        </w:rPr>
        <w:t xml:space="preserve">G123's licensed anime games are built on Japanese gacha conventions that Western regulators and players are increasingly hostile to. Yada should lean into the ethical positioning explicitly in its UA messaging and community building.</w:t>
      </w:r>
    </w:p>
    <w:p>
      <w:pPr>
        <w:spacing w:after="60" w:before="60"/>
      </w:pPr>
      <w:r>
        <w:t xml:space="preserve"/>
      </w:r>
    </w:p>
    <w:p>
      <w:pPr>
        <w:pStyle w:val="Heading2"/>
        <w:spacing w:after="120" w:before="240"/>
      </w:pPr>
      <w:r>
        <w:rPr>
          <w:rFonts w:ascii="Arial" w:cs="Arial" w:eastAsia="Arial" w:hAnsi="Arial"/>
          <w:b/>
          <w:bCs/>
          <w:color w:val="1E293B"/>
          <w:sz w:val="26"/>
          <w:szCs w:val="26"/>
        </w:rPr>
        <w:t xml:space="preserve">5.5  Capital Requirements</w:t>
      </w:r>
    </w:p>
    <w:p>
      <w:pPr>
        <w:spacing w:after="80" w:before="80" w:line="340"/>
      </w:pPr>
      <w:r>
        <w:rPr>
          <w:rFonts w:ascii="Arial" w:cs="Arial" w:eastAsia="Arial" w:hAnsi="Arial"/>
          <w:color w:val="475569"/>
          <w:sz w:val="22"/>
          <w:szCs w:val="22"/>
        </w:rPr>
        <w:t xml:space="preserve">Based on the P&amp;L, Year 1 requires approximately $27–45K in real cash (even with Robert's time valued at zero). Primary costs are art/design ($15–25K), legal ($3–4K), UA ($5–8K), and infrastructure ($2–5K). This is fundable from personal capital or a small friends-and-family raise. Year 2 in the Base case is self-funding from game revenue. Year 2 in the Conservative case requires an additional $3K bridge. No venture capital is required to reach profitability at Base assumptions — but a $100–200K seed round would accelerate Year 2–3 significantly by unlocking meaningful UA and faster content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none" w:color="FFFFFF" w:sz="0"/>
              <w:bottom w:val="none" w:color="FFFFFF" w:sz="0"/>
              <w:right w:val="none" w:color="FFFFFF" w:sz="0"/>
            </w:tcBorders>
            <w:shd w:fill="FFF1F2" w:val="clear"/>
            <w:tcMar>
              <w:top w:type="dxa" w:w="120"/>
              <w:left w:type="dxa" w:w="160"/>
              <w:bottom w:type="dxa" w:w="120"/>
              <w:right w:type="dxa" w:w="160"/>
            </w:tcMar>
          </w:tcPr>
          <w:p>
            <w:r>
              <w:rPr>
                <w:rFonts w:ascii="Arial" w:cs="Arial" w:eastAsia="Arial" w:hAnsi="Arial"/>
                <w:b/>
                <w:bCs/>
                <w:color w:val="DC2626"/>
                <w:sz w:val="21"/>
                <w:szCs w:val="21"/>
              </w:rPr>
              <w:t xml:space="preserve">Key Risk: Art Budget vs. Conversion</w:t>
            </w:r>
          </w:p>
          <w:p>
            <w:pPr>
              <w:spacing w:after="0" w:before="60"/>
            </w:pPr>
            <w:r>
              <w:rPr>
                <w:rFonts w:ascii="Arial" w:cs="Arial" w:eastAsia="Arial" w:hAnsi="Arial"/>
                <w:color w:val="334155"/>
                <w:sz w:val="21"/>
                <w:szCs w:val="21"/>
              </w:rPr>
              <w:t xml:space="preserve">The biggest risk in the P&amp;L is spending $15–25K on art/character design and getting a 2.5% conversion rate instead of 4.5%. Original IP has to earn its audience. The mitigation is: do closed beta testing with real players before spending on production art, validate that characters drive pull intent, and iterate on the roster before hard launch.</w:t>
            </w:r>
          </w:p>
        </w:tc>
      </w:tr>
    </w:tbl>
    <w:p>
      <w:pPr>
        <w:spacing w:after="60" w:before="60"/>
      </w:pPr>
      <w:r>
        <w:t xml:space="preserve"/>
      </w:r>
    </w:p>
    <w:p>
      <w:pPr>
        <w:spacing w:after="60" w:before="60"/>
      </w:pPr>
      <w:r>
        <w:t xml:space="preserve"/>
      </w:r>
    </w:p>
    <w:p>
      <w:pPr>
        <w:pBdr>
          <w:top w:val="single" w:color="CBD5E1" w:sz="2" w:space="8"/>
        </w:pBdr>
        <w:spacing w:after="80" w:before="120"/>
      </w:pPr>
      <w:r>
        <w:rPr>
          <w:rFonts w:ascii="Arial" w:cs="Arial" w:eastAsia="Arial" w:hAnsi="Arial"/>
          <w:color w:val="475569"/>
          <w:sz w:val="18"/>
          <w:szCs w:val="18"/>
        </w:rPr>
        <w:t xml:space="preserve">Prepared by Claude for Project Yada — March 2026. All financial projections are estimates based on industry benchmarks and comparable titles. Actual results will vary based on IP quality, execution, and market conditions.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360"/>
      </w:tabs>
    </w:pPr>
    <w:r>
      <w:rPr>
        <w:rFonts w:ascii="Arial" w:cs="Arial" w:eastAsia="Arial" w:hAnsi="Arial"/>
        <w:color w:val="475569"/>
        <w:sz w:val="18"/>
        <w:szCs w:val="18"/>
      </w:rPr>
      <w:t xml:space="preserve">Project Yada — Confidential</w:t>
    </w:r>
    <w:r>
      <w:rPr>
        <w:rFonts w:ascii="Arial" w:cs="Arial" w:eastAsia="Arial" w:hAnsi="Arial"/>
      </w:rPr>
      <w:t xml:space="preserve">		</w:t>
    </w:r>
    <w:r>
      <w:rPr>
        <w:rFonts w:ascii="Arial" w:cs="Arial" w:eastAsia="Arial" w:hAnsi="Arial"/>
        <w:color w:val="475569"/>
        <w:sz w:val="18"/>
        <w:szCs w:val="18"/>
      </w:rPr>
      <w:t xml:space="preserve">Competitive Analysis &amp; Revenue Forecast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730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2026-03-03T01:24:15.498Z</dcterms:created>
  <dcterms:modified xsi:type="dcterms:W3CDTF">2026-03-03T01:24:15.499Z</dcterms:modified>
</cp:coreProperties>
</file>

<file path=docProps/custom.xml><?xml version="1.0" encoding="utf-8"?>
<Properties xmlns="http://schemas.openxmlformats.org/officeDocument/2006/custom-properties" xmlns:vt="http://schemas.openxmlformats.org/officeDocument/2006/docPropsVTypes"/>
</file>