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C7" w:rsidRPr="00674670" w:rsidRDefault="009C6DC7">
      <w:pPr>
        <w:rPr>
          <w:lang w:val="en-US"/>
        </w:rPr>
      </w:pPr>
      <w:bookmarkStart w:id="0" w:name="_Toc293598981"/>
      <w:bookmarkStart w:id="1" w:name="_Toc293599001"/>
      <w:bookmarkStart w:id="2" w:name="_Toc293599022"/>
      <w:bookmarkStart w:id="3" w:name="_Toc293599103"/>
      <w:bookmarkStart w:id="4" w:name="_Toc293599417"/>
      <w:bookmarkStart w:id="5" w:name="_Toc293599443"/>
      <w:bookmarkStart w:id="6" w:name="_Toc293599474"/>
      <w:bookmarkStart w:id="7" w:name="_Toc293599632"/>
      <w:bookmarkStart w:id="8" w:name="_Toc293599734"/>
      <w:bookmarkStart w:id="9" w:name="_Toc293605510"/>
      <w:bookmarkStart w:id="10" w:name="GO_Bookmark_FirstPage"/>
      <w:r w:rsidRPr="00674670"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DC7" w:rsidRPr="00674670" w:rsidRDefault="009C6DC7">
      <w:pPr>
        <w:rPr>
          <w:lang w:val="en-US"/>
        </w:rPr>
      </w:pPr>
    </w:p>
    <w:p w:rsidR="009C6DC7" w:rsidRPr="00674670" w:rsidRDefault="009C6DC7">
      <w:pPr>
        <w:rPr>
          <w:lang w:val="en-US"/>
        </w:rPr>
      </w:pPr>
    </w:p>
    <w:p w:rsidR="009C6DC7" w:rsidRPr="00674670" w:rsidRDefault="009C6DC7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"/>
        <w:gridCol w:w="9416"/>
      </w:tblGrid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b/>
                <w:sz w:val="56"/>
                <w:szCs w:val="56"/>
                <w:lang w:val="en-US"/>
              </w:rPr>
            </w:pPr>
            <w:r w:rsidRPr="009C6DC7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9C6DC7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925C17">
              <w:rPr>
                <w:b/>
                <w:sz w:val="56"/>
                <w:szCs w:val="56"/>
                <w:lang w:val="en-US"/>
              </w:rPr>
              <w:t>Center BackgroundSystem</w:t>
            </w:r>
            <w:r w:rsidRPr="009C6DC7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9C6DC7" w:rsidRPr="009C6DC7" w:rsidTr="009C6DC7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b/>
                <w:szCs w:val="22"/>
                <w:lang w:val="en-US"/>
              </w:rPr>
            </w:pP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 w:val="56"/>
                <w:szCs w:val="56"/>
                <w:lang w:val="en-US"/>
              </w:rPr>
            </w:pPr>
            <w:r w:rsidRPr="009C6DC7">
              <w:rPr>
                <w:sz w:val="56"/>
                <w:szCs w:val="56"/>
                <w:lang w:val="en-US"/>
              </w:rPr>
              <w:fldChar w:fldCharType="begin"/>
            </w:r>
            <w:r w:rsidRPr="009C6DC7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>
              <w:rPr>
                <w:sz w:val="56"/>
                <w:szCs w:val="56"/>
                <w:lang w:val="en-US"/>
              </w:rPr>
              <w:fldChar w:fldCharType="separate"/>
            </w:r>
            <w:r w:rsidR="00925C17">
              <w:rPr>
                <w:sz w:val="56"/>
                <w:szCs w:val="56"/>
                <w:lang w:val="en-US"/>
              </w:rPr>
              <w:t>Azure Storage spike</w:t>
            </w:r>
            <w:r w:rsidRPr="009C6DC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9C6DC7" w:rsidRPr="009C6DC7" w:rsidTr="009C6DC7">
        <w:trPr>
          <w:trHeight w:val="284"/>
        </w:trPr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 w:val="56"/>
                <w:szCs w:val="56"/>
                <w:lang w:val="en-US"/>
              </w:rPr>
            </w:pPr>
            <w:r w:rsidRPr="009C6DC7">
              <w:rPr>
                <w:sz w:val="56"/>
                <w:szCs w:val="56"/>
                <w:lang w:val="en-US"/>
              </w:rPr>
              <w:fldChar w:fldCharType="begin"/>
            </w:r>
            <w:r w:rsidRPr="009C6DC7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>
              <w:rPr>
                <w:sz w:val="56"/>
                <w:szCs w:val="56"/>
                <w:lang w:val="en-US"/>
              </w:rPr>
              <w:fldChar w:fldCharType="separate"/>
            </w:r>
            <w:r w:rsidR="00925C17">
              <w:rPr>
                <w:sz w:val="56"/>
                <w:szCs w:val="56"/>
                <w:lang w:val="en-US"/>
              </w:rPr>
              <w:t>Azure Storage</w:t>
            </w:r>
            <w:r w:rsidRPr="009C6DC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9C6DC7" w:rsidRPr="009C6DC7" w:rsidTr="009C6DC7">
        <w:trPr>
          <w:trHeight w:val="284"/>
        </w:trPr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 w:val="56"/>
                <w:szCs w:val="56"/>
                <w:lang w:val="en-US"/>
              </w:rPr>
            </w:pPr>
            <w:r w:rsidRPr="009C6DC7">
              <w:rPr>
                <w:sz w:val="56"/>
                <w:szCs w:val="56"/>
                <w:lang w:val="en-US"/>
              </w:rPr>
              <w:fldChar w:fldCharType="begin"/>
            </w:r>
            <w:r w:rsidRPr="009C6DC7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9C6DC7">
              <w:rPr>
                <w:sz w:val="56"/>
                <w:szCs w:val="56"/>
                <w:lang w:val="en-US"/>
              </w:rPr>
              <w:fldChar w:fldCharType="separate"/>
            </w:r>
            <w:r w:rsidR="00925C17">
              <w:rPr>
                <w:sz w:val="56"/>
                <w:szCs w:val="56"/>
                <w:lang w:val="en-US"/>
              </w:rPr>
              <w:t>Implementation Documentation</w:t>
            </w:r>
            <w:r w:rsidRPr="009C6DC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9C6DC7" w:rsidRPr="009C6DC7" w:rsidTr="009C6DC7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Version: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GO_Version  \* CHARFORMAT</w:instrText>
            </w:r>
            <w:r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0.1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State: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GO_State  \* CHARFORMAT</w:instrText>
            </w:r>
            <w:r w:rsidRPr="009C6DC7"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Draft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Classification: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9C6DC7"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Internal use only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Author: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GO_Author  \* CHARFORMAT</w:instrText>
            </w:r>
            <w:r w:rsidRPr="009C6DC7"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D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Creation date: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9C6DC7"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2015-05-20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rPr>
          <w:trHeight w:val="1134"/>
        </w:trPr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 w:rsidP="009C6DC7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Repository:</w:t>
            </w:r>
            <w:r w:rsidRPr="009C6DC7">
              <w:rPr>
                <w:szCs w:val="22"/>
                <w:lang w:val="en-US"/>
              </w:rPr>
              <w:tab/>
            </w:r>
            <w:r w:rsidRPr="009C6DC7">
              <w:rPr>
                <w:szCs w:val="22"/>
                <w:lang w:val="en-US"/>
              </w:rPr>
              <w:fldChar w:fldCharType="begin"/>
            </w:r>
            <w:r w:rsidRPr="009C6DC7">
              <w:rPr>
                <w:szCs w:val="22"/>
                <w:lang w:val="en-US"/>
              </w:rPr>
              <w:instrText xml:space="preserve"> DOCPROPERTY  GO_Repository  \* CHARFORMAT</w:instrText>
            </w:r>
            <w:r w:rsidR="00925C17">
              <w:rPr>
                <w:szCs w:val="22"/>
                <w:lang w:val="en-US"/>
              </w:rPr>
              <w:fldChar w:fldCharType="separate"/>
            </w:r>
            <w:r w:rsidR="00925C17">
              <w:rPr>
                <w:szCs w:val="22"/>
                <w:lang w:val="en-US"/>
              </w:rPr>
              <w:t>$/Gorba/Main/Center/BackgroundSystem/Spikes/AzureStorage/ID_AzureStorageSpike.docx</w:t>
            </w:r>
            <w:r w:rsidRPr="009C6DC7">
              <w:rPr>
                <w:szCs w:val="22"/>
                <w:lang w:val="en-US"/>
              </w:rPr>
              <w:fldChar w:fldCharType="end"/>
            </w:r>
          </w:p>
        </w:tc>
      </w:tr>
      <w:tr w:rsidR="009C6DC7" w:rsidRPr="009C6DC7" w:rsidTr="009C6DC7">
        <w:tc>
          <w:tcPr>
            <w:tcW w:w="1008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9C6DC7" w:rsidRPr="009C6DC7" w:rsidRDefault="009C6DC7">
            <w:pPr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Gorba AG</w:t>
            </w:r>
          </w:p>
          <w:p w:rsidR="009C6DC7" w:rsidRPr="009C6DC7" w:rsidRDefault="009C6DC7">
            <w:pPr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 xml:space="preserve">Sandackerstrasse </w:t>
            </w:r>
          </w:p>
          <w:p w:rsidR="009C6DC7" w:rsidRPr="009C6DC7" w:rsidRDefault="009C6DC7">
            <w:pPr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 xml:space="preserve">9245 Oberbüren </w:t>
            </w:r>
          </w:p>
          <w:p w:rsidR="009C6DC7" w:rsidRPr="009C6DC7" w:rsidRDefault="009C6DC7">
            <w:pPr>
              <w:rPr>
                <w:szCs w:val="22"/>
                <w:lang w:val="en-US"/>
              </w:rPr>
            </w:pPr>
            <w:r w:rsidRPr="009C6DC7">
              <w:rPr>
                <w:szCs w:val="22"/>
                <w:lang w:val="en-US"/>
              </w:rPr>
              <w:t>Switzerland</w:t>
            </w:r>
          </w:p>
        </w:tc>
      </w:tr>
    </w:tbl>
    <w:p w:rsidR="009C6DC7" w:rsidRPr="00674670" w:rsidRDefault="009C6DC7">
      <w:pPr>
        <w:rPr>
          <w:lang w:val="en-US"/>
        </w:rPr>
        <w:sectPr w:rsidR="009C6DC7" w:rsidRPr="006746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7F0E68" w:rsidRDefault="007F0E68" w:rsidP="007F0E68">
      <w:pPr>
        <w:pStyle w:val="Heading1"/>
        <w:rPr>
          <w:lang w:val="en-US"/>
        </w:rPr>
      </w:pPr>
      <w:bookmarkStart w:id="11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en-US"/>
        </w:rPr>
        <w:lastRenderedPageBreak/>
        <w:t>Spike description</w:t>
      </w:r>
    </w:p>
    <w:p w:rsidR="007F0E68" w:rsidRDefault="007F0E68" w:rsidP="007F0E68">
      <w:pPr>
        <w:rPr>
          <w:lang w:val="en-US"/>
        </w:rPr>
      </w:pPr>
      <w:r>
        <w:rPr>
          <w:lang w:val="en-US"/>
        </w:rPr>
        <w:t xml:space="preserve">The spike contains a WPF application (.NET 4.5.1, </w:t>
      </w:r>
      <w:proofErr w:type="spellStart"/>
      <w:r w:rsidR="00CA0C5C">
        <w:rPr>
          <w:lang w:val="en-US"/>
        </w:rPr>
        <w:t>WindowsAzure.Storage</w:t>
      </w:r>
      <w:proofErr w:type="spellEnd"/>
      <w:r w:rsidR="00CA0C5C">
        <w:rPr>
          <w:lang w:val="en-US"/>
        </w:rPr>
        <w:t xml:space="preserve"> library </w:t>
      </w:r>
      <w:r w:rsidR="00CA0C5C" w:rsidRPr="00CA0C5C">
        <w:rPr>
          <w:lang w:val="en-US"/>
        </w:rPr>
        <w:t>4.3.0</w:t>
      </w:r>
      <w:r>
        <w:rPr>
          <w:lang w:val="en-US"/>
        </w:rPr>
        <w:t>) and a Console application (.NET 2.0). They provide the following functionalities:</w:t>
      </w:r>
    </w:p>
    <w:p w:rsidR="00CA0C5C" w:rsidRPr="00CA0C5C" w:rsidRDefault="00CA0C5C" w:rsidP="00CA0C5C">
      <w:pPr>
        <w:pStyle w:val="ListParagraph"/>
        <w:numPr>
          <w:ilvl w:val="0"/>
          <w:numId w:val="7"/>
        </w:numPr>
        <w:rPr>
          <w:lang w:val="en-US"/>
        </w:rPr>
      </w:pPr>
      <w:r w:rsidRPr="00CA0C5C">
        <w:rPr>
          <w:lang w:val="en-US"/>
        </w:rPr>
        <w:t>WPF Application</w:t>
      </w:r>
    </w:p>
    <w:p w:rsidR="00CA0C5C" w:rsidRPr="00CA0C5C" w:rsidRDefault="00CA0C5C" w:rsidP="00CA0C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Upload resource</w:t>
      </w:r>
      <w:r w:rsidRPr="00CA0C5C">
        <w:rPr>
          <w:lang w:val="en-US"/>
        </w:rPr>
        <w:t xml:space="preserve"> to blob storage</w:t>
      </w:r>
    </w:p>
    <w:p w:rsidR="00CA0C5C" w:rsidRDefault="00CA0C5C" w:rsidP="00CA0C5C">
      <w:pPr>
        <w:pStyle w:val="ListParagraph"/>
        <w:numPr>
          <w:ilvl w:val="1"/>
          <w:numId w:val="7"/>
        </w:numPr>
        <w:rPr>
          <w:lang w:val="en-US"/>
        </w:rPr>
      </w:pPr>
      <w:r w:rsidRPr="00CA0C5C">
        <w:rPr>
          <w:lang w:val="en-US"/>
        </w:rPr>
        <w:t>Upload resource to file storage</w:t>
      </w:r>
    </w:p>
    <w:p w:rsidR="00CA0C5C" w:rsidRDefault="00CA0C5C" w:rsidP="00CA0C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Console application</w:t>
      </w:r>
    </w:p>
    <w:p w:rsidR="00CA0C5C" w:rsidRDefault="00CA0C5C" w:rsidP="00CA0C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Download resource from blob storage</w:t>
      </w:r>
    </w:p>
    <w:p w:rsidR="00CA0C5C" w:rsidRDefault="00CA0C5C" w:rsidP="00CA0C5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Optional size limit</w:t>
      </w:r>
    </w:p>
    <w:p w:rsidR="00CA0C5C" w:rsidRDefault="00CA0C5C" w:rsidP="00CA0C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Download resource from file storage</w:t>
      </w:r>
    </w:p>
    <w:p w:rsidR="00CA0C5C" w:rsidRPr="00CA0C5C" w:rsidRDefault="00CA0C5C" w:rsidP="00CA0C5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Optional size limit</w:t>
      </w:r>
    </w:p>
    <w:p w:rsidR="007F0E68" w:rsidRPr="007F0E68" w:rsidRDefault="007F0E68" w:rsidP="007F0E68">
      <w:pPr>
        <w:rPr>
          <w:lang w:val="en-US"/>
        </w:rPr>
      </w:pPr>
    </w:p>
    <w:p w:rsidR="00593963" w:rsidRDefault="00593963" w:rsidP="00167261">
      <w:pPr>
        <w:pStyle w:val="Heading1"/>
        <w:rPr>
          <w:lang w:val="en-US"/>
        </w:rPr>
      </w:pPr>
      <w:r>
        <w:rPr>
          <w:lang w:val="en-US"/>
        </w:rPr>
        <w:t>Comparison</w:t>
      </w:r>
    </w:p>
    <w:p w:rsidR="00593963" w:rsidRDefault="00593963" w:rsidP="00167261">
      <w:pPr>
        <w:pStyle w:val="Heading2"/>
        <w:rPr>
          <w:lang w:val="en-US"/>
        </w:rPr>
      </w:pPr>
      <w:r>
        <w:rPr>
          <w:lang w:val="en-US"/>
        </w:rPr>
        <w:t>Features</w:t>
      </w:r>
    </w:p>
    <w:p w:rsidR="00167261" w:rsidRDefault="00167261" w:rsidP="00167261">
      <w:pPr>
        <w:rPr>
          <w:lang w:val="en-US"/>
        </w:rPr>
      </w:pPr>
      <w:r>
        <w:rPr>
          <w:lang w:val="en-US"/>
        </w:rPr>
        <w:t>Both services allow a client to download a specific range of the file (useful for implementation on units).</w:t>
      </w:r>
    </w:p>
    <w:p w:rsidR="00167261" w:rsidRPr="00167261" w:rsidRDefault="00167261" w:rsidP="00167261">
      <w:pPr>
        <w:rPr>
          <w:lang w:val="en-US"/>
        </w:rPr>
      </w:pPr>
      <w:r>
        <w:rPr>
          <w:lang w:val="en-US"/>
        </w:rPr>
        <w:t>The file service adds the possibility to mount a share on a VM, anyway the VM must be on Azure and in the same region of the storage.</w:t>
      </w:r>
    </w:p>
    <w:p w:rsidR="00593963" w:rsidRDefault="00593963" w:rsidP="00912989">
      <w:pPr>
        <w:rPr>
          <w:lang w:val="en-US"/>
        </w:rPr>
      </w:pPr>
    </w:p>
    <w:p w:rsidR="007F0E68" w:rsidRDefault="007F0E68" w:rsidP="00B846D8">
      <w:pPr>
        <w:pStyle w:val="Heading2"/>
        <w:rPr>
          <w:lang w:val="en-US"/>
        </w:rPr>
      </w:pPr>
      <w:r>
        <w:rPr>
          <w:lang w:val="en-US"/>
        </w:rPr>
        <w:t>Speed</w:t>
      </w:r>
    </w:p>
    <w:p w:rsidR="00B846D8" w:rsidRDefault="00B846D8" w:rsidP="00912989">
      <w:pPr>
        <w:rPr>
          <w:lang w:val="en-US"/>
        </w:rPr>
      </w:pPr>
      <w:r>
        <w:rPr>
          <w:lang w:val="en-US"/>
        </w:rPr>
        <w:t>Speed is similar for blob and file storage services.</w:t>
      </w:r>
    </w:p>
    <w:p w:rsidR="00B846D8" w:rsidRDefault="00B846D8" w:rsidP="00912989">
      <w:pPr>
        <w:rPr>
          <w:lang w:val="en-US"/>
        </w:rPr>
      </w:pPr>
      <w:r>
        <w:rPr>
          <w:lang w:val="en-US"/>
        </w:rPr>
        <w:t>Currently, for both services the declared speed is “up to 60MB/s”. In case of blobs, the speed is relative to a block blob, while for files it is relative to a share.</w:t>
      </w:r>
    </w:p>
    <w:p w:rsidR="007F0E68" w:rsidRDefault="007F0E68" w:rsidP="00912989">
      <w:pPr>
        <w:rPr>
          <w:lang w:val="en-US"/>
        </w:rPr>
      </w:pPr>
    </w:p>
    <w:p w:rsidR="00593963" w:rsidRDefault="00593963" w:rsidP="00B846D8">
      <w:pPr>
        <w:pStyle w:val="Heading2"/>
        <w:rPr>
          <w:lang w:val="en-US"/>
        </w:rPr>
      </w:pPr>
      <w:r>
        <w:rPr>
          <w:lang w:val="en-US"/>
        </w:rPr>
        <w:t>Pricing</w:t>
      </w:r>
    </w:p>
    <w:p w:rsidR="00B846D8" w:rsidRDefault="00B846D8" w:rsidP="00B846D8">
      <w:pPr>
        <w:rPr>
          <w:lang w:val="en-US"/>
        </w:rPr>
      </w:pPr>
      <w:r>
        <w:rPr>
          <w:lang w:val="en-US"/>
        </w:rPr>
        <w:t xml:space="preserve">For prices, please refer to </w:t>
      </w:r>
      <w:hyperlink r:id="rId14" w:history="1">
        <w:r w:rsidRPr="0040564E">
          <w:rPr>
            <w:rStyle w:val="Hyperlink"/>
            <w:lang w:val="en-US"/>
          </w:rPr>
          <w:t>http://azure.microsoft.com/en-gb/pricing/details/storage/</w:t>
        </w:r>
      </w:hyperlink>
      <w:r>
        <w:rPr>
          <w:lang w:val="en-US"/>
        </w:rPr>
        <w:t>.</w:t>
      </w:r>
    </w:p>
    <w:p w:rsidR="00B846D8" w:rsidRPr="00B846D8" w:rsidRDefault="00B846D8" w:rsidP="00B846D8">
      <w:pPr>
        <w:rPr>
          <w:lang w:val="en-US"/>
        </w:rPr>
      </w:pPr>
      <w:r>
        <w:rPr>
          <w:lang w:val="en-US"/>
        </w:rPr>
        <w:t>The blob storage service is cheaper.</w:t>
      </w:r>
    </w:p>
    <w:p w:rsidR="007F0E68" w:rsidRDefault="007F0E68" w:rsidP="00912989">
      <w:pPr>
        <w:rPr>
          <w:lang w:val="en-US"/>
        </w:rPr>
      </w:pPr>
    </w:p>
    <w:p w:rsidR="007F0E68" w:rsidRDefault="007F0E68" w:rsidP="00B846D8">
      <w:pPr>
        <w:pStyle w:val="Heading2"/>
        <w:rPr>
          <w:lang w:val="en-US"/>
        </w:rPr>
      </w:pPr>
      <w:r>
        <w:rPr>
          <w:lang w:val="en-US"/>
        </w:rPr>
        <w:t>Remarks</w:t>
      </w:r>
    </w:p>
    <w:p w:rsidR="00B846D8" w:rsidRDefault="00B846D8" w:rsidP="00912989">
      <w:pPr>
        <w:rPr>
          <w:lang w:val="en-US"/>
        </w:rPr>
      </w:pPr>
      <w:r>
        <w:rPr>
          <w:lang w:val="en-US"/>
        </w:rPr>
        <w:t>Secured REST interaction requires advanced cryptography functions that are not available on Compact Framework</w:t>
      </w:r>
      <w:r w:rsidR="00167261">
        <w:rPr>
          <w:lang w:val="en-US"/>
        </w:rPr>
        <w:t>.</w:t>
      </w:r>
    </w:p>
    <w:p w:rsidR="00167261" w:rsidRDefault="00167261" w:rsidP="00912989">
      <w:pPr>
        <w:rPr>
          <w:lang w:val="en-US"/>
        </w:rPr>
      </w:pPr>
      <w:r>
        <w:rPr>
          <w:lang w:val="en-US"/>
        </w:rPr>
        <w:t xml:space="preserve">With the blob service it’s possible to specify the </w:t>
      </w:r>
      <w:proofErr w:type="spellStart"/>
      <w:r>
        <w:rPr>
          <w:lang w:val="en-US"/>
        </w:rPr>
        <w:t>ContentType</w:t>
      </w:r>
      <w:proofErr w:type="spellEnd"/>
      <w:r w:rsidR="00235236">
        <w:rPr>
          <w:lang w:val="en-US"/>
        </w:rPr>
        <w:t xml:space="preserve"> (required for </w:t>
      </w:r>
      <w:proofErr w:type="spellStart"/>
      <w:r w:rsidR="00235236">
        <w:rPr>
          <w:lang w:val="en-US"/>
        </w:rPr>
        <w:t>ClickOnce</w:t>
      </w:r>
      <w:proofErr w:type="spellEnd"/>
      <w:r w:rsidR="00235236">
        <w:rPr>
          <w:lang w:val="en-US"/>
        </w:rPr>
        <w:t>).</w:t>
      </w:r>
    </w:p>
    <w:p w:rsidR="00235236" w:rsidRDefault="00235236" w:rsidP="00235236">
      <w:pPr>
        <w:pStyle w:val="Heading1"/>
        <w:rPr>
          <w:lang w:val="en-US"/>
        </w:rPr>
      </w:pPr>
      <w:r>
        <w:rPr>
          <w:lang w:val="en-US"/>
        </w:rPr>
        <w:t>Spike results</w:t>
      </w:r>
    </w:p>
    <w:p w:rsidR="00235236" w:rsidRDefault="00235236" w:rsidP="00235236">
      <w:pPr>
        <w:rPr>
          <w:lang w:val="en-US"/>
        </w:rPr>
      </w:pPr>
      <w:r>
        <w:rPr>
          <w:lang w:val="en-US"/>
        </w:rPr>
        <w:t>Form an API perspective, both solutions (blob, file) are very similar and the effort to implement them is the same.</w:t>
      </w:r>
    </w:p>
    <w:p w:rsidR="00235236" w:rsidRDefault="00235236" w:rsidP="00235236">
      <w:pPr>
        <w:rPr>
          <w:lang w:val="en-US"/>
        </w:rPr>
      </w:pPr>
      <w:r>
        <w:rPr>
          <w:lang w:val="en-US"/>
        </w:rPr>
        <w:t>It is possible to download resources split into multiple “chunks”, helpful for implementation on units.</w:t>
      </w:r>
    </w:p>
    <w:p w:rsidR="00235236" w:rsidRPr="007F0E68" w:rsidRDefault="00235236" w:rsidP="00235236">
      <w:pPr>
        <w:rPr>
          <w:lang w:val="en-US"/>
        </w:rPr>
      </w:pPr>
      <w:r>
        <w:rPr>
          <w:lang w:val="en-US"/>
        </w:rPr>
        <w:t>The additional features of the file service (possibility to mount a share with SMB protocol) are not relevant for our scenarios.</w:t>
      </w:r>
    </w:p>
    <w:p w:rsidR="00235236" w:rsidRDefault="00235236" w:rsidP="00235236">
      <w:pPr>
        <w:rPr>
          <w:lang w:val="en-US"/>
        </w:rPr>
      </w:pPr>
    </w:p>
    <w:p w:rsidR="00DE3A94" w:rsidRDefault="00DE3A94" w:rsidP="00B846D8">
      <w:pPr>
        <w:pStyle w:val="Heading1"/>
        <w:rPr>
          <w:lang w:val="en-US"/>
        </w:rPr>
      </w:pPr>
      <w:r>
        <w:rPr>
          <w:lang w:val="en-US"/>
        </w:rPr>
        <w:t>Links</w:t>
      </w:r>
    </w:p>
    <w:p w:rsidR="00DE3A94" w:rsidRDefault="00235236" w:rsidP="00912989">
      <w:pPr>
        <w:rPr>
          <w:lang w:val="en-US"/>
        </w:rPr>
      </w:pPr>
      <w:hyperlink r:id="rId15" w:history="1">
        <w:r w:rsidRPr="0040564E">
          <w:rPr>
            <w:rStyle w:val="Hyperlink"/>
            <w:lang w:val="en-US"/>
          </w:rPr>
          <w:t>https://msdn.microsoft.com/en-us/library/azure/dn790517.aspx</w:t>
        </w:r>
      </w:hyperlink>
    </w:p>
    <w:p w:rsidR="00235236" w:rsidRPr="00242D2F" w:rsidRDefault="00235236" w:rsidP="00912989">
      <w:pPr>
        <w:rPr>
          <w:lang w:val="en-US"/>
        </w:rPr>
      </w:pPr>
    </w:p>
    <w:sectPr w:rsidR="00235236" w:rsidRPr="00242D2F" w:rsidSect="000F09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243" w:rsidRDefault="00163243">
      <w:r>
        <w:separator/>
      </w:r>
    </w:p>
  </w:endnote>
  <w:endnote w:type="continuationSeparator" w:id="0">
    <w:p w:rsidR="00163243" w:rsidRDefault="0016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C7" w:rsidRDefault="009C6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C7" w:rsidRDefault="009C6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C7" w:rsidRDefault="009C6DC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D937EB" w:rsidRPr="00FD08AF" w:rsidTr="00211797">
      <w:tc>
        <w:tcPr>
          <w:tcW w:w="0" w:type="auto"/>
        </w:tcPr>
        <w:p w:rsidR="00D937EB" w:rsidRPr="00FD08AF" w:rsidRDefault="00D937EB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925C17">
            <w:rPr>
              <w:noProof/>
              <w:lang w:val="en-US"/>
            </w:rPr>
            <w:t>ID_AzureStorageSpike.docx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D937EB" w:rsidRPr="00FD08AF" w:rsidRDefault="00D937EB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925C17">
            <w:rPr>
              <w:lang w:val="en-US"/>
            </w:rPr>
            <w:t>2015-05-20 / D,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D937EB" w:rsidRPr="00FD08AF" w:rsidRDefault="00D937EB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925C17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925C17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D937EB" w:rsidRPr="00FD08AF" w:rsidRDefault="00D937EB" w:rsidP="00FD08AF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243" w:rsidRDefault="00163243">
      <w:r>
        <w:separator/>
      </w:r>
    </w:p>
  </w:footnote>
  <w:footnote w:type="continuationSeparator" w:id="0">
    <w:p w:rsidR="00163243" w:rsidRDefault="00163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C7" w:rsidRDefault="009C6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9C6DC7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9C6DC7" w:rsidRPr="00FD08AF" w:rsidRDefault="009C6DC7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>
                <wp:extent cx="904875" cy="266700"/>
                <wp:effectExtent l="0" t="0" r="9525" b="0"/>
                <wp:docPr id="2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9C6DC7" w:rsidRPr="00FD08AF" w:rsidRDefault="009C6DC7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25C17">
            <w:rPr>
              <w:rFonts w:ascii="Frutiger 57Cn" w:hAnsi="Frutiger 57Cn"/>
              <w:b/>
              <w:szCs w:val="22"/>
              <w:lang w:val="en-US"/>
            </w:rPr>
            <w:t>Center BackgroundSystem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25C17">
            <w:rPr>
              <w:rFonts w:ascii="Frutiger 57Cn" w:hAnsi="Frutiger 57Cn"/>
              <w:b/>
              <w:szCs w:val="22"/>
              <w:lang w:val="en-US"/>
            </w:rPr>
            <w:t>Azure Storage spike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25C17">
            <w:rPr>
              <w:rFonts w:ascii="Frutiger 57Cn" w:hAnsi="Frutiger 57Cn"/>
              <w:b/>
              <w:szCs w:val="22"/>
              <w:lang w:val="en-US"/>
            </w:rPr>
            <w:t>Azure Storage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9C6DC7" w:rsidRPr="00FD08AF">
      <w:trPr>
        <w:jc w:val="center"/>
      </w:trPr>
      <w:tc>
        <w:tcPr>
          <w:tcW w:w="1701" w:type="dxa"/>
          <w:vMerge/>
        </w:tcPr>
        <w:p w:rsidR="009C6DC7" w:rsidRPr="00FD08AF" w:rsidRDefault="009C6DC7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9C6DC7" w:rsidRPr="00FD08AF" w:rsidRDefault="009C6DC7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925C17">
            <w:rPr>
              <w:lang w:val="en-US"/>
            </w:rPr>
            <w:t>Implementation Documentation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>
            <w:rPr>
              <w:lang w:val="en-US"/>
            </w:rPr>
            <w:fldChar w:fldCharType="separate"/>
          </w:r>
          <w:r w:rsidR="00925C17">
            <w:rPr>
              <w:lang w:val="en-US"/>
            </w:rPr>
            <w:t>0.1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925C17"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9C6DC7" w:rsidRPr="00FD08AF" w:rsidRDefault="009C6DC7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C7" w:rsidRDefault="009C6DC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D937EB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D937EB" w:rsidRPr="00FD08AF" w:rsidRDefault="009C6DC7" w:rsidP="00C862CE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D937EB" w:rsidRPr="00FD08AF" w:rsidRDefault="00D937EB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9C6DC7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25C17">
            <w:rPr>
              <w:rFonts w:ascii="Frutiger 57Cn" w:hAnsi="Frutiger 57Cn"/>
              <w:b/>
              <w:szCs w:val="22"/>
              <w:lang w:val="en-US"/>
            </w:rPr>
            <w:t>Center BackgroundSystem, Azure Storage spike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D08AF" w:rsidTr="00914BA5">
      <w:trPr>
        <w:jc w:val="center"/>
      </w:trPr>
      <w:tc>
        <w:tcPr>
          <w:tcW w:w="1701" w:type="dxa"/>
          <w:vMerge/>
        </w:tcPr>
        <w:p w:rsidR="00D937EB" w:rsidRPr="00FD08AF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D937EB" w:rsidRPr="00B7037B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925C17">
            <w:rPr>
              <w:szCs w:val="22"/>
              <w:lang w:val="en-US"/>
            </w:rPr>
            <w:t>Azure Storage, Implementation Documentation,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D7ABF"/>
    <w:multiLevelType w:val="hybridMultilevel"/>
    <w:tmpl w:val="8BA0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C7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3243"/>
    <w:rsid w:val="00164BC5"/>
    <w:rsid w:val="00165F3D"/>
    <w:rsid w:val="00167261"/>
    <w:rsid w:val="00172621"/>
    <w:rsid w:val="001730A9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236"/>
    <w:rsid w:val="00235CB6"/>
    <w:rsid w:val="00236A80"/>
    <w:rsid w:val="00242D2F"/>
    <w:rsid w:val="002530C8"/>
    <w:rsid w:val="002612B0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9396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0E68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25C17"/>
    <w:rsid w:val="009435AD"/>
    <w:rsid w:val="00951DFE"/>
    <w:rsid w:val="00954C44"/>
    <w:rsid w:val="0095559B"/>
    <w:rsid w:val="0097463E"/>
    <w:rsid w:val="00990830"/>
    <w:rsid w:val="009A5257"/>
    <w:rsid w:val="009C3137"/>
    <w:rsid w:val="009C6DC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846D8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A0C5C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3A94"/>
    <w:rsid w:val="00DE76E0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5EA5C"/>
  <w15:chartTrackingRefBased/>
  <w15:docId w15:val="{DE882F8F-2C70-473B-B682-6B3D10B9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semiHidden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semiHidden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0C5C"/>
    <w:pPr>
      <w:ind w:left="720"/>
      <w:contextualSpacing/>
    </w:p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azure/dn790517.asp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azure.microsoft.com/en-gb/pricing/details/storage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tfsgorba/sites/teamsoftware/Shared%20Documents/Forms/Knowledge%20Base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Leonetti Francesco</cp:lastModifiedBy>
  <cp:revision>3</cp:revision>
  <cp:lastPrinted>2010-11-05T09:30:00Z</cp:lastPrinted>
  <dcterms:created xsi:type="dcterms:W3CDTF">2015-05-20T07:52:00Z</dcterms:created>
  <dcterms:modified xsi:type="dcterms:W3CDTF">2015-05-20T07:54:00Z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D</vt:lpwstr>
  </property>
  <property fmtid="{D5CDD505-2E9C-101B-9397-08002B2CF9AE}" pid="4" name="GO_Project">
    <vt:lpwstr>Center BackgroundSystem</vt:lpwstr>
  </property>
  <property fmtid="{D5CDD505-2E9C-101B-9397-08002B2CF9AE}" pid="5" name="GO_DocType">
    <vt:lpwstr>Implementation Documentation</vt:lpwstr>
  </property>
  <property fmtid="{D5CDD505-2E9C-101B-9397-08002B2CF9AE}" pid="6" name="GO_Title">
    <vt:lpwstr>Azure Storage spike</vt:lpwstr>
  </property>
  <property fmtid="{D5CDD505-2E9C-101B-9397-08002B2CF9AE}" pid="7" name="GO_Subject">
    <vt:lpwstr>Azure Storage</vt:lpwstr>
  </property>
  <property fmtid="{D5CDD505-2E9C-101B-9397-08002B2CF9AE}" pid="8" name="GO_CreationDate">
    <vt:lpwstr>2015-05-20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Center BackgroundSystem, Azure Storage spike</vt:lpwstr>
  </property>
  <property fmtid="{D5CDD505-2E9C-101B-9397-08002B2CF9AE}" pid="13" name="GO_Header2">
    <vt:lpwstr>Azure Storage, Implementation Documentation, 0.1, Draft</vt:lpwstr>
  </property>
  <property fmtid="{D5CDD505-2E9C-101B-9397-08002B2CF9AE}" pid="14" name="GO_Footer">
    <vt:lpwstr>2015-05-20 / D, Internal use only</vt:lpwstr>
  </property>
  <property fmtid="{D5CDD505-2E9C-101B-9397-08002B2CF9AE}" pid="15" name="GO_Repository">
    <vt:lpwstr>$/Gorba/Main/Center/BackgroundSystem/Spikes/AzureStorage/ID_AzureStorageSpike.docx</vt:lpwstr>
  </property>
</Properties>
</file>