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
      </w:pPr>
      <w:r>
        <w:rPr>
          <w:rFonts w:ascii="Calibri" w:cs="Calibri" w:eastAsia="Calibri" w:hAnsi="Calibri"/>
          <w:b/>
          <w:bCs/>
          <w:caps/>
          <w:color w:val="0D7377"/>
          <w:sz w:val="18"/>
          <w:szCs w:val="18"/>
        </w:rPr>
        <w:t xml:space="preserve">AI PORTFOLIO GOVERNANCE  ·  INITIATIVE BRIEF</w:t>
      </w:r>
    </w:p>
    <w:p>
      <w:pPr>
        <w:spacing w:before="0" w:after="80"/>
      </w:pPr>
      <w:r>
        <w:rPr>
          <w:rFonts w:ascii="Calibri" w:cs="Calibri" w:eastAsia="Calibri" w:hAnsi="Calibri"/>
          <w:b/>
          <w:bCs/>
          <w:color w:val="1E3A5F"/>
          <w:sz w:val="48"/>
          <w:szCs w:val="48"/>
        </w:rPr>
        <w:t xml:space="preserve">Agentic Intake &amp; Portfolio Governance Platform</w:t>
      </w:r>
    </w:p>
    <w:p>
      <w:pPr>
        <w:spacing w:before="0" w:after="240"/>
      </w:pPr>
      <w:r>
        <w:rPr>
          <w:rFonts w:ascii="Calibri" w:cs="Calibri" w:eastAsia="Calibri" w:hAnsi="Calibri"/>
          <w:i/>
          <w:iCs/>
          <w:color w:val="64748B"/>
          <w:sz w:val="24"/>
          <w:szCs w:val="24"/>
        </w:rPr>
        <w:t xml:space="preserve">One intelligent front door for every work request — AI ideas, new features, Epics, data requests, automation, and support — validated, deduplicated, and submitted to the right platform before cost is committed.</w:t>
      </w:r>
    </w:p>
    <w:p>
      <w:pPr>
        <w:pBdr>
          <w:bottom w:val="single" w:color="CBD5E1" w:sz="4" w:space="1"/>
        </w:pBdr>
        <w:spacing w:before="280" w:after="280"/>
      </w:pPr>
    </w:p>
    <w:p>
      <w:pPr>
        <w:pStyle w:val="Heading2"/>
        <w:spacing w:before="320" w:after="100"/>
      </w:pPr>
      <w:r>
        <w:rPr>
          <w:rFonts w:ascii="Calibri" w:cs="Calibri" w:eastAsia="Calibri" w:hAnsi="Calibri"/>
          <w:b/>
          <w:bCs/>
          <w:color w:val="0D7377"/>
          <w:sz w:val="28"/>
          <w:szCs w:val="28"/>
        </w:rPr>
        <w:t xml:space="preserve">Executive Summary</w:t>
      </w:r>
    </w:p>
    <w:p>
      <w:pPr>
        <w:spacing w:before="80" w:after="80"/>
      </w:pPr>
      <w:r>
        <w:rPr>
          <w:rFonts w:ascii="Calibri" w:cs="Calibri" w:eastAsia="Calibri" w:hAnsi="Calibri"/>
          <w:b w:val="false"/>
          <w:bCs w:val="false"/>
          <w:i w:val="false"/>
          <w:iCs w:val="false"/>
          <w:color w:val="0F172A"/>
          <w:sz w:val="22"/>
          <w:szCs w:val="22"/>
        </w:rPr>
        <w:t xml:space="preserve">The bank currently operates over 100 separate intake processes. Every type of work request — new AI initiatives, feature additions to existing platforms, new Epics, analytics requests, automation proposals, support tickets — flows through a different team's custom intake form with no shared visibility, no quality floor, and no mechanism to detect when two teams are requesting the same thing.</w:t>
      </w:r>
    </w:p>
    <w:p>
      <w:pPr>
        <w:spacing w:before="0" w:after="80"/>
      </w:pPr>
    </w:p>
    <w:p>
      <w:pPr>
        <w:spacing w:before="80" w:after="80"/>
      </w:pPr>
      <w:r>
        <w:rPr>
          <w:rFonts w:ascii="Calibri" w:cs="Calibri" w:eastAsia="Calibri" w:hAnsi="Calibri"/>
          <w:b w:val="false"/>
          <w:bCs w:val="false"/>
          <w:i w:val="false"/>
          <w:iCs w:val="false"/>
          <w:color w:val="0F172A"/>
          <w:sz w:val="22"/>
          <w:szCs w:val="22"/>
        </w:rPr>
        <w:t xml:space="preserve">The result is predictable: reviewers receive incomplete, vague submissions that require multiple back-and-forth cycles before work can begin. Duplicate requests consume separate environment allocations. Initiatives that would not survive basic scrutiny consume months of engineering time before anyone catches them.</w:t>
      </w:r>
    </w:p>
    <w:p>
      <w:pPr>
        <w:spacing w:before="0" w:after="80"/>
      </w:pPr>
    </w:p>
    <w:p>
      <w:pPr>
        <w:spacing w:before="80" w:after="80"/>
      </w:pPr>
      <w:r>
        <w:rPr>
          <w:rFonts w:ascii="Calibri" w:cs="Calibri" w:eastAsia="Calibri" w:hAnsi="Calibri"/>
          <w:b w:val="false"/>
          <w:bCs w:val="false"/>
          <w:i w:val="false"/>
          <w:iCs w:val="false"/>
          <w:color w:val="0F172A"/>
          <w:sz w:val="22"/>
          <w:szCs w:val="22"/>
        </w:rPr>
        <w:t xml:space="preserve">The Agentic Intake &amp; Portfolio Governance Platform is a working system — not a concept — that replaces every static form with a guided AI conversation. It validates every response in real time, detects duplicate work before submission using three matching strategies, and routes completed, structured tickets directly into Jira, ServiceNow, or any configured platform. It is built, running with 12 intake configurations active, and ready for a 60-day parallel pilot.</w:t>
      </w:r>
    </w:p>
    <w:p>
      <w:pPr>
        <w:spacing w:before="0"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2"/>
              <w:left w:val="single" w:color="DC2626" w:sz="24"/>
              <w:bottom w:val="none" w:color="FFFFFF" w:sz="0"/>
              <w:right w:val="none" w:color="FFFFFF" w:sz="0"/>
            </w:tcBorders>
            <w:shd w:fill="FEF2F2" w:val="clear"/>
            <w:tcMar>
              <w:top w:type="dxa" w:w="120"/>
              <w:left w:type="dxa" w:w="200"/>
              <w:bottom w:type="dxa" w:w="120"/>
              <w:right w:type="dxa" w:w="120"/>
            </w:tcMar>
          </w:tcPr>
          <w:p>
            <w:pPr>
              <w:spacing w:before="0" w:after="0"/>
            </w:pPr>
            <w:r>
              <w:rPr>
                <w:rFonts w:ascii="Calibri" w:cs="Calibri" w:eastAsia="Calibri" w:hAnsi="Calibri"/>
                <w:b/>
                <w:bCs/>
                <w:color w:val="DC2626"/>
                <w:sz w:val="22"/>
                <w:szCs w:val="22"/>
              </w:rPr>
              <w:t xml:space="preserve">⚠  </w:t>
            </w:r>
            <w:r>
              <w:rPr>
                <w:rFonts w:ascii="Calibri" w:cs="Calibri" w:eastAsia="Calibri" w:hAnsi="Calibri"/>
                <w:color w:val="0F172A"/>
                <w:sz w:val="22"/>
                <w:szCs w:val="22"/>
              </w:rPr>
              <w:t xml:space="preserve">The 100+ intake processes already in place are not evidence that governance is solved. They are evidence of the problem this platform is designed to fix.</w:t>
            </w:r>
          </w:p>
        </w:tc>
      </w:tr>
    </w:tbl>
    <w:p>
      <w:pPr>
        <w:spacing w:before="0"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0D7377" w:sz="6"/>
              <w:left w:val="none" w:color="FFFFFF" w:sz="0"/>
              <w:bottom w:val="none" w:color="FFFFFF" w:sz="0"/>
              <w:right w:val="none" w:color="FFFFFF" w:sz="0"/>
            </w:tcBorders>
            <w:shd w:fill="EEF4FB" w:val="clear"/>
            <w:tcMar>
              <w:top w:type="dxa" w:w="160"/>
              <w:left w:type="dxa" w:w="160"/>
              <w:bottom w:type="dxa" w:w="160"/>
              <w:right w:type="dxa" w:w="160"/>
            </w:tcMar>
          </w:tcPr>
          <w:p>
            <w:pPr>
              <w:spacing w:before="0" w:after="40"/>
              <w:jc w:val="center"/>
            </w:pPr>
            <w:r>
              <w:rPr>
                <w:rFonts w:ascii="Calibri" w:cs="Calibri" w:eastAsia="Calibri" w:hAnsi="Calibri"/>
                <w:b/>
                <w:bCs/>
                <w:color w:val="1E3A5F"/>
                <w:sz w:val="52"/>
                <w:szCs w:val="52"/>
              </w:rPr>
              <w:t xml:space="preserve">100+</w:t>
            </w:r>
          </w:p>
          <w:p>
            <w:pPr>
              <w:spacing w:before="0" w:after="20"/>
              <w:jc w:val="center"/>
            </w:pPr>
            <w:r>
              <w:rPr>
                <w:rFonts w:ascii="Calibri" w:cs="Calibri" w:eastAsia="Calibri" w:hAnsi="Calibri"/>
                <w:b/>
                <w:bCs/>
                <w:color w:val="0D7377"/>
                <w:sz w:val="20"/>
                <w:szCs w:val="20"/>
              </w:rPr>
              <w:t xml:space="preserve">Fragmented Intake Processes</w:t>
            </w:r>
          </w:p>
          <w:p>
            <w:pPr>
              <w:spacing w:before="0" w:after="0"/>
              <w:jc w:val="center"/>
            </w:pPr>
            <w:r>
              <w:rPr>
                <w:rFonts w:ascii="Calibri" w:cs="Calibri" w:eastAsia="Calibri" w:hAnsi="Calibri"/>
                <w:i/>
                <w:iCs/>
                <w:color w:val="64748B"/>
                <w:sz w:val="18"/>
                <w:szCs w:val="18"/>
              </w:rPr>
              <w:t xml:space="preserve">No shared visibility across business lines</w:t>
            </w:r>
          </w:p>
        </w:tc>
        <w:tc>
          <w:tcPr>
            <w:tcW w:type="dxa" w:w="3120"/>
            <w:tcBorders>
              <w:top w:val="single" w:color="0D7377" w:sz="6"/>
              <w:left w:val="none" w:color="FFFFFF" w:sz="0"/>
              <w:bottom w:val="none" w:color="FFFFFF" w:sz="0"/>
              <w:right w:val="none" w:color="FFFFFF" w:sz="0"/>
            </w:tcBorders>
            <w:shd w:fill="EEF4FB" w:val="clear"/>
            <w:tcMar>
              <w:top w:type="dxa" w:w="160"/>
              <w:left w:type="dxa" w:w="160"/>
              <w:bottom w:type="dxa" w:w="160"/>
              <w:right w:type="dxa" w:w="160"/>
            </w:tcMar>
          </w:tcPr>
          <w:p>
            <w:pPr>
              <w:spacing w:before="0" w:after="40"/>
              <w:jc w:val="center"/>
            </w:pPr>
            <w:r>
              <w:rPr>
                <w:rFonts w:ascii="Calibri" w:cs="Calibri" w:eastAsia="Calibri" w:hAnsi="Calibri"/>
                <w:b/>
                <w:bCs/>
                <w:color w:val="1E3A5F"/>
                <w:sz w:val="52"/>
                <w:szCs w:val="52"/>
              </w:rPr>
              <w:t xml:space="preserve">12</w:t>
            </w:r>
          </w:p>
          <w:p>
            <w:pPr>
              <w:spacing w:before="0" w:after="20"/>
              <w:jc w:val="center"/>
            </w:pPr>
            <w:r>
              <w:rPr>
                <w:rFonts w:ascii="Calibri" w:cs="Calibri" w:eastAsia="Calibri" w:hAnsi="Calibri"/>
                <w:b/>
                <w:bCs/>
                <w:color w:val="0D7377"/>
                <w:sz w:val="20"/>
                <w:szCs w:val="20"/>
              </w:rPr>
              <w:t xml:space="preserve">Intake Configs Active Today</w:t>
            </w:r>
          </w:p>
          <w:p>
            <w:pPr>
              <w:spacing w:before="0" w:after="0"/>
              <w:jc w:val="center"/>
            </w:pPr>
            <w:r>
              <w:rPr>
                <w:rFonts w:ascii="Calibri" w:cs="Calibri" w:eastAsia="Calibri" w:hAnsi="Calibri"/>
                <w:i/>
                <w:iCs/>
                <w:color w:val="64748B"/>
                <w:sz w:val="18"/>
                <w:szCs w:val="18"/>
              </w:rPr>
              <w:t xml:space="preserve">AI, features, Epics, analytics, and more</w:t>
            </w:r>
          </w:p>
        </w:tc>
        <w:tc>
          <w:tcPr>
            <w:tcW w:type="dxa" w:w="3120"/>
            <w:tcBorders>
              <w:top w:val="single" w:color="0D7377" w:sz="6"/>
              <w:left w:val="none" w:color="FFFFFF" w:sz="0"/>
              <w:bottom w:val="none" w:color="FFFFFF" w:sz="0"/>
              <w:right w:val="none" w:color="FFFFFF" w:sz="0"/>
            </w:tcBorders>
            <w:shd w:fill="EEF4FB" w:val="clear"/>
            <w:tcMar>
              <w:top w:type="dxa" w:w="160"/>
              <w:left w:type="dxa" w:w="160"/>
              <w:bottom w:type="dxa" w:w="160"/>
              <w:right w:type="dxa" w:w="160"/>
            </w:tcMar>
          </w:tcPr>
          <w:p>
            <w:pPr>
              <w:spacing w:before="0" w:after="40"/>
              <w:jc w:val="center"/>
            </w:pPr>
            <w:r>
              <w:rPr>
                <w:rFonts w:ascii="Calibri" w:cs="Calibri" w:eastAsia="Calibri" w:hAnsi="Calibri"/>
                <w:b/>
                <w:bCs/>
                <w:color w:val="1E3A5F"/>
                <w:sz w:val="52"/>
                <w:szCs w:val="52"/>
              </w:rPr>
              <w:t xml:space="preserve">3</w:t>
            </w:r>
          </w:p>
          <w:p>
            <w:pPr>
              <w:spacing w:before="0" w:after="20"/>
              <w:jc w:val="center"/>
            </w:pPr>
            <w:r>
              <w:rPr>
                <w:rFonts w:ascii="Calibri" w:cs="Calibri" w:eastAsia="Calibri" w:hAnsi="Calibri"/>
                <w:b/>
                <w:bCs/>
                <w:color w:val="0D7377"/>
                <w:sz w:val="20"/>
                <w:szCs w:val="20"/>
              </w:rPr>
              <w:t xml:space="preserve">Submission Platforms Supported</w:t>
            </w:r>
          </w:p>
          <w:p>
            <w:pPr>
              <w:spacing w:before="0" w:after="0"/>
              <w:jc w:val="center"/>
            </w:pPr>
            <w:r>
              <w:rPr>
                <w:rFonts w:ascii="Calibri" w:cs="Calibri" w:eastAsia="Calibri" w:hAnsi="Calibri"/>
                <w:i/>
                <w:iCs/>
                <w:color w:val="64748B"/>
                <w:sz w:val="18"/>
                <w:szCs w:val="18"/>
              </w:rPr>
              <w:t xml:space="preserve">Jira (live), ServiceNow, webhook (ready)</w:t>
            </w:r>
          </w:p>
        </w:tc>
      </w:tr>
    </w:tbl>
    <w:p>
      <w:pPr>
        <w:spacing w:before="0" w:after="240"/>
      </w:pPr>
    </w:p>
    <w:p>
      <w:pPr>
        <w:pBdr>
          <w:bottom w:val="single" w:color="CBD5E1" w:sz="4" w:space="1"/>
        </w:pBdr>
        <w:spacing w:before="280" w:after="280"/>
      </w:pPr>
    </w:p>
    <w:p>
      <w:pPr>
        <w:pStyle w:val="Heading2"/>
        <w:spacing w:before="320" w:after="100"/>
      </w:pPr>
      <w:r>
        <w:rPr>
          <w:rFonts w:ascii="Calibri" w:cs="Calibri" w:eastAsia="Calibri" w:hAnsi="Calibri"/>
          <w:b/>
          <w:bCs/>
          <w:color w:val="0D7377"/>
          <w:sz w:val="28"/>
          <w:szCs w:val="28"/>
        </w:rPr>
        <w:t xml:space="preserve">What This Platform Handles — All Work Request Types</w:t>
      </w:r>
    </w:p>
    <w:p>
      <w:pPr>
        <w:spacing w:before="80" w:after="80"/>
      </w:pPr>
      <w:r>
        <w:rPr>
          <w:rFonts w:ascii="Calibri" w:cs="Calibri" w:eastAsia="Calibri" w:hAnsi="Calibri"/>
          <w:b w:val="false"/>
          <w:bCs w:val="false"/>
          <w:i w:val="false"/>
          <w:iCs w:val="false"/>
          <w:color w:val="0F172A"/>
          <w:sz w:val="22"/>
          <w:szCs w:val="22"/>
        </w:rPr>
        <w:t xml:space="preserve">This is not an AI-ideas-only intake tool. The platform is a universal intake governance layer. The same agent pipeline, validation logic, and duplicate detection runs for every category of work request the organization generates:</w:t>
      </w:r>
    </w:p>
    <w:p>
      <w:pPr>
        <w:spacing w:before="0" w:after="80"/>
      </w:pPr>
    </w:p>
    <w:p>
      <w:pPr>
        <w:pStyle w:val="ListParagraph"/>
        <w:numPr>
          <w:ilvl w:val="0"/>
          <w:numId w:val="2"/>
        </w:numPr>
        <w:spacing w:before="60" w:after="60"/>
      </w:pPr>
      <w:r>
        <w:rPr>
          <w:rFonts w:ascii="Calibri" w:cs="Calibri" w:eastAsia="Calibri" w:hAnsi="Calibri"/>
          <w:b/>
          <w:bCs/>
          <w:color w:val="0F172A"/>
          <w:sz w:val="22"/>
          <w:szCs w:val="22"/>
        </w:rPr>
        <w:t xml:space="preserve">GenAI, ML, and AI automation proposals </w:t>
      </w:r>
      <w:r>
        <w:rPr>
          <w:rFonts w:ascii="Calibri" w:cs="Calibri" w:eastAsia="Calibri" w:hAnsi="Calibri"/>
          <w:color w:val="0F172A"/>
          <w:sz w:val="22"/>
          <w:szCs w:val="22"/>
        </w:rPr>
        <w:t xml:space="preserve">New AI initiatives —</w:t>
      </w:r>
    </w:p>
    <w:p>
      <w:pPr>
        <w:pStyle w:val="ListParagraph"/>
        <w:numPr>
          <w:ilvl w:val="0"/>
          <w:numId w:val="2"/>
        </w:numPr>
        <w:spacing w:before="60" w:after="60"/>
      </w:pPr>
      <w:r>
        <w:rPr>
          <w:rFonts w:ascii="Calibri" w:cs="Calibri" w:eastAsia="Calibri" w:hAnsi="Calibri"/>
          <w:b/>
          <w:bCs/>
          <w:color w:val="0F172A"/>
          <w:sz w:val="22"/>
          <w:szCs w:val="22"/>
        </w:rPr>
        <w:t xml:space="preserve">Enhancements and additions to existing platforms and products </w:t>
      </w:r>
      <w:r>
        <w:rPr>
          <w:rFonts w:ascii="Calibri" w:cs="Calibri" w:eastAsia="Calibri" w:hAnsi="Calibri"/>
          <w:color w:val="0F172A"/>
          <w:sz w:val="22"/>
          <w:szCs w:val="22"/>
        </w:rPr>
        <w:t xml:space="preserve">New features —</w:t>
      </w:r>
    </w:p>
    <w:p>
      <w:pPr>
        <w:pStyle w:val="ListParagraph"/>
        <w:numPr>
          <w:ilvl w:val="0"/>
          <w:numId w:val="2"/>
        </w:numPr>
        <w:spacing w:before="60" w:after="60"/>
      </w:pPr>
      <w:r>
        <w:rPr>
          <w:rFonts w:ascii="Calibri" w:cs="Calibri" w:eastAsia="Calibri" w:hAnsi="Calibri"/>
          <w:b/>
          <w:bCs/>
          <w:color w:val="0F172A"/>
          <w:sz w:val="22"/>
          <w:szCs w:val="22"/>
        </w:rPr>
        <w:t xml:space="preserve">New Epics added to active product roadmaps </w:t>
      </w:r>
      <w:r>
        <w:rPr>
          <w:rFonts w:ascii="Calibri" w:cs="Calibri" w:eastAsia="Calibri" w:hAnsi="Calibri"/>
          <w:color w:val="0F172A"/>
          <w:sz w:val="22"/>
          <w:szCs w:val="22"/>
        </w:rPr>
        <w:t xml:space="preserve">New Epics —</w:t>
      </w:r>
    </w:p>
    <w:p>
      <w:pPr>
        <w:pStyle w:val="ListParagraph"/>
        <w:numPr>
          <w:ilvl w:val="0"/>
          <w:numId w:val="2"/>
        </w:numPr>
        <w:spacing w:before="60" w:after="60"/>
      </w:pPr>
      <w:r>
        <w:rPr>
          <w:rFonts w:ascii="Calibri" w:cs="Calibri" w:eastAsia="Calibri" w:hAnsi="Calibri"/>
          <w:b/>
          <w:bCs/>
          <w:color w:val="0F172A"/>
          <w:sz w:val="22"/>
          <w:szCs w:val="22"/>
        </w:rPr>
        <w:t xml:space="preserve">Data, analytics, and reporting requests </w:t>
      </w:r>
      <w:r>
        <w:rPr>
          <w:rFonts w:ascii="Calibri" w:cs="Calibri" w:eastAsia="Calibri" w:hAnsi="Calibri"/>
          <w:color w:val="0F172A"/>
          <w:sz w:val="22"/>
          <w:szCs w:val="22"/>
        </w:rPr>
        <w:t xml:space="preserve">Data &amp; analytics —</w:t>
      </w:r>
    </w:p>
    <w:p>
      <w:pPr>
        <w:pStyle w:val="ListParagraph"/>
        <w:numPr>
          <w:ilvl w:val="0"/>
          <w:numId w:val="2"/>
        </w:numPr>
        <w:spacing w:before="60" w:after="60"/>
      </w:pPr>
      <w:r>
        <w:rPr>
          <w:rFonts w:ascii="Calibri" w:cs="Calibri" w:eastAsia="Calibri" w:hAnsi="Calibri"/>
          <w:b/>
          <w:bCs/>
          <w:color w:val="0F172A"/>
          <w:sz w:val="22"/>
          <w:szCs w:val="22"/>
        </w:rPr>
        <w:t xml:space="preserve">Business process automation proposals </w:t>
      </w:r>
      <w:r>
        <w:rPr>
          <w:rFonts w:ascii="Calibri" w:cs="Calibri" w:eastAsia="Calibri" w:hAnsi="Calibri"/>
          <w:color w:val="0F172A"/>
          <w:sz w:val="22"/>
          <w:szCs w:val="22"/>
        </w:rPr>
        <w:t xml:space="preserve">Automation —</w:t>
      </w:r>
    </w:p>
    <w:p>
      <w:pPr>
        <w:pStyle w:val="ListParagraph"/>
        <w:numPr>
          <w:ilvl w:val="0"/>
          <w:numId w:val="2"/>
        </w:numPr>
        <w:spacing w:before="60" w:after="60"/>
      </w:pPr>
      <w:r>
        <w:rPr>
          <w:rFonts w:ascii="Calibri" w:cs="Calibri" w:eastAsia="Calibri" w:hAnsi="Calibri"/>
          <w:b/>
          <w:bCs/>
          <w:color w:val="0F172A"/>
          <w:sz w:val="22"/>
          <w:szCs w:val="22"/>
        </w:rPr>
        <w:t xml:space="preserve">Support and triage requests routed to the right team </w:t>
      </w:r>
      <w:r>
        <w:rPr>
          <w:rFonts w:ascii="Calibri" w:cs="Calibri" w:eastAsia="Calibri" w:hAnsi="Calibri"/>
          <w:color w:val="0F172A"/>
          <w:sz w:val="22"/>
          <w:szCs w:val="22"/>
        </w:rPr>
        <w:t xml:space="preserve">Support —</w:t>
      </w:r>
    </w:p>
    <w:p>
      <w:pPr>
        <w:spacing w:before="0" w:after="80"/>
      </w:pPr>
    </w:p>
    <w:p>
      <w:pPr>
        <w:spacing w:before="80" w:after="80"/>
      </w:pPr>
      <w:r>
        <w:rPr>
          <w:rFonts w:ascii="Calibri" w:cs="Calibri" w:eastAsia="Calibri" w:hAnsi="Calibri"/>
          <w:b w:val="false"/>
          <w:bCs w:val="false"/>
          <w:i w:val="false"/>
          <w:iCs w:val="false"/>
          <w:color w:val="0F172A"/>
          <w:sz w:val="22"/>
          <w:szCs w:val="22"/>
        </w:rPr>
        <w:t xml:space="preserve">Each intake type is defined by a YAML configuration file: its questions, validation criteria, platform target, and duplicate detection settings. The platform is product-agnostic — adding a new intake category requires one configuration file, not a code change.</w:t>
      </w:r>
    </w:p>
    <w:p>
      <w:pPr>
        <w:spacing w:before="0" w:after="200"/>
      </w:pPr>
    </w:p>
    <w:p>
      <w:pPr>
        <w:pBdr>
          <w:bottom w:val="single" w:color="CBD5E1" w:sz="4" w:space="1"/>
        </w:pBdr>
        <w:spacing w:before="280" w:after="280"/>
      </w:pPr>
    </w:p>
    <w:p>
      <w:pPr>
        <w:pStyle w:val="Heading2"/>
        <w:spacing w:before="320" w:after="100"/>
      </w:pPr>
      <w:r>
        <w:rPr>
          <w:rFonts w:ascii="Calibri" w:cs="Calibri" w:eastAsia="Calibri" w:hAnsi="Calibri"/>
          <w:b/>
          <w:bCs/>
          <w:color w:val="0D7377"/>
          <w:sz w:val="28"/>
          <w:szCs w:val="28"/>
        </w:rPr>
        <w:t xml:space="preserve">The Problem We Are Actually Solving</w:t>
      </w:r>
    </w:p>
    <w:p>
      <w:pPr>
        <w:spacing w:before="80" w:after="80"/>
      </w:pPr>
      <w:r>
        <w:rPr>
          <w:rFonts w:ascii="Calibri" w:cs="Calibri" w:eastAsia="Calibri" w:hAnsi="Calibri"/>
          <w:b w:val="false"/>
          <w:bCs w:val="false"/>
          <w:i w:val="false"/>
          <w:iCs w:val="false"/>
          <w:color w:val="0F172A"/>
          <w:sz w:val="22"/>
          <w:szCs w:val="22"/>
        </w:rPr>
        <w:t xml:space="preserve">Static intake forms — Google Forms, Jira intake forms, ServiceNow catalog items — collect information but do not ensure quality. Submitters leave fields blank, provide vague descriptions, omit critical context, and create duplicate requests for work already in progress. Intake reviewers spend a significant portion of their time chasing clarification before any real planning work can begin.</w:t>
      </w:r>
    </w:p>
    <w:p>
      <w:pPr>
        <w:spacing w:before="0" w:after="80"/>
      </w:pPr>
    </w:p>
    <w:p>
      <w:pPr>
        <w:spacing w:before="80" w:after="80"/>
      </w:pPr>
      <w:r>
        <w:rPr>
          <w:rFonts w:ascii="Calibri" w:cs="Calibri" w:eastAsia="Calibri" w:hAnsi="Calibri"/>
          <w:b w:val="false"/>
          <w:bCs w:val="false"/>
          <w:i w:val="false"/>
          <w:iCs w:val="false"/>
          <w:color w:val="0F172A"/>
          <w:sz w:val="22"/>
          <w:szCs w:val="22"/>
        </w:rPr>
        <w:t xml:space="preserve">The structural failure modes in the current state:</w:t>
      </w:r>
    </w:p>
    <w:p>
      <w:pPr>
        <w:spacing w:before="0" w:after="60"/>
      </w:pPr>
    </w:p>
    <w:p>
      <w:pPr>
        <w:pStyle w:val="ListParagraph"/>
        <w:numPr>
          <w:ilvl w:val="0"/>
          <w:numId w:val="2"/>
        </w:numPr>
        <w:spacing w:before="60" w:after="60"/>
      </w:pPr>
      <w:r>
        <w:rPr>
          <w:rFonts w:ascii="Calibri" w:cs="Calibri" w:eastAsia="Calibri" w:hAnsi="Calibri"/>
          <w:b/>
          <w:bCs/>
          <w:color w:val="0F172A"/>
          <w:sz w:val="22"/>
          <w:szCs w:val="22"/>
        </w:rPr>
        <w:t xml:space="preserve">No shared visibility across business lines into what is active, proposed, or recently completed — any work type, not just AI </w:t>
      </w:r>
      <w:r>
        <w:rPr>
          <w:rFonts w:ascii="Calibri" w:cs="Calibri" w:eastAsia="Calibri" w:hAnsi="Calibri"/>
          <w:color w:val="0F172A"/>
          <w:sz w:val="22"/>
          <w:szCs w:val="22"/>
        </w:rPr>
      </w:r>
    </w:p>
    <w:p>
      <w:pPr>
        <w:pStyle w:val="ListParagraph"/>
        <w:numPr>
          <w:ilvl w:val="0"/>
          <w:numId w:val="2"/>
        </w:numPr>
        <w:spacing w:before="60" w:after="60"/>
      </w:pPr>
      <w:r>
        <w:rPr>
          <w:rFonts w:ascii="Calibri" w:cs="Calibri" w:eastAsia="Calibri" w:hAnsi="Calibri"/>
          <w:b/>
          <w:bCs/>
          <w:color w:val="0F172A"/>
          <w:sz w:val="22"/>
          <w:szCs w:val="22"/>
        </w:rPr>
        <w:t xml:space="preserve">No quality gate at submission time — reviewers receive forms that cannot be actioned without multiple follow-up cycles </w:t>
      </w:r>
      <w:r>
        <w:rPr>
          <w:rFonts w:ascii="Calibri" w:cs="Calibri" w:eastAsia="Calibri" w:hAnsi="Calibri"/>
          <w:color w:val="0F172A"/>
          <w:sz w:val="22"/>
          <w:szCs w:val="22"/>
        </w:rPr>
      </w:r>
    </w:p>
    <w:p>
      <w:pPr>
        <w:pStyle w:val="ListParagraph"/>
        <w:numPr>
          <w:ilvl w:val="0"/>
          <w:numId w:val="2"/>
        </w:numPr>
        <w:spacing w:before="60" w:after="60"/>
      </w:pPr>
      <w:r>
        <w:rPr>
          <w:rFonts w:ascii="Calibri" w:cs="Calibri" w:eastAsia="Calibri" w:hAnsi="Calibri"/>
          <w:b/>
          <w:bCs/>
          <w:color w:val="0F172A"/>
          <w:sz w:val="22"/>
          <w:szCs w:val="22"/>
        </w:rPr>
        <w:t xml:space="preserve">No duplication check — teams discover mid-development that another group has already built or is building the same thing </w:t>
      </w:r>
      <w:r>
        <w:rPr>
          <w:rFonts w:ascii="Calibri" w:cs="Calibri" w:eastAsia="Calibri" w:hAnsi="Calibri"/>
          <w:color w:val="0F172A"/>
          <w:sz w:val="22"/>
          <w:szCs w:val="22"/>
        </w:rPr>
      </w:r>
    </w:p>
    <w:p>
      <w:pPr>
        <w:pStyle w:val="ListParagraph"/>
        <w:numPr>
          <w:ilvl w:val="0"/>
          <w:numId w:val="2"/>
        </w:numPr>
        <w:spacing w:before="60" w:after="60"/>
      </w:pPr>
      <w:r>
        <w:rPr>
          <w:rFonts w:ascii="Calibri" w:cs="Calibri" w:eastAsia="Calibri" w:hAnsi="Calibri"/>
          <w:b/>
          <w:bCs/>
          <w:color w:val="0F172A"/>
          <w:sz w:val="22"/>
          <w:szCs w:val="22"/>
        </w:rPr>
        <w:t xml:space="preserve">No feasibility filter — environment access, data provisioning, and headcount are committed before a request's viability is known </w:t>
      </w:r>
      <w:r>
        <w:rPr>
          <w:rFonts w:ascii="Calibri" w:cs="Calibri" w:eastAsia="Calibri" w:hAnsi="Calibri"/>
          <w:color w:val="0F172A"/>
          <w:sz w:val="22"/>
          <w:szCs w:val="22"/>
        </w:rPr>
      </w:r>
    </w:p>
    <w:p>
      <w:pPr>
        <w:pStyle w:val="ListParagraph"/>
        <w:numPr>
          <w:ilvl w:val="0"/>
          <w:numId w:val="2"/>
        </w:numPr>
        <w:spacing w:before="60" w:after="60"/>
      </w:pPr>
      <w:r>
        <w:rPr>
          <w:rFonts w:ascii="Calibri" w:cs="Calibri" w:eastAsia="Calibri" w:hAnsi="Calibri"/>
          <w:b/>
          <w:bCs/>
          <w:color w:val="0F172A"/>
          <w:sz w:val="22"/>
          <w:szCs w:val="22"/>
        </w:rPr>
        <w:t xml:space="preserve">No alignment gate — individual submissions exist in isolation from enterprise AI strategy and risk posture </w:t>
      </w:r>
      <w:r>
        <w:rPr>
          <w:rFonts w:ascii="Calibri" w:cs="Calibri" w:eastAsia="Calibri" w:hAnsi="Calibri"/>
          <w:color w:val="0F172A"/>
          <w:sz w:val="22"/>
          <w:szCs w:val="22"/>
        </w:rPr>
      </w:r>
    </w:p>
    <w:p>
      <w:pPr>
        <w:spacing w:before="0" w:after="120"/>
      </w:pPr>
    </w:p>
    <w:p>
      <w:pPr>
        <w:spacing w:before="80" w:after="80"/>
      </w:pPr>
      <w:r>
        <w:rPr>
          <w:rFonts w:ascii="Calibri" w:cs="Calibri" w:eastAsia="Calibri" w:hAnsi="Calibri"/>
          <w:b w:val="false"/>
          <w:bCs w:val="false"/>
          <w:i w:val="false"/>
          <w:iCs w:val="false"/>
          <w:color w:val="0F172A"/>
          <w:sz w:val="22"/>
          <w:szCs w:val="22"/>
        </w:rPr>
        <w:t xml:space="preserve">These are not edge cases. They are the default operating condition of a fragmented intake landscape. The cost is not inefficiency at the margins — it is months of irreversible resource commitment that a structured front-door question would have redirected in the first week.</w:t>
      </w:r>
    </w:p>
    <w:p>
      <w:pPr>
        <w:spacing w:before="0" w:after="200"/>
      </w:pPr>
    </w:p>
    <w:p>
      <w:pPr>
        <w:pStyle w:val="Heading2"/>
        <w:spacing w:before="320" w:after="100"/>
      </w:pPr>
      <w:r>
        <w:rPr>
          <w:rFonts w:ascii="Calibri" w:cs="Calibri" w:eastAsia="Calibri" w:hAnsi="Calibri"/>
          <w:b/>
          <w:bCs/>
          <w:color w:val="0D7377"/>
          <w:sz w:val="28"/>
          <w:szCs w:val="28"/>
        </w:rPr>
        <w:t xml:space="preserve">Why 100+ Processes Is the Argument For This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12"/>
              <w:left w:val="single" w:color="0D7377" w:sz="24"/>
              <w:bottom w:val="none" w:color="FFFFFF" w:sz="0"/>
              <w:right w:val="none" w:color="FFFFFF" w:sz="0"/>
            </w:tcBorders>
            <w:shd w:fill="EEF4FB" w:val="clear"/>
            <w:tcMar>
              <w:top w:type="dxa" w:w="120"/>
              <w:left w:type="dxa" w:w="200"/>
              <w:bottom w:type="dxa" w:w="120"/>
              <w:right w:type="dxa" w:w="120"/>
            </w:tcMar>
          </w:tcPr>
          <w:p>
            <w:pPr>
              <w:spacing w:before="0" w:after="0"/>
            </w:pPr>
            <w:r>
              <w:rPr>
                <w:rFonts w:ascii="Calibri" w:cs="Calibri" w:eastAsia="Calibri" w:hAnsi="Calibri"/>
                <w:b/>
                <w:bCs/>
                <w:color w:val="0D7377"/>
                <w:sz w:val="22"/>
                <w:szCs w:val="22"/>
              </w:rPr>
              <w:t xml:space="preserve">ℹ  </w:t>
            </w:r>
            <w:r>
              <w:rPr>
                <w:rFonts w:ascii="Calibri" w:cs="Calibri" w:eastAsia="Calibri" w:hAnsi="Calibri"/>
                <w:color w:val="0F172A"/>
                <w:sz w:val="22"/>
                <w:szCs w:val="22"/>
              </w:rPr>
              <w:t xml:space="preserve">One hundred intake processes are not a governance framework. They are one hundred independent decisions made with no shared context, no quality floor, and no portfolio visibility.</w:t>
            </w:r>
          </w:p>
        </w:tc>
      </w:tr>
    </w:tbl>
    <w:p>
      <w:pPr>
        <w:spacing w:before="0" w:after="120"/>
      </w:pPr>
    </w:p>
    <w:p>
      <w:pPr>
        <w:spacing w:before="80" w:after="80"/>
      </w:pPr>
      <w:r>
        <w:rPr>
          <w:rFonts w:ascii="Calibri" w:cs="Calibri" w:eastAsia="Calibri" w:hAnsi="Calibri"/>
          <w:b w:val="false"/>
          <w:bCs w:val="false"/>
          <w:i w:val="false"/>
          <w:iCs w:val="false"/>
          <w:color w:val="0F172A"/>
          <w:sz w:val="22"/>
          <w:szCs w:val="22"/>
        </w:rPr>
        <w:t xml:space="preserve">The existence of many local processes is precisely what creates the duplication, the misalignment, and the quality waste. Each process is optimized for the team that owns it. None of them is optimized for the organization's overall investment portfolio. No individual team process — however well-designed — can detect duplication or misalignment across the portfolio it cannot see.</w:t>
      </w:r>
    </w:p>
    <w:p>
      <w:pPr>
        <w:spacing w:before="0" w:after="80"/>
      </w:pPr>
    </w:p>
    <w:p>
      <w:pPr>
        <w:spacing w:before="80" w:after="80"/>
      </w:pPr>
      <w:r>
        <w:rPr>
          <w:rFonts w:ascii="Calibri" w:cs="Calibri" w:eastAsia="Calibri" w:hAnsi="Calibri"/>
          <w:b w:val="false"/>
          <w:bCs w:val="false"/>
          <w:i w:val="false"/>
          <w:iCs w:val="false"/>
          <w:color w:val="0F172A"/>
          <w:sz w:val="22"/>
          <w:szCs w:val="22"/>
        </w:rPr>
        <w:t xml:space="preserve">This platform does not replace those local processes. It adds one layer above them — a structured, intelligent front-door assessment that answers three questions before any local process begins:</w:t>
      </w:r>
    </w:p>
    <w:p>
      <w:pPr>
        <w:spacing w:before="0" w:after="80"/>
      </w:pPr>
    </w:p>
    <w:p>
      <w:pPr>
        <w:pStyle w:val="ListParagraph"/>
        <w:numPr>
          <w:ilvl w:val="0"/>
          <w:numId w:val="2"/>
        </w:numPr>
        <w:spacing w:before="60" w:after="60"/>
      </w:pPr>
      <w:r>
        <w:rPr>
          <w:rFonts w:ascii="Calibri" w:cs="Calibri" w:eastAsia="Calibri" w:hAnsi="Calibri"/>
          <w:b/>
          <w:bCs/>
          <w:color w:val="0F172A"/>
          <w:sz w:val="22"/>
          <w:szCs w:val="22"/>
        </w:rPr>
        <w:t xml:space="preserve">Has this already been built, or is it being built right now by another team? </w:t>
      </w:r>
      <w:r>
        <w:rPr>
          <w:rFonts w:ascii="Calibri" w:cs="Calibri" w:eastAsia="Calibri" w:hAnsi="Calibri"/>
          <w:color w:val="0F172A"/>
          <w:sz w:val="22"/>
          <w:szCs w:val="22"/>
        </w:rPr>
      </w:r>
    </w:p>
    <w:p>
      <w:pPr>
        <w:pStyle w:val="ListParagraph"/>
        <w:numPr>
          <w:ilvl w:val="0"/>
          <w:numId w:val="2"/>
        </w:numPr>
        <w:spacing w:before="60" w:after="60"/>
      </w:pPr>
      <w:r>
        <w:rPr>
          <w:rFonts w:ascii="Calibri" w:cs="Calibri" w:eastAsia="Calibri" w:hAnsi="Calibri"/>
          <w:b/>
          <w:bCs/>
          <w:color w:val="0F172A"/>
          <w:sz w:val="22"/>
          <w:szCs w:val="22"/>
        </w:rPr>
        <w:t xml:space="preserve">Does this submission meet the minimum quality threshold to be actionable without manual follow-up? </w:t>
      </w:r>
      <w:r>
        <w:rPr>
          <w:rFonts w:ascii="Calibri" w:cs="Calibri" w:eastAsia="Calibri" w:hAnsi="Calibri"/>
          <w:color w:val="0F172A"/>
          <w:sz w:val="22"/>
          <w:szCs w:val="22"/>
        </w:rPr>
      </w:r>
    </w:p>
    <w:p>
      <w:pPr>
        <w:pStyle w:val="ListParagraph"/>
        <w:numPr>
          <w:ilvl w:val="0"/>
          <w:numId w:val="2"/>
        </w:numPr>
        <w:spacing w:before="60" w:after="60"/>
      </w:pPr>
      <w:r>
        <w:rPr>
          <w:rFonts w:ascii="Calibri" w:cs="Calibri" w:eastAsia="Calibri" w:hAnsi="Calibri"/>
          <w:b/>
          <w:bCs/>
          <w:color w:val="0F172A"/>
          <w:sz w:val="22"/>
          <w:szCs w:val="22"/>
        </w:rPr>
        <w:t xml:space="preserve">Does this initiative align with current enterprise AI strategy and risk posture? </w:t>
      </w:r>
      <w:r>
        <w:rPr>
          <w:rFonts w:ascii="Calibri" w:cs="Calibri" w:eastAsia="Calibri" w:hAnsi="Calibri"/>
          <w:color w:val="0F172A"/>
          <w:sz w:val="22"/>
          <w:szCs w:val="22"/>
        </w:rPr>
      </w:r>
    </w:p>
    <w:p>
      <w:pPr>
        <w:spacing w:before="0" w:after="120"/>
      </w:pPr>
    </w:p>
    <w:p>
      <w:pPr>
        <w:spacing w:before="80" w:after="80"/>
      </w:pPr>
      <w:r>
        <w:rPr>
          <w:rFonts w:ascii="Calibri" w:cs="Calibri" w:eastAsia="Calibri" w:hAnsi="Calibri"/>
          <w:b w:val="false"/>
          <w:bCs w:val="false"/>
          <w:i w:val="false"/>
          <w:iCs w:val="false"/>
          <w:color w:val="0F172A"/>
          <w:sz w:val="22"/>
          <w:szCs w:val="22"/>
        </w:rPr>
        <w:t xml:space="preserve">If the answer to any of these is no, the submission is redirected before cost is incurred. If all three are yes, it passes to the appropriate local process — unchanged, undelayed. Existing workflows are preserved entirely.</w:t>
      </w:r>
    </w:p>
    <w:p>
      <w:pPr>
        <w:spacing w:before="0" w:after="200"/>
      </w:pPr>
    </w:p>
    <w:p>
      <w:pPr>
        <w:pBdr>
          <w:bottom w:val="single" w:color="CBD5E1" w:sz="4" w:space="1"/>
        </w:pBdr>
        <w:spacing w:before="280" w:after="280"/>
      </w:pPr>
    </w:p>
    <w:p>
      <w:pPr>
        <w:pStyle w:val="Heading2"/>
        <w:spacing w:before="320" w:after="100"/>
      </w:pPr>
      <w:r>
        <w:rPr>
          <w:rFonts w:ascii="Calibri" w:cs="Calibri" w:eastAsia="Calibri" w:hAnsi="Calibri"/>
          <w:b/>
          <w:bCs/>
          <w:color w:val="0D7377"/>
          <w:sz w:val="28"/>
          <w:szCs w:val="28"/>
        </w:rPr>
        <w:t xml:space="preserve">How the System Works</w:t>
      </w:r>
    </w:p>
    <w:p>
      <w:pPr>
        <w:spacing w:before="80" w:after="80"/>
      </w:pPr>
      <w:r>
        <w:rPr>
          <w:rFonts w:ascii="Calibri" w:cs="Calibri" w:eastAsia="Calibri" w:hAnsi="Calibri"/>
          <w:b w:val="false"/>
          <w:bCs w:val="false"/>
          <w:i w:val="false"/>
          <w:iCs w:val="false"/>
          <w:color w:val="0F172A"/>
          <w:sz w:val="22"/>
          <w:szCs w:val="22"/>
        </w:rPr>
        <w:t xml:space="preserve">The platform is a two-application system. A React chat interface handles everything the user sees. A Python/FastAPI backend powered by Google ADK and Gemini 2.0 Flash handles all intelligence. The two communicate through a clean API contract — the frontend knows nothing about agents, validation logic, or platforms. All reasoning lives in the backend.</w:t>
      </w:r>
    </w:p>
    <w:p>
      <w:pPr>
        <w:spacing w:before="0" w:after="140"/>
      </w:pPr>
    </w:p>
    <w:p>
      <w:pPr>
        <w:spacing w:before="260" w:after="80"/>
      </w:pPr>
      <w:r>
        <w:rPr>
          <w:rFonts w:ascii="Calibri" w:cs="Calibri" w:eastAsia="Calibri" w:hAnsi="Calibri"/>
          <w:b/>
          <w:bCs/>
          <w:color w:val="1E3A5F"/>
          <w:sz w:val="24"/>
          <w:szCs w:val="24"/>
        </w:rPr>
        <w:t xml:space="preserve">Agent Pipeline</w:t>
      </w:r>
    </w:p>
    <w:p>
      <w:pPr>
        <w:spacing w:before="80" w:after="80"/>
      </w:pPr>
      <w:r>
        <w:rPr>
          <w:rFonts w:ascii="Calibri" w:cs="Calibri" w:eastAsia="Calibri" w:hAnsi="Calibri"/>
          <w:b w:val="false"/>
          <w:bCs w:val="false"/>
          <w:i w:val="false"/>
          <w:iCs w:val="false"/>
          <w:color w:val="0F172A"/>
          <w:sz w:val="22"/>
          <w:szCs w:val="22"/>
        </w:rPr>
        <w:t xml:space="preserve">When a user selects an intake from the catalog and begins a session, a multi-agent pipeline orchestrates the conversation:</w:t>
      </w:r>
    </w:p>
    <w:p>
      <w:pPr>
        <w:spacing w:before="0" w:after="60"/>
      </w:pPr>
    </w:p>
    <w:p>
      <w:pPr>
        <w:pStyle w:val="ListParagraph"/>
        <w:numPr>
          <w:ilvl w:val="0"/>
          <w:numId w:val="2"/>
        </w:numPr>
        <w:spacing w:before="60" w:after="60"/>
      </w:pPr>
      <w:r>
        <w:rPr>
          <w:rFonts w:ascii="Calibri" w:cs="Calibri" w:eastAsia="Calibri" w:hAnsi="Calibri"/>
          <w:b/>
          <w:bCs/>
          <w:color w:val="0F172A"/>
          <w:sz w:val="22"/>
          <w:szCs w:val="22"/>
        </w:rPr>
        <w:t xml:space="preserve">Collects the user's name and email to establish session identity </w:t>
      </w:r>
      <w:r>
        <w:rPr>
          <w:rFonts w:ascii="Calibri" w:cs="Calibri" w:eastAsia="Calibri" w:hAnsi="Calibri"/>
          <w:color w:val="0F172A"/>
          <w:sz w:val="22"/>
          <w:szCs w:val="22"/>
        </w:rPr>
        <w:t xml:space="preserve">Greeter Agent —</w:t>
      </w:r>
    </w:p>
    <w:p>
      <w:pPr>
        <w:pStyle w:val="ListParagraph"/>
        <w:numPr>
          <w:ilvl w:val="0"/>
          <w:numId w:val="2"/>
        </w:numPr>
        <w:spacing w:before="60" w:after="60"/>
      </w:pPr>
      <w:r>
        <w:rPr>
          <w:rFonts w:ascii="Calibri" w:cs="Calibri" w:eastAsia="Calibri" w:hAnsi="Calibri"/>
          <w:b/>
          <w:bCs/>
          <w:color w:val="0F172A"/>
          <w:sz w:val="22"/>
          <w:szCs w:val="22"/>
        </w:rPr>
        <w:t xml:space="preserve">Iterates through every question defined in the intake's configuration in structured phases </w:t>
      </w:r>
      <w:r>
        <w:rPr>
          <w:rFonts w:ascii="Calibri" w:cs="Calibri" w:eastAsia="Calibri" w:hAnsi="Calibri"/>
          <w:color w:val="0F172A"/>
          <w:sz w:val="22"/>
          <w:szCs w:val="22"/>
        </w:rPr>
        <w:t xml:space="preserve">Intake Loop —</w:t>
      </w:r>
    </w:p>
    <w:p>
      <w:pPr>
        <w:pStyle w:val="ListParagraph"/>
        <w:numPr>
          <w:ilvl w:val="0"/>
          <w:numId w:val="2"/>
        </w:numPr>
        <w:spacing w:before="60" w:after="60"/>
      </w:pPr>
      <w:r>
        <w:rPr>
          <w:rFonts w:ascii="Calibri" w:cs="Calibri" w:eastAsia="Calibri" w:hAnsi="Calibri"/>
          <w:b/>
          <w:bCs/>
          <w:color w:val="0F172A"/>
          <w:sz w:val="22"/>
          <w:szCs w:val="22"/>
        </w:rPr>
        <w:t xml:space="preserve">Presents each question; classifies whether the response is an answer, a skip request, or a help request </w:t>
      </w:r>
      <w:r>
        <w:rPr>
          <w:rFonts w:ascii="Calibri" w:cs="Calibri" w:eastAsia="Calibri" w:hAnsi="Calibri"/>
          <w:color w:val="0F172A"/>
          <w:sz w:val="22"/>
          <w:szCs w:val="22"/>
        </w:rPr>
        <w:t xml:space="preserve">Ask + Router Agents —</w:t>
      </w:r>
    </w:p>
    <w:p>
      <w:pPr>
        <w:pStyle w:val="ListParagraph"/>
        <w:numPr>
          <w:ilvl w:val="0"/>
          <w:numId w:val="2"/>
        </w:numPr>
        <w:spacing w:before="60" w:after="60"/>
      </w:pPr>
      <w:r>
        <w:rPr>
          <w:rFonts w:ascii="Calibri" w:cs="Calibri" w:eastAsia="Calibri" w:hAnsi="Calibri"/>
          <w:b/>
          <w:bCs/>
          <w:color w:val="0F172A"/>
          <w:sz w:val="22"/>
          <w:szCs w:val="22"/>
        </w:rPr>
        <w:t xml:space="preserve">Evaluates answer quality against configurable criteria; generates contextual retry guidance on failure (up to 3 attempts per question) </w:t>
      </w:r>
      <w:r>
        <w:rPr>
          <w:rFonts w:ascii="Calibri" w:cs="Calibri" w:eastAsia="Calibri" w:hAnsi="Calibri"/>
          <w:color w:val="0F172A"/>
          <w:sz w:val="22"/>
          <w:szCs w:val="22"/>
        </w:rPr>
        <w:t xml:space="preserve">Validation Agent —</w:t>
      </w:r>
    </w:p>
    <w:p>
      <w:pPr>
        <w:pStyle w:val="ListParagraph"/>
        <w:numPr>
          <w:ilvl w:val="0"/>
          <w:numId w:val="2"/>
        </w:numPr>
        <w:spacing w:before="60" w:after="60"/>
      </w:pPr>
      <w:r>
        <w:rPr>
          <w:rFonts w:ascii="Calibri" w:cs="Calibri" w:eastAsia="Calibri" w:hAnsi="Calibri"/>
          <w:b/>
          <w:bCs/>
          <w:color w:val="0F172A"/>
          <w:sz w:val="22"/>
          <w:szCs w:val="22"/>
        </w:rPr>
        <w:t xml:space="preserve">When the user says 'I don't know', synthesizes prior answers and the question's guidance to suggest a response </w:t>
      </w:r>
      <w:r>
        <w:rPr>
          <w:rFonts w:ascii="Calibri" w:cs="Calibri" w:eastAsia="Calibri" w:hAnsi="Calibri"/>
          <w:color w:val="0F172A"/>
          <w:sz w:val="22"/>
          <w:szCs w:val="22"/>
        </w:rPr>
        <w:t xml:space="preserve">Assist Agent —</w:t>
      </w:r>
    </w:p>
    <w:p>
      <w:pPr>
        <w:pStyle w:val="ListParagraph"/>
        <w:numPr>
          <w:ilvl w:val="0"/>
          <w:numId w:val="2"/>
        </w:numPr>
        <w:spacing w:before="60" w:after="60"/>
      </w:pPr>
      <w:r>
        <w:rPr>
          <w:rFonts w:ascii="Calibri" w:cs="Calibri" w:eastAsia="Calibri" w:hAnsi="Calibri"/>
          <w:b/>
          <w:bCs/>
          <w:color w:val="0F172A"/>
          <w:sz w:val="22"/>
          <w:szCs w:val="22"/>
        </w:rPr>
        <w:t xml:space="preserve">Aggregates all answers, maps them to platform fields, and submits the completed ticket to Jira, ServiceNow, or a configured webhook </w:t>
      </w:r>
      <w:r>
        <w:rPr>
          <w:rFonts w:ascii="Calibri" w:cs="Calibri" w:eastAsia="Calibri" w:hAnsi="Calibri"/>
          <w:color w:val="0F172A"/>
          <w:sz w:val="22"/>
          <w:szCs w:val="22"/>
        </w:rPr>
        <w:t xml:space="preserve">Submission Agent —</w:t>
      </w:r>
    </w:p>
    <w:p>
      <w:pPr>
        <w:spacing w:before="0" w:after="140"/>
      </w:pPr>
    </w:p>
    <w:p>
      <w:pPr>
        <w:spacing w:before="260" w:after="80"/>
      </w:pPr>
      <w:r>
        <w:rPr>
          <w:rFonts w:ascii="Calibri" w:cs="Calibri" w:eastAsia="Calibri" w:hAnsi="Calibri"/>
          <w:b/>
          <w:bCs/>
          <w:color w:val="1E3A5F"/>
          <w:sz w:val="24"/>
          <w:szCs w:val="24"/>
        </w:rPr>
        <w:t xml:space="preserve">Duplicate Detection — Three-Layer Search</w:t>
      </w:r>
    </w:p>
    <w:p>
      <w:pPr>
        <w:spacing w:before="80" w:after="80"/>
      </w:pPr>
      <w:r>
        <w:rPr>
          <w:rFonts w:ascii="Calibri" w:cs="Calibri" w:eastAsia="Calibri" w:hAnsi="Calibri"/>
          <w:b w:val="false"/>
          <w:bCs w:val="false"/>
          <w:i w:val="false"/>
          <w:iCs w:val="false"/>
          <w:color w:val="0F172A"/>
          <w:sz w:val="22"/>
          <w:szCs w:val="22"/>
        </w:rPr>
        <w:t xml:space="preserve">Before any submission is sent to the ticketing platform, the system runs a three-layer duplicate search against existing tickets:</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BD5E1" w:sz="1"/>
              <w:left w:val="single" w:color="CBD5E1" w:sz="1"/>
              <w:bottom w:val="single" w:color="CBD5E1" w:sz="1"/>
              <w:right w:val="single" w:color="CBD5E1" w:sz="1"/>
            </w:tcBorders>
            <w:shd w:fill="1E3A5F" w:val="clear"/>
            <w:tcMar>
              <w:top w:type="dxa" w:w="100"/>
              <w:left w:type="dxa" w:w="140"/>
              <w:bottom w:type="dxa" w:w="100"/>
              <w:right w:type="dxa" w:w="140"/>
            </w:tcMar>
          </w:tcPr>
          <w:p>
            <w:pPr>
              <w:spacing w:before="0" w:after="0"/>
            </w:pPr>
            <w:r>
              <w:rPr>
                <w:rFonts w:ascii="Calibri" w:cs="Calibri" w:eastAsia="Calibri" w:hAnsi="Calibri"/>
                <w:b/>
                <w:bCs/>
                <w:color w:val="FFFFFF"/>
                <w:sz w:val="18"/>
                <w:szCs w:val="18"/>
              </w:rPr>
              <w:t xml:space="preserve">Detection Layer</w:t>
            </w:r>
          </w:p>
        </w:tc>
        <w:tc>
          <w:tcPr>
            <w:tcW w:type="dxa" w:w="6160"/>
            <w:tcBorders>
              <w:top w:val="single" w:color="CBD5E1" w:sz="1"/>
              <w:left w:val="single" w:color="CBD5E1" w:sz="1"/>
              <w:bottom w:val="single" w:color="CBD5E1" w:sz="1"/>
              <w:right w:val="single" w:color="CBD5E1" w:sz="1"/>
            </w:tcBorders>
            <w:shd w:fill="1E3A5F" w:val="clear"/>
            <w:tcMar>
              <w:top w:type="dxa" w:w="100"/>
              <w:left w:type="dxa" w:w="140"/>
              <w:bottom w:type="dxa" w:w="100"/>
              <w:right w:type="dxa" w:w="140"/>
            </w:tcMar>
          </w:tcPr>
          <w:p>
            <w:pPr>
              <w:spacing w:before="0" w:after="0"/>
            </w:pPr>
            <w:r>
              <w:rPr>
                <w:rFonts w:ascii="Calibri" w:cs="Calibri" w:eastAsia="Calibri" w:hAnsi="Calibri"/>
                <w:color w:val="FFFFFF"/>
                <w:sz w:val="20"/>
                <w:szCs w:val="20"/>
              </w:rPr>
              <w:t xml:space="preserve">How It Works</w:t>
            </w:r>
          </w:p>
        </w:tc>
      </w:tr>
      <w:tr>
        <w:tc>
          <w:tcPr>
            <w:tcW w:type="dxa" w:w="320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b/>
                <w:bCs/>
                <w:color w:val="1E3A5F"/>
                <w:sz w:val="20"/>
                <w:szCs w:val="20"/>
              </w:rPr>
              <w:t xml:space="preserve">Exact Match</w:t>
            </w:r>
          </w:p>
        </w:tc>
        <w:tc>
          <w:tcPr>
            <w:tcW w:type="dxa" w:w="616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color w:val="0F172A"/>
                <w:sz w:val="20"/>
                <w:szCs w:val="20"/>
              </w:rPr>
              <w:t xml:space="preserve">Platform-native query (JQL for Jira) — finds identical or near-identical ticket titles already in the system</w:t>
            </w:r>
          </w:p>
        </w:tc>
      </w:tr>
      <w:tr>
        <w:tc>
          <w:tcPr>
            <w:tcW w:type="dxa" w:w="3200"/>
            <w:tcBorders>
              <w:top w:val="single" w:color="CBD5E1" w:sz="1"/>
              <w:left w:val="single" w:color="CBD5E1" w:sz="1"/>
              <w:bottom w:val="single" w:color="CBD5E1" w:sz="1"/>
              <w:right w:val="single" w:color="CBD5E1" w:sz="1"/>
            </w:tcBorders>
            <w:shd w:fill="EEF4FB" w:val="clear"/>
            <w:tcMar>
              <w:top w:type="dxa" w:w="100"/>
              <w:left w:type="dxa" w:w="140"/>
              <w:bottom w:type="dxa" w:w="100"/>
              <w:right w:type="dxa" w:w="140"/>
            </w:tcMar>
          </w:tcPr>
          <w:p>
            <w:pPr>
              <w:spacing w:before="0" w:after="0"/>
            </w:pPr>
            <w:r>
              <w:rPr>
                <w:rFonts w:ascii="Calibri" w:cs="Calibri" w:eastAsia="Calibri" w:hAnsi="Calibri"/>
                <w:b/>
                <w:bCs/>
                <w:color w:val="1E3A5F"/>
                <w:sz w:val="20"/>
                <w:szCs w:val="20"/>
              </w:rPr>
              <w:t xml:space="preserve">Fuzzy Match</w:t>
            </w:r>
          </w:p>
        </w:tc>
        <w:tc>
          <w:tcPr>
            <w:tcW w:type="dxa" w:w="616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color w:val="0F172A"/>
                <w:sz w:val="20"/>
                <w:szCs w:val="20"/>
              </w:rPr>
              <w:t xml:space="preserve">Token-level similarity scoring — surfaces overlapping requests phrased differently</w:t>
            </w:r>
          </w:p>
        </w:tc>
      </w:tr>
      <w:tr>
        <w:tc>
          <w:tcPr>
            <w:tcW w:type="dxa" w:w="320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b/>
                <w:bCs/>
                <w:color w:val="1E3A5F"/>
                <w:sz w:val="20"/>
                <w:szCs w:val="20"/>
              </w:rPr>
              <w:t xml:space="preserve">Semantic Match</w:t>
            </w:r>
          </w:p>
        </w:tc>
        <w:tc>
          <w:tcPr>
            <w:tcW w:type="dxa" w:w="616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color w:val="0F172A"/>
                <w:sz w:val="20"/>
                <w:szCs w:val="20"/>
              </w:rPr>
              <w:t xml:space="preserve">Gemini text-embedding-004 + cosine similarity — detects meaning-level duplicates regardless of exact wording</w:t>
            </w:r>
          </w:p>
        </w:tc>
      </w:tr>
      <w:tr>
        <w:tc>
          <w:tcPr>
            <w:tcW w:type="dxa" w:w="3200"/>
            <w:tcBorders>
              <w:top w:val="single" w:color="CBD5E1" w:sz="1"/>
              <w:left w:val="single" w:color="CBD5E1" w:sz="1"/>
              <w:bottom w:val="single" w:color="CBD5E1" w:sz="1"/>
              <w:right w:val="single" w:color="CBD5E1" w:sz="1"/>
            </w:tcBorders>
            <w:shd w:fill="EEF4FB" w:val="clear"/>
            <w:tcMar>
              <w:top w:type="dxa" w:w="100"/>
              <w:left w:type="dxa" w:w="140"/>
              <w:bottom w:type="dxa" w:w="100"/>
              <w:right w:type="dxa" w:w="140"/>
            </w:tcMar>
          </w:tcPr>
          <w:p>
            <w:pPr>
              <w:spacing w:before="0" w:after="0"/>
            </w:pPr>
            <w:r>
              <w:rPr>
                <w:rFonts w:ascii="Calibri" w:cs="Calibri" w:eastAsia="Calibri" w:hAnsi="Calibri"/>
                <w:b/>
                <w:bCs/>
                <w:color w:val="1E3A5F"/>
                <w:sz w:val="20"/>
                <w:szCs w:val="20"/>
              </w:rPr>
              <w:t xml:space="preserve">LLM Ranking</w:t>
            </w:r>
          </w:p>
        </w:tc>
        <w:tc>
          <w:tcPr>
            <w:tcW w:type="dxa" w:w="616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color w:val="0F172A"/>
                <w:sz w:val="20"/>
                <w:szCs w:val="20"/>
              </w:rPr>
              <w:t xml:space="preserve">Gemini-powered ranker filters noise and distinguishes true duplicates from merely related work</w:t>
            </w:r>
          </w:p>
        </w:tc>
      </w:tr>
    </w:tbl>
    <w:p>
      <w:pPr>
        <w:spacing w:before="0" w:after="80"/>
      </w:pPr>
    </w:p>
    <w:p>
      <w:pPr>
        <w:spacing w:before="80" w:after="80"/>
      </w:pPr>
      <w:r>
        <w:rPr>
          <w:rFonts w:ascii="Calibri" w:cs="Calibri" w:eastAsia="Calibri" w:hAnsi="Calibri"/>
          <w:b w:val="false"/>
          <w:bCs w:val="false"/>
          <w:i w:val="false"/>
          <w:iCs w:val="false"/>
          <w:color w:val="0F172A"/>
          <w:sz w:val="22"/>
          <w:szCs w:val="22"/>
        </w:rPr>
        <w:t xml:space="preserve">When candidates are found, the user sees the existing ticket details and owner contact information. They choose: collaborate with the existing owner, proceed as a distinct submission, or request more detail before deciding. Duplicate detection is opt-in per intake config and fully backward-compatible with all existing intake setups.</w:t>
      </w:r>
    </w:p>
    <w:p>
      <w:pPr>
        <w:spacing w:before="0" w:after="140"/>
      </w:pPr>
    </w:p>
    <w:p>
      <w:pPr>
        <w:spacing w:before="260" w:after="80"/>
      </w:pPr>
      <w:r>
        <w:rPr>
          <w:rFonts w:ascii="Calibri" w:cs="Calibri" w:eastAsia="Calibri" w:hAnsi="Calibri"/>
          <w:b/>
          <w:bCs/>
          <w:color w:val="1E3A5F"/>
          <w:sz w:val="24"/>
          <w:szCs w:val="24"/>
        </w:rPr>
        <w:t xml:space="preserve">Configuration-Driven Intake Catalog</w:t>
      </w:r>
    </w:p>
    <w:p>
      <w:pPr>
        <w:spacing w:before="80" w:after="80"/>
      </w:pPr>
      <w:r>
        <w:rPr>
          <w:rFonts w:ascii="Calibri" w:cs="Calibri" w:eastAsia="Calibri" w:hAnsi="Calibri"/>
          <w:b w:val="false"/>
          <w:bCs w:val="false"/>
          <w:i w:val="false"/>
          <w:iCs w:val="false"/>
          <w:color w:val="0F172A"/>
          <w:sz w:val="22"/>
          <w:szCs w:val="22"/>
        </w:rPr>
        <w:t xml:space="preserve">Every intake type is defined by a YAML configuration file. The catalog currently contains 12 active intake configurations. The frontend renders a searchable card grid — one card per intake, showing name, description, icon, status (enabled / coming soon), and question count. Adding a new intake category means writing one YAML file and placing it in the configs directory. No code changes required.</w:t>
      </w:r>
    </w:p>
    <w:p>
      <w:pPr>
        <w:spacing w:before="0" w:after="140"/>
      </w:pPr>
    </w:p>
    <w:p>
      <w:pPr>
        <w:spacing w:before="260" w:after="80"/>
      </w:pPr>
      <w:r>
        <w:rPr>
          <w:rFonts w:ascii="Calibri" w:cs="Calibri" w:eastAsia="Calibri" w:hAnsi="Calibri"/>
          <w:b/>
          <w:bCs/>
          <w:color w:val="1E3A5F"/>
          <w:sz w:val="24"/>
          <w:szCs w:val="24"/>
        </w:rPr>
        <w:t xml:space="preserve">Compliance-Grade Audit Logging</w:t>
      </w:r>
    </w:p>
    <w:p>
      <w:pPr>
        <w:spacing w:before="80" w:after="80"/>
      </w:pPr>
      <w:r>
        <w:rPr>
          <w:rFonts w:ascii="Calibri" w:cs="Calibri" w:eastAsia="Calibri" w:hAnsi="Calibri"/>
          <w:b w:val="false"/>
          <w:bCs w:val="false"/>
          <w:i w:val="false"/>
          <w:iCs w:val="false"/>
          <w:color w:val="0F172A"/>
          <w:sz w:val="22"/>
          <w:szCs w:val="22"/>
        </w:rPr>
        <w:t xml:space="preserve">Every session produces four structured JSON log streams for full traceability:</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BD5E1" w:sz="1"/>
              <w:left w:val="single" w:color="CBD5E1" w:sz="1"/>
              <w:bottom w:val="single" w:color="CBD5E1" w:sz="1"/>
              <w:right w:val="single" w:color="CBD5E1" w:sz="1"/>
            </w:tcBorders>
            <w:shd w:fill="1E3A5F" w:val="clear"/>
            <w:tcMar>
              <w:top w:type="dxa" w:w="100"/>
              <w:left w:type="dxa" w:w="140"/>
              <w:bottom w:type="dxa" w:w="100"/>
              <w:right w:type="dxa" w:w="140"/>
            </w:tcMar>
          </w:tcPr>
          <w:p>
            <w:pPr>
              <w:spacing w:before="0" w:after="0"/>
            </w:pPr>
            <w:r>
              <w:rPr>
                <w:rFonts w:ascii="Calibri" w:cs="Calibri" w:eastAsia="Calibri" w:hAnsi="Calibri"/>
                <w:b/>
                <w:bCs/>
                <w:color w:val="FFFFFF"/>
                <w:sz w:val="18"/>
                <w:szCs w:val="18"/>
              </w:rPr>
              <w:t xml:space="preserve">Log Stream</w:t>
            </w:r>
          </w:p>
        </w:tc>
        <w:tc>
          <w:tcPr>
            <w:tcW w:type="dxa" w:w="6160"/>
            <w:tcBorders>
              <w:top w:val="single" w:color="CBD5E1" w:sz="1"/>
              <w:left w:val="single" w:color="CBD5E1" w:sz="1"/>
              <w:bottom w:val="single" w:color="CBD5E1" w:sz="1"/>
              <w:right w:val="single" w:color="CBD5E1" w:sz="1"/>
            </w:tcBorders>
            <w:shd w:fill="1E3A5F" w:val="clear"/>
            <w:tcMar>
              <w:top w:type="dxa" w:w="100"/>
              <w:left w:type="dxa" w:w="140"/>
              <w:bottom w:type="dxa" w:w="100"/>
              <w:right w:type="dxa" w:w="140"/>
            </w:tcMar>
          </w:tcPr>
          <w:p>
            <w:pPr>
              <w:spacing w:before="0" w:after="0"/>
            </w:pPr>
            <w:r>
              <w:rPr>
                <w:rFonts w:ascii="Calibri" w:cs="Calibri" w:eastAsia="Calibri" w:hAnsi="Calibri"/>
                <w:color w:val="FFFFFF"/>
                <w:sz w:val="20"/>
                <w:szCs w:val="20"/>
              </w:rPr>
              <w:t xml:space="preserve">What Is Captured</w:t>
            </w:r>
          </w:p>
        </w:tc>
      </w:tr>
      <w:tr>
        <w:tc>
          <w:tcPr>
            <w:tcW w:type="dxa" w:w="320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b/>
                <w:bCs/>
                <w:color w:val="1E3A5F"/>
                <w:sz w:val="20"/>
                <w:szCs w:val="20"/>
              </w:rPr>
              <w:t xml:space="preserve">Application Log</w:t>
            </w:r>
          </w:p>
        </w:tc>
        <w:tc>
          <w:tcPr>
            <w:tcW w:type="dxa" w:w="616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color w:val="0F172A"/>
                <w:sz w:val="20"/>
                <w:szCs w:val="20"/>
              </w:rPr>
              <w:t xml:space="preserve">Startup, config loading, HTTP requests and responses, system errors</w:t>
            </w:r>
          </w:p>
        </w:tc>
      </w:tr>
      <w:tr>
        <w:tc>
          <w:tcPr>
            <w:tcW w:type="dxa" w:w="3200"/>
            <w:tcBorders>
              <w:top w:val="single" w:color="CBD5E1" w:sz="1"/>
              <w:left w:val="single" w:color="CBD5E1" w:sz="1"/>
              <w:bottom w:val="single" w:color="CBD5E1" w:sz="1"/>
              <w:right w:val="single" w:color="CBD5E1" w:sz="1"/>
            </w:tcBorders>
            <w:shd w:fill="EEF4FB" w:val="clear"/>
            <w:tcMar>
              <w:top w:type="dxa" w:w="100"/>
              <w:left w:type="dxa" w:w="140"/>
              <w:bottom w:type="dxa" w:w="100"/>
              <w:right w:type="dxa" w:w="140"/>
            </w:tcMar>
          </w:tcPr>
          <w:p>
            <w:pPr>
              <w:spacing w:before="0" w:after="0"/>
            </w:pPr>
            <w:r>
              <w:rPr>
                <w:rFonts w:ascii="Calibri" w:cs="Calibri" w:eastAsia="Calibri" w:hAnsi="Calibri"/>
                <w:b/>
                <w:bCs/>
                <w:color w:val="1E3A5F"/>
                <w:sz w:val="20"/>
                <w:szCs w:val="20"/>
              </w:rPr>
              <w:t xml:space="preserve">Agent Audit Log</w:t>
            </w:r>
          </w:p>
        </w:tc>
        <w:tc>
          <w:tcPr>
            <w:tcW w:type="dxa" w:w="616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color w:val="0F172A"/>
                <w:sz w:val="20"/>
                <w:szCs w:val="20"/>
              </w:rPr>
              <w:t xml:space="preserve">Every LLM call, tool invocation, agent transition, and validation decision — immutable record for compliance review</w:t>
            </w:r>
          </w:p>
        </w:tc>
      </w:tr>
      <w:tr>
        <w:tc>
          <w:tcPr>
            <w:tcW w:type="dxa" w:w="320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b/>
                <w:bCs/>
                <w:color w:val="1E3A5F"/>
                <w:sz w:val="20"/>
                <w:szCs w:val="20"/>
              </w:rPr>
              <w:t xml:space="preserve">Conversation Log</w:t>
            </w:r>
          </w:p>
        </w:tc>
        <w:tc>
          <w:tcPr>
            <w:tcW w:type="dxa" w:w="616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color w:val="0F172A"/>
                <w:sz w:val="20"/>
                <w:szCs w:val="20"/>
              </w:rPr>
              <w:t xml:space="preserve">Every user message and agent response in presentation order — the human-readable record of what the user experienced</w:t>
            </w:r>
          </w:p>
        </w:tc>
      </w:tr>
      <w:tr>
        <w:tc>
          <w:tcPr>
            <w:tcW w:type="dxa" w:w="3200"/>
            <w:tcBorders>
              <w:top w:val="single" w:color="CBD5E1" w:sz="1"/>
              <w:left w:val="single" w:color="CBD5E1" w:sz="1"/>
              <w:bottom w:val="single" w:color="CBD5E1" w:sz="1"/>
              <w:right w:val="single" w:color="CBD5E1" w:sz="1"/>
            </w:tcBorders>
            <w:shd w:fill="EEF4FB" w:val="clear"/>
            <w:tcMar>
              <w:top w:type="dxa" w:w="100"/>
              <w:left w:type="dxa" w:w="140"/>
              <w:bottom w:type="dxa" w:w="100"/>
              <w:right w:type="dxa" w:w="140"/>
            </w:tcMar>
          </w:tcPr>
          <w:p>
            <w:pPr>
              <w:spacing w:before="0" w:after="0"/>
            </w:pPr>
            <w:r>
              <w:rPr>
                <w:rFonts w:ascii="Calibri" w:cs="Calibri" w:eastAsia="Calibri" w:hAnsi="Calibri"/>
                <w:b/>
                <w:bCs/>
                <w:color w:val="1E3A5F"/>
                <w:sz w:val="20"/>
                <w:szCs w:val="20"/>
              </w:rPr>
              <w:t xml:space="preserve">Platform Audit Log</w:t>
            </w:r>
          </w:p>
        </w:tc>
        <w:tc>
          <w:tcPr>
            <w:tcW w:type="dxa" w:w="616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color w:val="0F172A"/>
                <w:sz w:val="20"/>
                <w:szCs w:val="20"/>
              </w:rPr>
              <w:t xml:space="preserve">Every external API call to Jira or ServiceNow — request payloads, response codes, and created ticket IDs</w:t>
            </w:r>
          </w:p>
        </w:tc>
      </w:tr>
    </w:tbl>
    <w:p>
      <w:pPr>
        <w:spacing w:before="0" w:after="80"/>
      </w:pPr>
    </w:p>
    <w:p>
      <w:pPr>
        <w:spacing w:before="80" w:after="80"/>
      </w:pPr>
      <w:r>
        <w:rPr>
          <w:rFonts w:ascii="Calibri" w:cs="Calibri" w:eastAsia="Calibri" w:hAnsi="Calibri"/>
          <w:b w:val="false"/>
          <w:bCs w:val="false"/>
          <w:i w:val="false"/>
          <w:iCs w:val="false"/>
          <w:color w:val="0F172A"/>
          <w:sz w:val="22"/>
          <w:szCs w:val="22"/>
        </w:rPr>
        <w:t xml:space="preserve">All entries are structured JSON with session_id and trace_id fields for end-to-end correlation. Every LLM decision is traceable to the exact input, model, and output that produced it. Audit logs are retained for 1 year in production.</w:t>
      </w:r>
    </w:p>
    <w:p>
      <w:pPr>
        <w:spacing w:before="0" w:after="200"/>
      </w:pPr>
    </w:p>
    <w:p>
      <w:pPr>
        <w:pBdr>
          <w:bottom w:val="single" w:color="CBD5E1" w:sz="4" w:space="1"/>
        </w:pBdr>
        <w:spacing w:before="280" w:after="280"/>
      </w:pPr>
    </w:p>
    <w:p>
      <w:pPr>
        <w:pStyle w:val="Heading2"/>
        <w:spacing w:before="320" w:after="100"/>
      </w:pPr>
      <w:r>
        <w:rPr>
          <w:rFonts w:ascii="Calibri" w:cs="Calibri" w:eastAsia="Calibri" w:hAnsi="Calibri"/>
          <w:b/>
          <w:bCs/>
          <w:color w:val="0D7377"/>
          <w:sz w:val="28"/>
          <w:szCs w:val="28"/>
        </w:rPr>
        <w:t xml:space="preserve">Platform Capabilities at a Glance</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360"/>
        <w:gridCol w:w="2400"/>
      </w:tblGrid>
      <w:tr>
        <w:tc>
          <w:tcPr>
            <w:tcW w:type="dxa" w:w="2600"/>
            <w:tcBorders>
              <w:top w:val="single" w:color="CBD5E1" w:sz="1"/>
              <w:left w:val="single" w:color="CBD5E1" w:sz="1"/>
              <w:bottom w:val="single" w:color="CBD5E1" w:sz="1"/>
              <w:right w:val="single" w:color="CBD5E1" w:sz="1"/>
            </w:tcBorders>
            <w:shd w:fill="1E3A5F" w:val="clear"/>
            <w:tcMar>
              <w:top w:type="dxa" w:w="100"/>
              <w:left w:type="dxa" w:w="140"/>
              <w:bottom w:type="dxa" w:w="100"/>
              <w:right w:type="dxa" w:w="140"/>
            </w:tcMar>
          </w:tcPr>
          <w:p>
            <w:pPr>
              <w:spacing w:before="0" w:after="0"/>
            </w:pPr>
            <w:r>
              <w:rPr>
                <w:rFonts w:ascii="Calibri" w:cs="Calibri" w:eastAsia="Calibri" w:hAnsi="Calibri"/>
                <w:b/>
                <w:bCs/>
                <w:color w:val="FFFFFF"/>
                <w:sz w:val="18"/>
                <w:szCs w:val="18"/>
              </w:rPr>
              <w:t xml:space="preserve">Capability</w:t>
            </w:r>
          </w:p>
        </w:tc>
        <w:tc>
          <w:tcPr>
            <w:tcW w:type="dxa" w:w="4360"/>
            <w:tcBorders>
              <w:top w:val="single" w:color="CBD5E1" w:sz="1"/>
              <w:left w:val="single" w:color="CBD5E1" w:sz="1"/>
              <w:bottom w:val="single" w:color="CBD5E1" w:sz="1"/>
              <w:right w:val="single" w:color="CBD5E1" w:sz="1"/>
            </w:tcBorders>
            <w:shd w:fill="1E3A5F" w:val="clear"/>
            <w:tcMar>
              <w:top w:type="dxa" w:w="100"/>
              <w:left w:type="dxa" w:w="140"/>
              <w:bottom w:type="dxa" w:w="100"/>
              <w:right w:type="dxa" w:w="140"/>
            </w:tcMar>
          </w:tcPr>
          <w:p>
            <w:pPr>
              <w:spacing w:before="0" w:after="0"/>
            </w:pPr>
            <w:r>
              <w:rPr>
                <w:rFonts w:ascii="Calibri" w:cs="Calibri" w:eastAsia="Calibri" w:hAnsi="Calibri"/>
                <w:color w:val="FFFFFF"/>
                <w:sz w:val="20"/>
                <w:szCs w:val="20"/>
              </w:rPr>
              <w:t xml:space="preserve">What It Does</w:t>
            </w:r>
          </w:p>
        </w:tc>
        <w:tc>
          <w:tcPr>
            <w:tcW w:type="dxa" w:w="2400"/>
            <w:tcBorders>
              <w:top w:val="single" w:color="CBD5E1" w:sz="1"/>
              <w:left w:val="single" w:color="CBD5E1" w:sz="1"/>
              <w:bottom w:val="single" w:color="CBD5E1" w:sz="1"/>
              <w:right w:val="single" w:color="CBD5E1" w:sz="1"/>
            </w:tcBorders>
            <w:shd w:fill="1E3A5F" w:val="clear"/>
            <w:tcMar>
              <w:top w:type="dxa" w:w="100"/>
              <w:left w:type="dxa" w:w="140"/>
              <w:bottom w:type="dxa" w:w="100"/>
              <w:right w:type="dxa" w:w="140"/>
            </w:tcMar>
          </w:tcPr>
          <w:p>
            <w:pPr>
              <w:spacing w:before="0" w:after="0"/>
            </w:pPr>
            <w:r>
              <w:rPr>
                <w:rFonts w:ascii="Calibri" w:cs="Calibri" w:eastAsia="Calibri" w:hAnsi="Calibri"/>
                <w:color w:val="FFFFFF"/>
                <w:sz w:val="20"/>
                <w:szCs w:val="20"/>
              </w:rPr>
              <w:t xml:space="preserve">Status</w:t>
            </w:r>
          </w:p>
        </w:tc>
      </w:tr>
      <w:tr>
        <w:tc>
          <w:tcPr>
            <w:tcW w:type="dxa" w:w="260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b/>
                <w:bCs/>
                <w:color w:val="1E3A5F"/>
                <w:sz w:val="20"/>
                <w:szCs w:val="20"/>
              </w:rPr>
              <w:t xml:space="preserve">Conversational Intake</w:t>
            </w:r>
          </w:p>
        </w:tc>
        <w:tc>
          <w:tcPr>
            <w:tcW w:type="dxa" w:w="436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color w:val="0F172A"/>
                <w:sz w:val="20"/>
                <w:szCs w:val="20"/>
              </w:rPr>
              <w:t xml:space="preserve">Guided question flow — text, dropdown, multi-select — adapts from prior answers</w:t>
            </w:r>
          </w:p>
        </w:tc>
        <w:tc>
          <w:tcPr>
            <w:tcW w:type="dxa" w:w="240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color w:val="0F172A"/>
                <w:sz w:val="20"/>
                <w:szCs w:val="20"/>
              </w:rPr>
              <w:t xml:space="preserve">MVP1 · Live</w:t>
            </w:r>
          </w:p>
        </w:tc>
      </w:tr>
      <w:tr>
        <w:tc>
          <w:tcPr>
            <w:tcW w:type="dxa" w:w="2600"/>
            <w:tcBorders>
              <w:top w:val="single" w:color="CBD5E1" w:sz="1"/>
              <w:left w:val="single" w:color="CBD5E1" w:sz="1"/>
              <w:bottom w:val="single" w:color="CBD5E1" w:sz="1"/>
              <w:right w:val="single" w:color="CBD5E1" w:sz="1"/>
            </w:tcBorders>
            <w:shd w:fill="EEF4FB" w:val="clear"/>
            <w:tcMar>
              <w:top w:type="dxa" w:w="100"/>
              <w:left w:type="dxa" w:w="140"/>
              <w:bottom w:type="dxa" w:w="100"/>
              <w:right w:type="dxa" w:w="140"/>
            </w:tcMar>
          </w:tcPr>
          <w:p>
            <w:pPr>
              <w:spacing w:before="0" w:after="0"/>
            </w:pPr>
            <w:r>
              <w:rPr>
                <w:rFonts w:ascii="Calibri" w:cs="Calibri" w:eastAsia="Calibri" w:hAnsi="Calibri"/>
                <w:b/>
                <w:bCs/>
                <w:color w:val="1E3A5F"/>
                <w:sz w:val="20"/>
                <w:szCs w:val="20"/>
              </w:rPr>
              <w:t xml:space="preserve">Response Validation</w:t>
            </w:r>
          </w:p>
        </w:tc>
        <w:tc>
          <w:tcPr>
            <w:tcW w:type="dxa" w:w="436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color w:val="0F172A"/>
                <w:sz w:val="20"/>
                <w:szCs w:val="20"/>
              </w:rPr>
              <w:t xml:space="preserve">Every answer evaluated in real time against config criteria; contextual retry guidance on failure (3 attempts)</w:t>
            </w:r>
          </w:p>
        </w:tc>
        <w:tc>
          <w:tcPr>
            <w:tcW w:type="dxa" w:w="240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color w:val="0F172A"/>
                <w:sz w:val="20"/>
                <w:szCs w:val="20"/>
              </w:rPr>
              <w:t xml:space="preserve">MVP1 · Live</w:t>
            </w:r>
          </w:p>
        </w:tc>
      </w:tr>
      <w:tr>
        <w:tc>
          <w:tcPr>
            <w:tcW w:type="dxa" w:w="260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b/>
                <w:bCs/>
                <w:color w:val="1E3A5F"/>
                <w:sz w:val="20"/>
                <w:szCs w:val="20"/>
              </w:rPr>
              <w:t xml:space="preserve">Assistance on Uncertainty</w:t>
            </w:r>
          </w:p>
        </w:tc>
        <w:tc>
          <w:tcPr>
            <w:tcW w:type="dxa" w:w="436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color w:val="0F172A"/>
                <w:sz w:val="20"/>
                <w:szCs w:val="20"/>
              </w:rPr>
              <w:t xml:space="preserve">Agent synthesizes prior context and drafts an answer when the user is stuck</w:t>
            </w:r>
          </w:p>
        </w:tc>
        <w:tc>
          <w:tcPr>
            <w:tcW w:type="dxa" w:w="240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color w:val="0F172A"/>
                <w:sz w:val="20"/>
                <w:szCs w:val="20"/>
              </w:rPr>
              <w:t xml:space="preserve">MVP1 · Live</w:t>
            </w:r>
          </w:p>
        </w:tc>
      </w:tr>
      <w:tr>
        <w:tc>
          <w:tcPr>
            <w:tcW w:type="dxa" w:w="2600"/>
            <w:tcBorders>
              <w:top w:val="single" w:color="CBD5E1" w:sz="1"/>
              <w:left w:val="single" w:color="CBD5E1" w:sz="1"/>
              <w:bottom w:val="single" w:color="CBD5E1" w:sz="1"/>
              <w:right w:val="single" w:color="CBD5E1" w:sz="1"/>
            </w:tcBorders>
            <w:shd w:fill="EEF4FB" w:val="clear"/>
            <w:tcMar>
              <w:top w:type="dxa" w:w="100"/>
              <w:left w:type="dxa" w:w="140"/>
              <w:bottom w:type="dxa" w:w="100"/>
              <w:right w:type="dxa" w:w="140"/>
            </w:tcMar>
          </w:tcPr>
          <w:p>
            <w:pPr>
              <w:spacing w:before="0" w:after="0"/>
            </w:pPr>
            <w:r>
              <w:rPr>
                <w:rFonts w:ascii="Calibri" w:cs="Calibri" w:eastAsia="Calibri" w:hAnsi="Calibri"/>
                <w:b/>
                <w:bCs/>
                <w:color w:val="1E3A5F"/>
                <w:sz w:val="20"/>
                <w:szCs w:val="20"/>
              </w:rPr>
              <w:t xml:space="preserve">Platform Submission</w:t>
            </w:r>
          </w:p>
        </w:tc>
        <w:tc>
          <w:tcPr>
            <w:tcW w:type="dxa" w:w="436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color w:val="0F172A"/>
                <w:sz w:val="20"/>
                <w:szCs w:val="20"/>
              </w:rPr>
              <w:t xml:space="preserve">Completed intakes submitted to Jira, ServiceNow, or webhook via adapter pattern with configured field mapping</w:t>
            </w:r>
          </w:p>
        </w:tc>
        <w:tc>
          <w:tcPr>
            <w:tcW w:type="dxa" w:w="240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color w:val="0F172A"/>
                <w:sz w:val="20"/>
                <w:szCs w:val="20"/>
              </w:rPr>
              <w:t xml:space="preserve">MVP1 · Live</w:t>
            </w:r>
          </w:p>
        </w:tc>
      </w:tr>
      <w:tr>
        <w:tc>
          <w:tcPr>
            <w:tcW w:type="dxa" w:w="260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b/>
                <w:bCs/>
                <w:color w:val="1E3A5F"/>
                <w:sz w:val="20"/>
                <w:szCs w:val="20"/>
              </w:rPr>
              <w:t xml:space="preserve">Streaming Responses</w:t>
            </w:r>
          </w:p>
        </w:tc>
        <w:tc>
          <w:tcPr>
            <w:tcW w:type="dxa" w:w="436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color w:val="0F172A"/>
                <w:sz w:val="20"/>
                <w:szCs w:val="20"/>
              </w:rPr>
              <w:t xml:space="preserve">Real-time agent output via Server-Sent Events — live chat experience, no page refresh</w:t>
            </w:r>
          </w:p>
        </w:tc>
        <w:tc>
          <w:tcPr>
            <w:tcW w:type="dxa" w:w="240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color w:val="0F172A"/>
                <w:sz w:val="20"/>
                <w:szCs w:val="20"/>
              </w:rPr>
              <w:t xml:space="preserve">MVP1 · Live</w:t>
            </w:r>
          </w:p>
        </w:tc>
      </w:tr>
      <w:tr>
        <w:tc>
          <w:tcPr>
            <w:tcW w:type="dxa" w:w="2600"/>
            <w:tcBorders>
              <w:top w:val="single" w:color="CBD5E1" w:sz="1"/>
              <w:left w:val="single" w:color="CBD5E1" w:sz="1"/>
              <w:bottom w:val="single" w:color="CBD5E1" w:sz="1"/>
              <w:right w:val="single" w:color="CBD5E1" w:sz="1"/>
            </w:tcBorders>
            <w:shd w:fill="EEF4FB" w:val="clear"/>
            <w:tcMar>
              <w:top w:type="dxa" w:w="100"/>
              <w:left w:type="dxa" w:w="140"/>
              <w:bottom w:type="dxa" w:w="100"/>
              <w:right w:type="dxa" w:w="140"/>
            </w:tcMar>
          </w:tcPr>
          <w:p>
            <w:pPr>
              <w:spacing w:before="0" w:after="0"/>
            </w:pPr>
            <w:r>
              <w:rPr>
                <w:rFonts w:ascii="Calibri" w:cs="Calibri" w:eastAsia="Calibri" w:hAnsi="Calibri"/>
                <w:b/>
                <w:bCs/>
                <w:color w:val="1E3A5F"/>
                <w:sz w:val="20"/>
                <w:szCs w:val="20"/>
              </w:rPr>
              <w:t xml:space="preserve">Intake Catalog UI</w:t>
            </w:r>
          </w:p>
        </w:tc>
        <w:tc>
          <w:tcPr>
            <w:tcW w:type="dxa" w:w="436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color w:val="0F172A"/>
                <w:sz w:val="20"/>
                <w:szCs w:val="20"/>
              </w:rPr>
              <w:t xml:space="preserve">Searchable card grid of all intake types; enabled/disabled status; responsive layout</w:t>
            </w:r>
          </w:p>
        </w:tc>
        <w:tc>
          <w:tcPr>
            <w:tcW w:type="dxa" w:w="240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color w:val="0F172A"/>
                <w:sz w:val="20"/>
                <w:szCs w:val="20"/>
              </w:rPr>
              <w:t xml:space="preserve">MVP1 · Live</w:t>
            </w:r>
          </w:p>
        </w:tc>
      </w:tr>
      <w:tr>
        <w:tc>
          <w:tcPr>
            <w:tcW w:type="dxa" w:w="260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b/>
                <w:bCs/>
                <w:color w:val="1E3A5F"/>
                <w:sz w:val="20"/>
                <w:szCs w:val="20"/>
              </w:rPr>
              <w:t xml:space="preserve">Audit Logging</w:t>
            </w:r>
          </w:p>
        </w:tc>
        <w:tc>
          <w:tcPr>
            <w:tcW w:type="dxa" w:w="436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color w:val="0F172A"/>
                <w:sz w:val="20"/>
                <w:szCs w:val="20"/>
              </w:rPr>
              <w:t xml:space="preserve">Four structured JSON log streams with full LLM traceability for compliance and debugging</w:t>
            </w:r>
          </w:p>
        </w:tc>
        <w:tc>
          <w:tcPr>
            <w:tcW w:type="dxa" w:w="240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color w:val="0F172A"/>
                <w:sz w:val="20"/>
                <w:szCs w:val="20"/>
              </w:rPr>
              <w:t xml:space="preserve">MVP1 · Live</w:t>
            </w:r>
          </w:p>
        </w:tc>
      </w:tr>
      <w:tr>
        <w:tc>
          <w:tcPr>
            <w:tcW w:type="dxa" w:w="2600"/>
            <w:tcBorders>
              <w:top w:val="single" w:color="CBD5E1" w:sz="1"/>
              <w:left w:val="single" w:color="CBD5E1" w:sz="1"/>
              <w:bottom w:val="single" w:color="CBD5E1" w:sz="1"/>
              <w:right w:val="single" w:color="CBD5E1" w:sz="1"/>
            </w:tcBorders>
            <w:shd w:fill="EEF4FB" w:val="clear"/>
            <w:tcMar>
              <w:top w:type="dxa" w:w="100"/>
              <w:left w:type="dxa" w:w="140"/>
              <w:bottom w:type="dxa" w:w="100"/>
              <w:right w:type="dxa" w:w="140"/>
            </w:tcMar>
          </w:tcPr>
          <w:p>
            <w:pPr>
              <w:spacing w:before="0" w:after="0"/>
            </w:pPr>
            <w:r>
              <w:rPr>
                <w:rFonts w:ascii="Calibri" w:cs="Calibri" w:eastAsia="Calibri" w:hAnsi="Calibri"/>
                <w:b/>
                <w:bCs/>
                <w:color w:val="1E3A5F"/>
                <w:sz w:val="20"/>
                <w:szCs w:val="20"/>
              </w:rPr>
              <w:t xml:space="preserve">Duplicate Detection</w:t>
            </w:r>
          </w:p>
        </w:tc>
        <w:tc>
          <w:tcPr>
            <w:tcW w:type="dxa" w:w="436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color w:val="0F172A"/>
                <w:sz w:val="20"/>
                <w:szCs w:val="20"/>
              </w:rPr>
              <w:t xml:space="preserve">Three-layer exact/fuzzy/semantic search with confidence scoring before submission; owner contact info surfaced</w:t>
            </w:r>
          </w:p>
        </w:tc>
        <w:tc>
          <w:tcPr>
            <w:tcW w:type="dxa" w:w="240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color w:val="0F172A"/>
                <w:sz w:val="20"/>
                <w:szCs w:val="20"/>
              </w:rPr>
              <w:t xml:space="preserve">MVP2 · Ready</w:t>
            </w:r>
          </w:p>
        </w:tc>
      </w:tr>
      <w:tr>
        <w:tc>
          <w:tcPr>
            <w:tcW w:type="dxa" w:w="260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b/>
                <w:bCs/>
                <w:color w:val="1E3A5F"/>
                <w:sz w:val="20"/>
                <w:szCs w:val="20"/>
              </w:rPr>
              <w:t xml:space="preserve">Config-Driven Intakes</w:t>
            </w:r>
          </w:p>
        </w:tc>
        <w:tc>
          <w:tcPr>
            <w:tcW w:type="dxa" w:w="436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color w:val="0F172A"/>
                <w:sz w:val="20"/>
                <w:szCs w:val="20"/>
              </w:rPr>
              <w:t xml:space="preserve">Each intake is a YAML file — 12 active today, new types require no code change</w:t>
            </w:r>
          </w:p>
        </w:tc>
        <w:tc>
          <w:tcPr>
            <w:tcW w:type="dxa" w:w="2400"/>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before="0" w:after="0"/>
            </w:pPr>
            <w:r>
              <w:rPr>
                <w:rFonts w:ascii="Calibri" w:cs="Calibri" w:eastAsia="Calibri" w:hAnsi="Calibri"/>
                <w:color w:val="0F172A"/>
                <w:sz w:val="20"/>
                <w:szCs w:val="20"/>
              </w:rPr>
              <w:t xml:space="preserve">MVP1 · Live</w:t>
            </w:r>
          </w:p>
        </w:tc>
      </w:tr>
    </w:tbl>
    <w:p>
      <w:pPr>
        <w:spacing w:before="0" w:after="200"/>
      </w:pPr>
    </w:p>
    <w:p>
      <w:pPr>
        <w:pBdr>
          <w:bottom w:val="single" w:color="CBD5E1" w:sz="4" w:space="1"/>
        </w:pBdr>
        <w:spacing w:before="280" w:after="280"/>
      </w:pPr>
    </w:p>
    <w:p>
      <w:pPr>
        <w:pStyle w:val="Heading2"/>
        <w:spacing w:before="320" w:after="100"/>
      </w:pPr>
      <w:r>
        <w:rPr>
          <w:rFonts w:ascii="Calibri" w:cs="Calibri" w:eastAsia="Calibri" w:hAnsi="Calibri"/>
          <w:b/>
          <w:bCs/>
          <w:color w:val="0D7377"/>
          <w:sz w:val="28"/>
          <w:szCs w:val="28"/>
        </w:rPr>
        <w:t xml:space="preserve">Addressing the Objections Directly</w:t>
      </w:r>
    </w:p>
    <w:p>
      <w:pPr>
        <w:spacing w:before="0" w:after="80"/>
      </w:pPr>
    </w:p>
    <w:p>
      <w:pPr>
        <w:spacing w:before="260" w:after="80"/>
      </w:pPr>
      <w:r>
        <w:rPr>
          <w:rFonts w:ascii="Calibri" w:cs="Calibri" w:eastAsia="Calibri" w:hAnsi="Calibri"/>
          <w:b/>
          <w:bCs/>
          <w:color w:val="1E3A5F"/>
          <w:sz w:val="24"/>
          <w:szCs w:val="24"/>
        </w:rPr>
        <w:t xml:space="preserve">"We already have a process for this."</w:t>
      </w:r>
    </w:p>
    <w:p>
      <w:pPr>
        <w:spacing w:before="80" w:after="80"/>
      </w:pPr>
      <w:r>
        <w:rPr>
          <w:rFonts w:ascii="Calibri" w:cs="Calibri" w:eastAsia="Calibri" w:hAnsi="Calibri"/>
          <w:b w:val="false"/>
          <w:bCs w:val="false"/>
          <w:i w:val="false"/>
          <w:iCs w:val="false"/>
          <w:color w:val="0F172A"/>
          <w:sz w:val="22"/>
          <w:szCs w:val="22"/>
        </w:rPr>
        <w:t xml:space="preserve">The organization has over 100 processes for this. No individual team process, however well-designed, can detect duplication or enforce quality across the portfolio it cannot see. This platform does not compete with those processes. It operates one level above them — ensuring every submission that enters a local process has already cleared a quality and duplication check.</w:t>
      </w:r>
    </w:p>
    <w:p>
      <w:pPr>
        <w:spacing w:before="0" w:after="120"/>
      </w:pPr>
    </w:p>
    <w:p>
      <w:pPr>
        <w:spacing w:before="260" w:after="80"/>
      </w:pPr>
      <w:r>
        <w:rPr>
          <w:rFonts w:ascii="Calibri" w:cs="Calibri" w:eastAsia="Calibri" w:hAnsi="Calibri"/>
          <w:b/>
          <w:bCs/>
          <w:color w:val="1E3A5F"/>
          <w:sz w:val="24"/>
          <w:szCs w:val="24"/>
        </w:rPr>
        <w:t xml:space="preserve">"We don't need more governance overhead."</w:t>
      </w:r>
    </w:p>
    <w:p>
      <w:pPr>
        <w:spacing w:before="80" w:after="80"/>
      </w:pPr>
      <w:r>
        <w:rPr>
          <w:rFonts w:ascii="Calibri" w:cs="Calibri" w:eastAsia="Calibri" w:hAnsi="Calibri"/>
          <w:b w:val="false"/>
          <w:bCs w:val="false"/>
          <w:i w:val="false"/>
          <w:iCs w:val="false"/>
          <w:color w:val="0F172A"/>
          <w:sz w:val="22"/>
          <w:szCs w:val="22"/>
        </w:rPr>
        <w:t xml:space="preserve">The platform is designed to eliminate overhead, not create it. Static forms generate low-quality submissions that require multiple review cycles before they can be actioned. This platform validates every response at submission time. Reviewers receive structured, complete, actionable tickets. The overhead it removes is the back-and-forth that currently delays real work from starting.</w:t>
      </w:r>
    </w:p>
    <w:p>
      <w:pPr>
        <w:spacing w:before="0" w:after="120"/>
      </w:pPr>
    </w:p>
    <w:p>
      <w:pPr>
        <w:spacing w:before="260" w:after="80"/>
      </w:pPr>
      <w:r>
        <w:rPr>
          <w:rFonts w:ascii="Calibri" w:cs="Calibri" w:eastAsia="Calibri" w:hAnsi="Calibri"/>
          <w:b/>
          <w:bCs/>
          <w:color w:val="1E3A5F"/>
          <w:sz w:val="24"/>
          <w:szCs w:val="24"/>
        </w:rPr>
        <w:t xml:space="preserve">"It only handles AI ideas — we have other intake needs."</w:t>
      </w:r>
    </w:p>
    <w:p>
      <w:pPr>
        <w:spacing w:before="80" w:after="80"/>
      </w:pPr>
      <w:r>
        <w:rPr>
          <w:rFonts w:ascii="Calibri" w:cs="Calibri" w:eastAsia="Calibri" w:hAnsi="Calibri"/>
          <w:b w:val="false"/>
          <w:bCs w:val="false"/>
          <w:i w:val="false"/>
          <w:iCs w:val="false"/>
          <w:color w:val="0F172A"/>
          <w:sz w:val="22"/>
          <w:szCs w:val="22"/>
        </w:rPr>
        <w:t xml:space="preserve">This is a common misunderstanding worth correcting directly. The platform handles all work request types — AI ideas, new features on existing products, new Epics, data and analytics requests, automation proposals, and support requests. The same system runs all of them. Each intake type is one YAML configuration. The platform is product-agnostic by design.</w:t>
      </w:r>
    </w:p>
    <w:p>
      <w:pPr>
        <w:spacing w:before="0" w:after="120"/>
      </w:pPr>
    </w:p>
    <w:p>
      <w:pPr>
        <w:spacing w:before="260" w:after="80"/>
      </w:pPr>
      <w:r>
        <w:rPr>
          <w:rFonts w:ascii="Calibri" w:cs="Calibri" w:eastAsia="Calibri" w:hAnsi="Calibri"/>
          <w:b/>
          <w:bCs/>
          <w:color w:val="1E3A5F"/>
          <w:sz w:val="24"/>
          <w:szCs w:val="24"/>
        </w:rPr>
        <w:t xml:space="preserve">"100+ processes means this problem is already solved."</w:t>
      </w:r>
    </w:p>
    <w:p>
      <w:pPr>
        <w:spacing w:before="80" w:after="80"/>
      </w:pPr>
      <w:r>
        <w:rPr>
          <w:rFonts w:ascii="Calibri" w:cs="Calibri" w:eastAsia="Calibri" w:hAnsi="Calibri"/>
          <w:b w:val="false"/>
          <w:bCs w:val="false"/>
          <w:i w:val="false"/>
          <w:iCs w:val="false"/>
          <w:color w:val="0F172A"/>
          <w:sz w:val="22"/>
          <w:szCs w:val="22"/>
        </w:rPr>
        <w:t xml:space="preserve">100+ uncoordinated processes are the dysfunction — not the solution. A unified triage layer above those processes is the only mechanism that can provide portfolio visibility without requiring each team to change how they work. The platform adds one lightweight step before any existing process begins — a step that either improves the quality of what enters that process or prevents waste before it can start.</w:t>
      </w:r>
    </w:p>
    <w:p>
      <w:pPr>
        <w:spacing w:before="0" w:after="200"/>
      </w:pPr>
    </w:p>
    <w:p>
      <w:pPr>
        <w:pBdr>
          <w:bottom w:val="single" w:color="CBD5E1" w:sz="4" w:space="1"/>
        </w:pBdr>
        <w:spacing w:before="280" w:after="280"/>
      </w:pPr>
    </w:p>
    <w:p>
      <w:pPr>
        <w:pStyle w:val="Heading2"/>
        <w:spacing w:before="320" w:after="100"/>
      </w:pPr>
      <w:r>
        <w:rPr>
          <w:rFonts w:ascii="Calibri" w:cs="Calibri" w:eastAsia="Calibri" w:hAnsi="Calibri"/>
          <w:b/>
          <w:bCs/>
          <w:color w:val="0D7377"/>
          <w:sz w:val="28"/>
          <w:szCs w:val="28"/>
        </w:rPr>
        <w:t xml:space="preserve">Proposed Path Forward: 60-Day Parallel Pilot</w:t>
      </w:r>
    </w:p>
    <w:p>
      <w:pPr>
        <w:spacing w:before="80" w:after="80"/>
      </w:pPr>
      <w:r>
        <w:rPr>
          <w:rFonts w:ascii="Calibri" w:cs="Calibri" w:eastAsia="Calibri" w:hAnsi="Calibri"/>
          <w:b w:val="false"/>
          <w:bCs w:val="false"/>
          <w:i w:val="false"/>
          <w:iCs w:val="false"/>
          <w:color w:val="0F172A"/>
          <w:sz w:val="22"/>
          <w:szCs w:val="22"/>
        </w:rPr>
        <w:t xml:space="preserve">The platform is operational with 12 intake configurations running. The proposed next step is a 60-day parallel pilot with one or two business lines — the platform runs alongside the current intake process, not replacing it.</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59669" w:sz="12"/>
              <w:left w:val="single" w:color="059669" w:sz="24"/>
              <w:bottom w:val="none" w:color="FFFFFF" w:sz="0"/>
              <w:right w:val="none" w:color="FFFFFF" w:sz="0"/>
            </w:tcBorders>
            <w:shd w:fill="ECFDF5" w:val="clear"/>
            <w:tcMar>
              <w:top w:type="dxa" w:w="120"/>
              <w:left w:type="dxa" w:w="200"/>
              <w:bottom w:type="dxa" w:w="120"/>
              <w:right w:type="dxa" w:w="120"/>
            </w:tcMar>
          </w:tcPr>
          <w:p>
            <w:pPr>
              <w:spacing w:before="0" w:after="0"/>
            </w:pPr>
            <w:r>
              <w:rPr>
                <w:rFonts w:ascii="Calibri" w:cs="Calibri" w:eastAsia="Calibri" w:hAnsi="Calibri"/>
                <w:b/>
                <w:bCs/>
                <w:color w:val="059669"/>
                <w:sz w:val="22"/>
                <w:szCs w:val="22"/>
              </w:rPr>
              <w:t xml:space="preserve">✓  </w:t>
            </w:r>
            <w:r>
              <w:rPr>
                <w:rFonts w:ascii="Calibri" w:cs="Calibri" w:eastAsia="Calibri" w:hAnsi="Calibri"/>
                <w:color w:val="0F172A"/>
                <w:sz w:val="22"/>
                <w:szCs w:val="22"/>
              </w:rPr>
              <w:t xml:space="preserve">No existing process is disrupted during the pilot. Teams continue operating their current intake processes in parallel. The platform runs as an additive triage layer only.</w:t>
            </w:r>
          </w:p>
        </w:tc>
      </w:tr>
    </w:tbl>
    <w:p>
      <w:pPr>
        <w:spacing w:before="0" w:after="120"/>
      </w:pPr>
    </w:p>
    <w:p>
      <w:pPr>
        <w:spacing w:before="80" w:after="80"/>
      </w:pPr>
      <w:r>
        <w:rPr>
          <w:rFonts w:ascii="Calibri" w:cs="Calibri" w:eastAsia="Calibri" w:hAnsi="Calibri"/>
          <w:b w:val="false"/>
          <w:bCs w:val="false"/>
          <w:i w:val="false"/>
          <w:iCs w:val="false"/>
          <w:color w:val="0F172A"/>
          <w:sz w:val="22"/>
          <w:szCs w:val="22"/>
        </w:rPr>
        <w:t xml:space="preserve">At the end of 60 days, the pilot produces concrete evidence on:</w:t>
      </w:r>
    </w:p>
    <w:p>
      <w:pPr>
        <w:spacing w:before="0" w:after="60"/>
      </w:pPr>
    </w:p>
    <w:p>
      <w:pPr>
        <w:pStyle w:val="ListParagraph"/>
        <w:numPr>
          <w:ilvl w:val="0"/>
          <w:numId w:val="2"/>
        </w:numPr>
        <w:spacing w:before="60" w:after="60"/>
      </w:pPr>
      <w:r>
        <w:rPr>
          <w:rFonts w:ascii="Calibri" w:cs="Calibri" w:eastAsia="Calibri" w:hAnsi="Calibri"/>
          <w:b/>
          <w:bCs/>
          <w:color w:val="0F172A"/>
          <w:sz w:val="22"/>
          <w:szCs w:val="22"/>
        </w:rPr>
        <w:t xml:space="preserve">Volume of submissions assessed and time-to-triage vs. current baseline </w:t>
      </w:r>
      <w:r>
        <w:rPr>
          <w:rFonts w:ascii="Calibri" w:cs="Calibri" w:eastAsia="Calibri" w:hAnsi="Calibri"/>
          <w:color w:val="0F172A"/>
          <w:sz w:val="22"/>
          <w:szCs w:val="22"/>
        </w:rPr>
      </w:r>
    </w:p>
    <w:p>
      <w:pPr>
        <w:pStyle w:val="ListParagraph"/>
        <w:numPr>
          <w:ilvl w:val="0"/>
          <w:numId w:val="2"/>
        </w:numPr>
        <w:spacing w:before="60" w:after="60"/>
      </w:pPr>
      <w:r>
        <w:rPr>
          <w:rFonts w:ascii="Calibri" w:cs="Calibri" w:eastAsia="Calibri" w:hAnsi="Calibri"/>
          <w:b/>
          <w:bCs/>
          <w:color w:val="0F172A"/>
          <w:sz w:val="22"/>
          <w:szCs w:val="22"/>
        </w:rPr>
        <w:t xml:space="preserve">Duplicate instances surfaced before resource allocation began </w:t>
      </w:r>
      <w:r>
        <w:rPr>
          <w:rFonts w:ascii="Calibri" w:cs="Calibri" w:eastAsia="Calibri" w:hAnsi="Calibri"/>
          <w:color w:val="0F172A"/>
          <w:sz w:val="22"/>
          <w:szCs w:val="22"/>
        </w:rPr>
      </w:r>
    </w:p>
    <w:p>
      <w:pPr>
        <w:pStyle w:val="ListParagraph"/>
        <w:numPr>
          <w:ilvl w:val="0"/>
          <w:numId w:val="2"/>
        </w:numPr>
        <w:spacing w:before="60" w:after="60"/>
      </w:pPr>
      <w:r>
        <w:rPr>
          <w:rFonts w:ascii="Calibri" w:cs="Calibri" w:eastAsia="Calibri" w:hAnsi="Calibri"/>
          <w:b/>
          <w:bCs/>
          <w:color w:val="0F172A"/>
          <w:sz w:val="22"/>
          <w:szCs w:val="22"/>
        </w:rPr>
        <w:t xml:space="preserve">Submissions redirected based on quality or duplication flags — before cost was committed </w:t>
      </w:r>
      <w:r>
        <w:rPr>
          <w:rFonts w:ascii="Calibri" w:cs="Calibri" w:eastAsia="Calibri" w:hAnsi="Calibri"/>
          <w:color w:val="0F172A"/>
          <w:sz w:val="22"/>
          <w:szCs w:val="22"/>
        </w:rPr>
      </w:r>
    </w:p>
    <w:p>
      <w:pPr>
        <w:pStyle w:val="ListParagraph"/>
        <w:numPr>
          <w:ilvl w:val="0"/>
          <w:numId w:val="2"/>
        </w:numPr>
        <w:spacing w:before="60" w:after="60"/>
      </w:pPr>
      <w:r>
        <w:rPr>
          <w:rFonts w:ascii="Calibri" w:cs="Calibri" w:eastAsia="Calibri" w:hAnsi="Calibri"/>
          <w:b/>
          <w:bCs/>
          <w:color w:val="0F172A"/>
          <w:sz w:val="22"/>
          <w:szCs w:val="22"/>
        </w:rPr>
        <w:t xml:space="preserve">Reviewer time recovered from back-and-forth follow-up cycles </w:t>
      </w:r>
      <w:r>
        <w:rPr>
          <w:rFonts w:ascii="Calibri" w:cs="Calibri" w:eastAsia="Calibri" w:hAnsi="Calibri"/>
          <w:color w:val="0F172A"/>
          <w:sz w:val="22"/>
          <w:szCs w:val="22"/>
        </w:rPr>
      </w:r>
    </w:p>
    <w:p>
      <w:pPr>
        <w:spacing w:before="0" w:after="120"/>
      </w:pPr>
    </w:p>
    <w:p>
      <w:pPr>
        <w:spacing w:before="80" w:after="80"/>
      </w:pPr>
      <w:r>
        <w:rPr>
          <w:rFonts w:ascii="Calibri" w:cs="Calibri" w:eastAsia="Calibri" w:hAnsi="Calibri"/>
          <w:b w:val="false"/>
          <w:bCs w:val="false"/>
          <w:i w:val="false"/>
          <w:iCs w:val="false"/>
          <w:color w:val="0F172A"/>
          <w:sz w:val="22"/>
          <w:szCs w:val="22"/>
        </w:rPr>
        <w:t xml:space="preserve">This data drives the decision to expand — made with evidence, not assertion. If the pilot does not demonstrate measurable value, the platform does not advance. The 60-day pilot is the test, not the commitment.</w:t>
      </w:r>
    </w:p>
    <w:p>
      <w:pPr>
        <w:spacing w:before="0" w:after="200"/>
      </w:pPr>
    </w:p>
    <w:p>
      <w:pPr>
        <w:pBdr>
          <w:bottom w:val="single" w:color="CBD5E1" w:sz="4" w:space="1"/>
        </w:pBdr>
        <w:spacing w:before="280" w:after="280"/>
      </w:pPr>
    </w:p>
    <w:p>
      <w:pPr>
        <w:spacing w:before="160" w:after="0"/>
        <w:jc w:val="left"/>
      </w:pPr>
      <w:r>
        <w:rPr>
          <w:rFonts w:ascii="Calibri" w:cs="Calibri" w:eastAsia="Calibri" w:hAnsi="Calibri"/>
          <w:color w:val="64748B"/>
          <w:sz w:val="18"/>
          <w:szCs w:val="18"/>
        </w:rPr>
        <w:t xml:space="preserve">Status: MVP1 Complete · MVP2 Ready · 12 Intake Configs Active  ·  </w:t>
      </w:r>
      <w:r>
        <w:rPr>
          <w:rFonts w:ascii="Calibri" w:cs="Calibri" w:eastAsia="Calibri" w:hAnsi="Calibri"/>
          <w:color w:val="64748B"/>
          <w:sz w:val="18"/>
          <w:szCs w:val="18"/>
        </w:rPr>
        <w:t xml:space="preserve">Owner: Principal AI Engineer, Lending AI Platform  ·  </w:t>
      </w:r>
      <w:r>
        <w:rPr>
          <w:rFonts w:ascii="Calibri" w:cs="Calibri" w:eastAsia="Calibri" w:hAnsi="Calibri"/>
          <w:color w:val="64748B"/>
          <w:sz w:val="18"/>
          <w:szCs w:val="18"/>
        </w:rPr>
        <w:t xml:space="preserve">Version 2.0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Calibri" w:cs="Calibri" w:eastAsia="Calibri" w:hAnsi="Calibri"/>
      <w:b/>
      <w:bCs/>
      <w:color w:val="1E3A5F"/>
      <w:sz w:val="36"/>
      <w:szCs w:val="36"/>
    </w:rPr>
  </w:style>
  <w:style w:type="paragraph" w:styleId="Heading2">
    <w:name w:val="Heading 2"/>
    <w:basedOn w:val="Normal"/>
    <w:next w:val="Normal"/>
    <w:qFormat/>
    <w:pPr>
      <w:spacing w:before="300" w:after="100"/>
      <w:outlineLvl w:val="1"/>
    </w:pPr>
    <w:rPr>
      <w:rFonts w:ascii="Calibri" w:cs="Calibri" w:eastAsia="Calibri" w:hAnsi="Calibri"/>
      <w:b/>
      <w:bCs/>
      <w:color w:val="0D7377"/>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2026-02-26T15:46:48.060Z</dcterms:created>
  <dcterms:modified xsi:type="dcterms:W3CDTF">2026-02-26T15:46:48.060Z</dcterms:modified>
</cp:coreProperties>
</file>

<file path=docProps/custom.xml><?xml version="1.0" encoding="utf-8"?>
<Properties xmlns="http://schemas.openxmlformats.org/officeDocument/2006/custom-properties" xmlns:vt="http://schemas.openxmlformats.org/officeDocument/2006/docPropsVTypes"/>
</file>