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Calibri" w:cs="Calibri" w:eastAsia="Calibri" w:hAnsi="Calibri"/>
          <w:b/>
          <w:bCs/>
          <w:caps/>
          <w:color w:val="0D7377"/>
          <w:sz w:val="18"/>
          <w:szCs w:val="18"/>
        </w:rPr>
        <w:t xml:space="preserve">AI PORTFOLIO GOVERNANCE  ·  PLATFORM FRAMEWORK</w:t>
      </w:r>
    </w:p>
    <w:p>
      <w:pPr>
        <w:spacing w:before="0" w:after="80"/>
      </w:pPr>
      <w:r>
        <w:rPr>
          <w:rFonts w:ascii="Calibri" w:cs="Calibri" w:eastAsia="Calibri" w:hAnsi="Calibri"/>
          <w:b/>
          <w:bCs/>
          <w:color w:val="1E3A5F"/>
          <w:sz w:val="48"/>
          <w:szCs w:val="48"/>
        </w:rPr>
        <w:t xml:space="preserve">Agentic Intake &amp; Portfolio Governance Platform</w:t>
      </w:r>
    </w:p>
    <w:p>
      <w:pPr>
        <w:spacing w:before="0" w:after="240"/>
      </w:pPr>
      <w:r>
        <w:rPr>
          <w:rFonts w:ascii="Calibri" w:cs="Calibri" w:eastAsia="Calibri" w:hAnsi="Calibri"/>
          <w:i/>
          <w:iCs/>
          <w:color w:val="64748B"/>
          <w:sz w:val="24"/>
          <w:szCs w:val="24"/>
        </w:rPr>
        <w:t xml:space="preserve">A phased delivery framework — from intake quality to agile artifact generation — building organizational intelligence one layer at a time.</w:t>
      </w:r>
    </w:p>
    <w:p>
      <w:pPr>
        <w:pBdr>
          <w:bottom w:val="single" w:color="CBD5E1" w:sz="4" w:space="1"/>
        </w:pBdr>
        <w:spacing w:before="300" w:after="300"/>
      </w:pPr>
    </w:p>
    <w:p>
      <w:pPr>
        <w:pStyle w:val="Heading2"/>
        <w:spacing w:before="320" w:after="100"/>
      </w:pPr>
      <w:r>
        <w:rPr>
          <w:rFonts w:ascii="Calibri" w:cs="Calibri" w:eastAsia="Calibri" w:hAnsi="Calibri"/>
          <w:b/>
          <w:bCs/>
          <w:color w:val="0D7377"/>
          <w:sz w:val="28"/>
          <w:szCs w:val="28"/>
        </w:rPr>
        <w:t xml:space="preserve">Executive Summary</w:t>
      </w:r>
    </w:p>
    <w:p>
      <w:pPr>
        <w:spacing w:before="80" w:after="80"/>
      </w:pPr>
      <w:r>
        <w:rPr>
          <w:rFonts w:ascii="Calibri" w:cs="Calibri" w:eastAsia="Calibri" w:hAnsi="Calibri"/>
          <w:b w:val="false"/>
          <w:bCs w:val="false"/>
          <w:i w:val="false"/>
          <w:iCs w:val="false"/>
          <w:color w:val="0F172A"/>
          <w:sz w:val="22"/>
          <w:szCs w:val="22"/>
        </w:rPr>
        <w:t xml:space="preserve">The bank currently operates over 120 separate intake processes across AI initiatives, new platform features, Epics, analytics requests, automation proposals, and support tickets — all flowing into Jira with no shared quality standard, no cross-portfolio visibility, and no mechanism to detect when two teams are requesting the same thing.</w:t>
      </w:r>
    </w:p>
    <w:p>
      <w:pPr>
        <w:spacing w:before="0" w:after="80"/>
      </w:pPr>
    </w:p>
    <w:p>
      <w:pPr>
        <w:spacing w:before="80" w:after="80"/>
      </w:pPr>
      <w:r>
        <w:rPr>
          <w:rFonts w:ascii="Calibri" w:cs="Calibri" w:eastAsia="Calibri" w:hAnsi="Calibri"/>
          <w:b w:val="false"/>
          <w:bCs w:val="false"/>
          <w:i w:val="false"/>
          <w:iCs w:val="false"/>
          <w:color w:val="0F172A"/>
          <w:sz w:val="22"/>
          <w:szCs w:val="22"/>
        </w:rPr>
        <w:t xml:space="preserve">The Agentic Intake &amp; Portfolio Governance Platform addresses this through four progressive capability layers, each building on the last. The platform delivers value at every phase while accumulating portfolio intelligence that each subsequent phase depends on.</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2"/>
              <w:left w:val="single" w:color="DC2626" w:sz="24"/>
              <w:bottom w:val="none" w:color="FFFFFF" w:sz="0"/>
              <w:right w:val="none" w:color="FFFFFF" w:sz="0"/>
            </w:tcBorders>
            <w:shd w:fill="FEF2F2" w:val="clear"/>
            <w:tcMar>
              <w:top w:type="dxa" w:w="120"/>
              <w:left w:type="dxa" w:w="200"/>
              <w:bottom w:type="dxa" w:w="120"/>
              <w:right w:type="dxa" w:w="120"/>
            </w:tcMar>
          </w:tcPr>
          <w:p>
            <w:pPr>
              <w:spacing w:before="0" w:after="0"/>
            </w:pPr>
            <w:r>
              <w:rPr>
                <w:rFonts w:ascii="Calibri" w:cs="Calibri" w:eastAsia="Calibri" w:hAnsi="Calibri"/>
                <w:b/>
                <w:bCs/>
                <w:color w:val="DC2626"/>
                <w:sz w:val="22"/>
                <w:szCs w:val="22"/>
              </w:rPr>
              <w:t xml:space="preserve">⚠  </w:t>
            </w:r>
            <w:r>
              <w:rPr>
                <w:rFonts w:ascii="Calibri" w:cs="Calibri" w:eastAsia="Calibri" w:hAnsi="Calibri"/>
                <w:color w:val="0F172A"/>
                <w:sz w:val="22"/>
                <w:szCs w:val="22"/>
              </w:rPr>
              <w:t xml:space="preserve">The 120+ intake processes already in place are not evidence that governance is solved. They are evidence of the problem this platform is designed to fix — one layer at a time.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6"/>
              <w:left w:val="none" w:color="FFFFFF" w:sz="0"/>
              <w:bottom w:val="none" w:color="FFFFFF" w:sz="0"/>
              <w:right w:val="none" w:color="FFFFFF" w:sz="0"/>
            </w:tcBorders>
            <w:shd w:fill="EEF4FB" w:val="clear"/>
            <w:tcMar>
              <w:top w:type="dxa" w:w="160"/>
              <w:left w:type="dxa" w:w="160"/>
              <w:bottom w:type="dxa" w:w="160"/>
              <w:right w:type="dxa" w:w="160"/>
            </w:tcMar>
          </w:tcPr>
          <w:p>
            <w:pPr>
              <w:spacing w:before="0" w:after="40"/>
              <w:jc w:val="center"/>
            </w:pPr>
            <w:r>
              <w:rPr>
                <w:rFonts w:ascii="Calibri" w:cs="Calibri" w:eastAsia="Calibri" w:hAnsi="Calibri"/>
                <w:b/>
                <w:bCs/>
                <w:color w:val="1E3A5F"/>
                <w:sz w:val="48"/>
                <w:szCs w:val="48"/>
              </w:rPr>
              <w:t xml:space="preserve">MVP0</w:t>
            </w:r>
          </w:p>
          <w:p>
            <w:pPr>
              <w:spacing w:before="0" w:after="20"/>
              <w:jc w:val="center"/>
            </w:pPr>
            <w:r>
              <w:rPr>
                <w:rFonts w:ascii="Calibri" w:cs="Calibri" w:eastAsia="Calibri" w:hAnsi="Calibri"/>
                <w:b/>
                <w:bCs/>
                <w:color w:val="1E3A5F"/>
                <w:sz w:val="20"/>
                <w:szCs w:val="20"/>
              </w:rPr>
              <w:t xml:space="preserve">Intake Quality</w:t>
            </w:r>
          </w:p>
          <w:p>
            <w:pPr>
              <w:spacing w:before="0" w:after="0"/>
              <w:jc w:val="center"/>
            </w:pPr>
            <w:r>
              <w:rPr>
                <w:rFonts w:ascii="Calibri" w:cs="Calibri" w:eastAsia="Calibri" w:hAnsi="Calibri"/>
                <w:i/>
                <w:iCs/>
                <w:color w:val="64748B"/>
                <w:sz w:val="18"/>
                <w:szCs w:val="18"/>
              </w:rPr>
              <w:t xml:space="preserve">Complete · Live</w:t>
            </w:r>
          </w:p>
        </w:tc>
        <w:tc>
          <w:tcPr>
            <w:tcW w:type="dxa" w:w="2340"/>
            <w:tcBorders>
              <w:top w:val="single" w:color="0D7377" w:sz="6"/>
              <w:left w:val="none" w:color="FFFFFF" w:sz="0"/>
              <w:bottom w:val="none" w:color="FFFFFF" w:sz="0"/>
              <w:right w:val="none" w:color="FFFFFF" w:sz="0"/>
            </w:tcBorders>
            <w:shd w:fill="EEF4FB" w:val="clear"/>
            <w:tcMar>
              <w:top w:type="dxa" w:w="160"/>
              <w:left w:type="dxa" w:w="160"/>
              <w:bottom w:type="dxa" w:w="160"/>
              <w:right w:type="dxa" w:w="160"/>
            </w:tcMar>
          </w:tcPr>
          <w:p>
            <w:pPr>
              <w:spacing w:before="0" w:after="40"/>
              <w:jc w:val="center"/>
            </w:pPr>
            <w:r>
              <w:rPr>
                <w:rFonts w:ascii="Calibri" w:cs="Calibri" w:eastAsia="Calibri" w:hAnsi="Calibri"/>
                <w:b/>
                <w:bCs/>
                <w:color w:val="0D7377"/>
                <w:sz w:val="48"/>
                <w:szCs w:val="48"/>
              </w:rPr>
              <w:t xml:space="preserve">MVP1</w:t>
            </w:r>
          </w:p>
          <w:p>
            <w:pPr>
              <w:spacing w:before="0" w:after="20"/>
              <w:jc w:val="center"/>
            </w:pPr>
            <w:r>
              <w:rPr>
                <w:rFonts w:ascii="Calibri" w:cs="Calibri" w:eastAsia="Calibri" w:hAnsi="Calibri"/>
                <w:b/>
                <w:bCs/>
                <w:color w:val="0D7377"/>
                <w:sz w:val="20"/>
                <w:szCs w:val="20"/>
              </w:rPr>
              <w:t xml:space="preserve">Duplicate Detection</w:t>
            </w:r>
          </w:p>
          <w:p>
            <w:pPr>
              <w:spacing w:before="0" w:after="0"/>
              <w:jc w:val="center"/>
            </w:pPr>
            <w:r>
              <w:rPr>
                <w:rFonts w:ascii="Calibri" w:cs="Calibri" w:eastAsia="Calibri" w:hAnsi="Calibri"/>
                <w:i/>
                <w:iCs/>
                <w:color w:val="64748B"/>
                <w:sz w:val="18"/>
                <w:szCs w:val="18"/>
              </w:rPr>
              <w:t xml:space="preserve">Ready to Deploy</w:t>
            </w:r>
          </w:p>
        </w:tc>
        <w:tc>
          <w:tcPr>
            <w:tcW w:type="dxa" w:w="2340"/>
            <w:tcBorders>
              <w:top w:val="single" w:color="B45309" w:sz="6"/>
              <w:left w:val="none" w:color="FFFFFF" w:sz="0"/>
              <w:bottom w:val="none" w:color="FFFFFF" w:sz="0"/>
              <w:right w:val="none" w:color="FFFFFF" w:sz="0"/>
            </w:tcBorders>
            <w:shd w:fill="EEF4FB" w:val="clear"/>
            <w:tcMar>
              <w:top w:type="dxa" w:w="160"/>
              <w:left w:type="dxa" w:w="160"/>
              <w:bottom w:type="dxa" w:w="160"/>
              <w:right w:type="dxa" w:w="160"/>
            </w:tcMar>
          </w:tcPr>
          <w:p>
            <w:pPr>
              <w:spacing w:before="0" w:after="40"/>
              <w:jc w:val="center"/>
            </w:pPr>
            <w:r>
              <w:rPr>
                <w:rFonts w:ascii="Calibri" w:cs="Calibri" w:eastAsia="Calibri" w:hAnsi="Calibri"/>
                <w:b/>
                <w:bCs/>
                <w:color w:val="B45309"/>
                <w:sz w:val="48"/>
                <w:szCs w:val="48"/>
              </w:rPr>
              <w:t xml:space="preserve">MVP2</w:t>
            </w:r>
          </w:p>
          <w:p>
            <w:pPr>
              <w:spacing w:before="0" w:after="20"/>
              <w:jc w:val="center"/>
            </w:pPr>
            <w:r>
              <w:rPr>
                <w:rFonts w:ascii="Calibri" w:cs="Calibri" w:eastAsia="Calibri" w:hAnsi="Calibri"/>
                <w:b/>
                <w:bCs/>
                <w:color w:val="B45309"/>
                <w:sz w:val="20"/>
                <w:szCs w:val="20"/>
              </w:rPr>
              <w:t xml:space="preserve">Intake Classification</w:t>
            </w:r>
          </w:p>
          <w:p>
            <w:pPr>
              <w:spacing w:before="0" w:after="0"/>
              <w:jc w:val="center"/>
            </w:pPr>
            <w:r>
              <w:rPr>
                <w:rFonts w:ascii="Calibri" w:cs="Calibri" w:eastAsia="Calibri" w:hAnsi="Calibri"/>
                <w:i/>
                <w:iCs/>
                <w:color w:val="64748B"/>
                <w:sz w:val="18"/>
                <w:szCs w:val="18"/>
              </w:rPr>
              <w:t xml:space="preserve">In Design</w:t>
            </w:r>
          </w:p>
        </w:tc>
        <w:tc>
          <w:tcPr>
            <w:tcW w:type="dxa" w:w="2340"/>
            <w:tcBorders>
              <w:top w:val="single" w:color="6D28D9" w:sz="6"/>
              <w:left w:val="none" w:color="FFFFFF" w:sz="0"/>
              <w:bottom w:val="none" w:color="FFFFFF" w:sz="0"/>
              <w:right w:val="none" w:color="FFFFFF" w:sz="0"/>
            </w:tcBorders>
            <w:shd w:fill="EEF4FB" w:val="clear"/>
            <w:tcMar>
              <w:top w:type="dxa" w:w="160"/>
              <w:left w:type="dxa" w:w="160"/>
              <w:bottom w:type="dxa" w:w="160"/>
              <w:right w:type="dxa" w:w="160"/>
            </w:tcMar>
          </w:tcPr>
          <w:p>
            <w:pPr>
              <w:spacing w:before="0" w:after="40"/>
              <w:jc w:val="center"/>
            </w:pPr>
            <w:r>
              <w:rPr>
                <w:rFonts w:ascii="Calibri" w:cs="Calibri" w:eastAsia="Calibri" w:hAnsi="Calibri"/>
                <w:b/>
                <w:bCs/>
                <w:color w:val="6D28D9"/>
                <w:sz w:val="48"/>
                <w:szCs w:val="48"/>
              </w:rPr>
              <w:t xml:space="preserve">MVP3</w:t>
            </w:r>
          </w:p>
          <w:p>
            <w:pPr>
              <w:spacing w:before="0" w:after="20"/>
              <w:jc w:val="center"/>
            </w:pPr>
            <w:r>
              <w:rPr>
                <w:rFonts w:ascii="Calibri" w:cs="Calibri" w:eastAsia="Calibri" w:hAnsi="Calibri"/>
                <w:b/>
                <w:bCs/>
                <w:color w:val="6D28D9"/>
                <w:sz w:val="20"/>
                <w:szCs w:val="20"/>
              </w:rPr>
              <w:t xml:space="preserve">Artifact Generation</w:t>
            </w:r>
          </w:p>
          <w:p>
            <w:pPr>
              <w:spacing w:before="0" w:after="0"/>
              <w:jc w:val="center"/>
            </w:pPr>
            <w:r>
              <w:rPr>
                <w:rFonts w:ascii="Calibri" w:cs="Calibri" w:eastAsia="Calibri" w:hAnsi="Calibri"/>
                <w:i/>
                <w:iCs/>
                <w:color w:val="64748B"/>
                <w:sz w:val="18"/>
                <w:szCs w:val="18"/>
              </w:rPr>
              <w:t xml:space="preserve">Planned</w:t>
            </w:r>
          </w:p>
        </w:tc>
      </w:tr>
    </w:tbl>
    <w:p>
      <w:pPr>
        <w:spacing w:before="0" w:after="240"/>
      </w:pPr>
    </w:p>
    <w:p>
      <w:pPr>
        <w:pBdr>
          <w:bottom w:val="single" w:color="CBD5E1" w:sz="4" w:space="1"/>
        </w:pBdr>
        <w:spacing w:before="300" w:after="300"/>
      </w:pPr>
    </w:p>
    <w:p>
      <w:pPr>
        <w:pStyle w:val="Heading2"/>
        <w:spacing w:before="320" w:after="100"/>
      </w:pPr>
      <w:r>
        <w:rPr>
          <w:rFonts w:ascii="Calibri" w:cs="Calibri" w:eastAsia="Calibri" w:hAnsi="Calibri"/>
          <w:b/>
          <w:bCs/>
          <w:color w:val="0D7377"/>
          <w:sz w:val="28"/>
          <w:szCs w:val="28"/>
        </w:rPr>
        <w:t xml:space="preserve">What This Platform Handles — All Work Request Types</w:t>
      </w:r>
    </w:p>
    <w:p>
      <w:pPr>
        <w:spacing w:before="80" w:after="80"/>
      </w:pPr>
      <w:r>
        <w:rPr>
          <w:rFonts w:ascii="Calibri" w:cs="Calibri" w:eastAsia="Calibri" w:hAnsi="Calibri"/>
          <w:b w:val="false"/>
          <w:bCs w:val="false"/>
          <w:i w:val="false"/>
          <w:iCs w:val="false"/>
          <w:color w:val="0F172A"/>
          <w:sz w:val="22"/>
          <w:szCs w:val="22"/>
        </w:rPr>
        <w:t xml:space="preserve">The same agent pipeline, quality validation, and governance rules apply to every category of work request:</w:t>
      </w:r>
    </w:p>
    <w:p>
      <w:pPr>
        <w:spacing w:before="0" w:after="80"/>
      </w:pPr>
    </w:p>
    <w:p>
      <w:pPr>
        <w:pStyle w:val="ListParagraph"/>
        <w:numPr>
          <w:ilvl w:val="0"/>
          <w:numId w:val="2"/>
        </w:numPr>
        <w:spacing w:before="60" w:after="60"/>
      </w:pPr>
      <w:r>
        <w:rPr>
          <w:rFonts w:ascii="Calibri" w:cs="Calibri" w:eastAsia="Calibri" w:hAnsi="Calibri"/>
          <w:b/>
          <w:bCs/>
          <w:color w:val="0F172A"/>
          <w:sz w:val="22"/>
          <w:szCs w:val="22"/>
        </w:rPr>
        <w:t xml:space="preserve">New AI / GenAI initiative proposals </w:t>
      </w:r>
      <w:r>
        <w:rPr>
          <w:rFonts w:ascii="Calibri" w:cs="Calibri" w:eastAsia="Calibri" w:hAnsi="Calibri"/>
          <w:color w:val="0F172A"/>
          <w:sz w:val="22"/>
          <w:szCs w:val="22"/>
        </w:rPr>
        <w:t xml:space="preserve">New AI initiatives —</w:t>
      </w:r>
    </w:p>
    <w:p>
      <w:pPr>
        <w:pStyle w:val="ListParagraph"/>
        <w:numPr>
          <w:ilvl w:val="0"/>
          <w:numId w:val="2"/>
        </w:numPr>
        <w:spacing w:before="60" w:after="60"/>
      </w:pPr>
      <w:r>
        <w:rPr>
          <w:rFonts w:ascii="Calibri" w:cs="Calibri" w:eastAsia="Calibri" w:hAnsi="Calibri"/>
          <w:b/>
          <w:bCs/>
          <w:color w:val="0F172A"/>
          <w:sz w:val="22"/>
          <w:szCs w:val="22"/>
        </w:rPr>
        <w:t xml:space="preserve">Enhancements and additions to existing platforms </w:t>
      </w:r>
      <w:r>
        <w:rPr>
          <w:rFonts w:ascii="Calibri" w:cs="Calibri" w:eastAsia="Calibri" w:hAnsi="Calibri"/>
          <w:color w:val="0F172A"/>
          <w:sz w:val="22"/>
          <w:szCs w:val="22"/>
        </w:rPr>
        <w:t xml:space="preserve">New features —</w:t>
      </w:r>
    </w:p>
    <w:p>
      <w:pPr>
        <w:pStyle w:val="ListParagraph"/>
        <w:numPr>
          <w:ilvl w:val="0"/>
          <w:numId w:val="2"/>
        </w:numPr>
        <w:spacing w:before="60" w:after="60"/>
      </w:pPr>
      <w:r>
        <w:rPr>
          <w:rFonts w:ascii="Calibri" w:cs="Calibri" w:eastAsia="Calibri" w:hAnsi="Calibri"/>
          <w:b/>
          <w:bCs/>
          <w:color w:val="0F172A"/>
          <w:sz w:val="22"/>
          <w:szCs w:val="22"/>
        </w:rPr>
        <w:t xml:space="preserve">New Epics added to active product roadmaps </w:t>
      </w:r>
      <w:r>
        <w:rPr>
          <w:rFonts w:ascii="Calibri" w:cs="Calibri" w:eastAsia="Calibri" w:hAnsi="Calibri"/>
          <w:color w:val="0F172A"/>
          <w:sz w:val="22"/>
          <w:szCs w:val="22"/>
        </w:rPr>
        <w:t xml:space="preserve">New Epics —</w:t>
      </w:r>
    </w:p>
    <w:p>
      <w:pPr>
        <w:pStyle w:val="ListParagraph"/>
        <w:numPr>
          <w:ilvl w:val="0"/>
          <w:numId w:val="2"/>
        </w:numPr>
        <w:spacing w:before="60" w:after="60"/>
      </w:pPr>
      <w:r>
        <w:rPr>
          <w:rFonts w:ascii="Calibri" w:cs="Calibri" w:eastAsia="Calibri" w:hAnsi="Calibri"/>
          <w:b/>
          <w:bCs/>
          <w:color w:val="0F172A"/>
          <w:sz w:val="22"/>
          <w:szCs w:val="22"/>
        </w:rPr>
        <w:t xml:space="preserve">Data, analytics, and reporting requests </w:t>
      </w:r>
      <w:r>
        <w:rPr>
          <w:rFonts w:ascii="Calibri" w:cs="Calibri" w:eastAsia="Calibri" w:hAnsi="Calibri"/>
          <w:color w:val="0F172A"/>
          <w:sz w:val="22"/>
          <w:szCs w:val="22"/>
        </w:rPr>
        <w:t xml:space="preserve">Data &amp; analytics —</w:t>
      </w:r>
    </w:p>
    <w:p>
      <w:pPr>
        <w:pStyle w:val="ListParagraph"/>
        <w:numPr>
          <w:ilvl w:val="0"/>
          <w:numId w:val="2"/>
        </w:numPr>
        <w:spacing w:before="60" w:after="60"/>
      </w:pPr>
      <w:r>
        <w:rPr>
          <w:rFonts w:ascii="Calibri" w:cs="Calibri" w:eastAsia="Calibri" w:hAnsi="Calibri"/>
          <w:b/>
          <w:bCs/>
          <w:color w:val="0F172A"/>
          <w:sz w:val="22"/>
          <w:szCs w:val="22"/>
        </w:rPr>
        <w:t xml:space="preserve">Business process automation proposals </w:t>
      </w:r>
      <w:r>
        <w:rPr>
          <w:rFonts w:ascii="Calibri" w:cs="Calibri" w:eastAsia="Calibri" w:hAnsi="Calibri"/>
          <w:color w:val="0F172A"/>
          <w:sz w:val="22"/>
          <w:szCs w:val="22"/>
        </w:rPr>
        <w:t xml:space="preserve">Automation —</w:t>
      </w:r>
    </w:p>
    <w:p>
      <w:pPr>
        <w:pStyle w:val="ListParagraph"/>
        <w:numPr>
          <w:ilvl w:val="0"/>
          <w:numId w:val="2"/>
        </w:numPr>
        <w:spacing w:before="60" w:after="60"/>
      </w:pPr>
      <w:r>
        <w:rPr>
          <w:rFonts w:ascii="Calibri" w:cs="Calibri" w:eastAsia="Calibri" w:hAnsi="Calibri"/>
          <w:b/>
          <w:bCs/>
          <w:color w:val="0F172A"/>
          <w:sz w:val="22"/>
          <w:szCs w:val="22"/>
        </w:rPr>
        <w:t xml:space="preserve">Support and triage requests </w:t>
      </w:r>
      <w:r>
        <w:rPr>
          <w:rFonts w:ascii="Calibri" w:cs="Calibri" w:eastAsia="Calibri" w:hAnsi="Calibri"/>
          <w:color w:val="0F172A"/>
          <w:sz w:val="22"/>
          <w:szCs w:val="22"/>
        </w:rPr>
        <w:t xml:space="preserve">Support —</w:t>
      </w:r>
    </w:p>
    <w:p>
      <w:pPr>
        <w:spacing w:before="0" w:after="80"/>
      </w:pPr>
    </w:p>
    <w:p>
      <w:pPr>
        <w:spacing w:before="80" w:after="80"/>
      </w:pPr>
      <w:r>
        <w:rPr>
          <w:rFonts w:ascii="Calibri" w:cs="Calibri" w:eastAsia="Calibri" w:hAnsi="Calibri"/>
          <w:b w:val="false"/>
          <w:bCs w:val="false"/>
          <w:i w:val="false"/>
          <w:iCs w:val="false"/>
          <w:color w:val="0F172A"/>
          <w:sz w:val="22"/>
          <w:szCs w:val="22"/>
        </w:rPr>
        <w:t xml:space="preserve">All 120+ intakes route to Jira. The platform is the structured front door for every one of them — enforcing quality at submission (MVP0), detecting duplication across the full portfolio (MVP1), classifying each submission for prioritization (MVP2), and generating compliant Jira artifacts at the point of approval (MVP3).</w:t>
      </w:r>
    </w:p>
    <w:p>
      <w:pPr>
        <w:spacing w:before="0" w:after="200"/>
      </w:pPr>
    </w:p>
    <w:p>
      <w:pPr>
        <w:pBdr>
          <w:bottom w:val="single" w:color="CBD5E1" w:sz="4"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E3A5F" w:sz="12"/>
              <w:left w:val="none" w:color="FFFFFF" w:sz="0"/>
              <w:bottom w:val="none" w:color="FFFFFF" w:sz="0"/>
              <w:right w:val="none" w:color="FFFFFF" w:sz="0"/>
            </w:tcBorders>
            <w:shd w:fill="F0F4FF" w:val="clear"/>
            <w:tcMar>
              <w:top w:type="dxa" w:w="140"/>
              <w:left w:type="dxa" w:w="160"/>
              <w:bottom w:type="dxa" w:w="140"/>
              <w:right w:type="dxa" w:w="160"/>
            </w:tcMar>
          </w:tcPr>
          <w:p>
            <w:pPr>
              <w:spacing w:before="0" w:after="0"/>
              <w:jc w:val="center"/>
            </w:pPr>
            <w:r>
              <w:rPr>
                <w:rFonts w:ascii="Calibri" w:cs="Calibri" w:eastAsia="Calibri" w:hAnsi="Calibri"/>
                <w:b/>
                <w:bCs/>
                <w:color w:val="1E3A5F"/>
                <w:sz w:val="28"/>
                <w:szCs w:val="28"/>
              </w:rPr>
              <w:t xml:space="preserve">MVP0</w:t>
            </w:r>
          </w:p>
        </w:tc>
        <w:tc>
          <w:tcPr>
            <w:tcW w:type="dxa" w:w="7760"/>
            <w:tcBorders>
              <w:top w:val="single" w:color="1E3A5F" w:sz="12"/>
              <w:left w:val="single" w:color="CBD5E1" w:sz="2"/>
              <w:bottom w:val="none" w:color="FFFFFF" w:sz="0"/>
              <w:right w:val="none" w:color="FFFFFF" w:sz="0"/>
            </w:tcBorders>
            <w:shd w:fill="F0F4FF" w:val="clear"/>
            <w:tcMar>
              <w:top w:type="dxa" w:w="140"/>
              <w:left w:type="dxa" w:w="160"/>
              <w:bottom w:type="dxa" w:w="140"/>
              <w:right w:type="dxa" w:w="160"/>
            </w:tcMar>
          </w:tcPr>
          <w:p>
            <w:pPr>
              <w:spacing w:before="0" w:after="0"/>
            </w:pPr>
            <w:r>
              <w:rPr>
                <w:rFonts w:ascii="Calibri" w:cs="Calibri" w:eastAsia="Calibri" w:hAnsi="Calibri"/>
                <w:b/>
                <w:bCs/>
                <w:color w:val="1E3A5F"/>
                <w:sz w:val="28"/>
                <w:szCs w:val="28"/>
              </w:rPr>
              <w:t xml:space="preserve">Intake Quality — The Foundation</w:t>
            </w:r>
          </w:p>
        </w:tc>
      </w:tr>
    </w:tbl>
    <w:p>
      <w:pPr>
        <w:spacing w:before="0" w:after="80"/>
      </w:pPr>
    </w:p>
    <w:p>
      <w:pPr>
        <w:spacing w:before="80" w:after="80"/>
      </w:pPr>
      <w:r>
        <w:rPr>
          <w:rFonts w:ascii="Calibri" w:cs="Calibri" w:eastAsia="Calibri" w:hAnsi="Calibri"/>
          <w:b w:val="false"/>
          <w:bCs w:val="false"/>
          <w:i w:val="false"/>
          <w:iCs w:val="false"/>
          <w:color w:val="0F172A"/>
          <w:sz w:val="22"/>
          <w:szCs w:val="22"/>
        </w:rPr>
        <w:t xml:space="preserve">Quality is the most fundamental problem — and the precondition for everything that follows. Before the platform can classify submissions, detect duplicates, or generate agile artifacts, it must ensure every intake entering the system is worth processing. MVP0 establishes that quality floor: every submission must be complete enough to action and specific enough to evaluate before it reaches a reviewer.</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24"/>
              <w:bottom w:val="none" w:color="FFFFFF" w:sz="0"/>
              <w:right w:val="none" w:color="FFFFFF" w:sz="0"/>
            </w:tcBorders>
            <w:shd w:fill="EEF4FB" w:val="clear"/>
            <w:tcMar>
              <w:top w:type="dxa" w:w="120"/>
              <w:left w:type="dxa" w:w="200"/>
              <w:bottom w:type="dxa" w:w="120"/>
              <w:right w:type="dxa" w:w="120"/>
            </w:tcMar>
          </w:tcPr>
          <w:p>
            <w:pPr>
              <w:spacing w:before="0" w:after="0"/>
            </w:pPr>
            <w:r>
              <w:rPr>
                <w:rFonts w:ascii="Calibri" w:cs="Calibri" w:eastAsia="Calibri" w:hAnsi="Calibri"/>
                <w:b/>
                <w:bCs/>
                <w:color w:val="0D7377"/>
                <w:sz w:val="22"/>
                <w:szCs w:val="22"/>
              </w:rPr>
              <w:t xml:space="preserve">ℹ  </w:t>
            </w:r>
            <w:r>
              <w:rPr>
                <w:rFonts w:ascii="Calibri" w:cs="Calibri" w:eastAsia="Calibri" w:hAnsi="Calibri"/>
                <w:color w:val="0F172A"/>
                <w:sz w:val="22"/>
                <w:szCs w:val="22"/>
              </w:rPr>
              <w:t xml:space="preserve">Intake quality means every submission is complete enough to action and specific enough to evaluate.</w:t>
            </w:r>
          </w:p>
        </w:tc>
      </w:tr>
    </w:tbl>
    <w:p>
      <w:pPr>
        <w:spacing w:before="0" w:after="120"/>
      </w:pPr>
    </w:p>
    <w:p>
      <w:pPr>
        <w:spacing w:before="80" w:after="80"/>
      </w:pPr>
      <w:r>
        <w:rPr>
          <w:rFonts w:ascii="Calibri" w:cs="Calibri" w:eastAsia="Calibri" w:hAnsi="Calibri"/>
          <w:b w:val="false"/>
          <w:bCs w:val="false"/>
          <w:i w:val="false"/>
          <w:iCs w:val="false"/>
          <w:color w:val="0F172A"/>
          <w:sz w:val="22"/>
          <w:szCs w:val="22"/>
        </w:rPr>
        <w:t xml:space="preserve">Quality has two measurable dimensions, each tied to a specific failure mode that exists today without the platform. Duplication detection — the third governance layer — is addressed in MVP1.</w:t>
      </w:r>
    </w:p>
    <w:p>
      <w:pPr>
        <w:spacing w:before="0" w:after="120"/>
      </w:pPr>
    </w:p>
    <w:p>
      <w:pPr>
        <w:spacing w:before="260" w:after="80"/>
      </w:pPr>
      <w:r>
        <w:rPr>
          <w:rFonts w:ascii="Calibri" w:cs="Calibri" w:eastAsia="Calibri" w:hAnsi="Calibri"/>
          <w:b/>
          <w:bCs/>
          <w:color w:val="1E3A5F"/>
          <w:sz w:val="24"/>
          <w:szCs w:val="24"/>
        </w:rPr>
        <w:t xml:space="preserve">Dimension 1 —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What It Means</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Every required field contains a substantive response. No blanks. No 'TBD.' No one-word answers where a sentence is needed.</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Current Failure Mode</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Reviewers receive intakes they cannot action. They send a clarification request. The submitter responds days later. The reviewer re-queues. That cycle repeats 2-3 times before the intake is workable. The cost is not the incomplete form — it is the review capacity consumed chasing information that should have been collected at submission.</w:t>
            </w:r>
          </w:p>
        </w:tc>
      </w:tr>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How the System Enforces It</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The Validation Agent evaluates each response in real time before the conversation advances. If an answer is incomplete, the agent explains specifically what is missing and asks again — up to 3 attempts. A blank or vague response never reaches the reviewer.</w:t>
            </w:r>
          </w:p>
        </w:tc>
      </w:tr>
    </w:tbl>
    <w:p>
      <w:pPr>
        <w:spacing w:before="0" w:after="120"/>
      </w:pPr>
    </w:p>
    <w:p>
      <w:pPr>
        <w:spacing w:before="260" w:after="80"/>
      </w:pPr>
      <w:r>
        <w:rPr>
          <w:rFonts w:ascii="Calibri" w:cs="Calibri" w:eastAsia="Calibri" w:hAnsi="Calibri"/>
          <w:b/>
          <w:bCs/>
          <w:color w:val="1E3A5F"/>
          <w:sz w:val="24"/>
          <w:szCs w:val="24"/>
        </w:rPr>
        <w:t xml:space="preserve">Dimension 2 — Guideline Adherence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What It Means</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Each answer meets the specific quality criteria defined for that question by the intake owner — not just 'is something written here' but 'does what is written actually answer what is being asked, at the level of specificity this intake requires.'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Current Failure Mode</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Intakes arrive technically filled out but substantively useless. 'What is the business problem?' answered with 'improve efficiency' passes a static form. It does not pass a Validation Agent configured to require a named process, a quantified gap, and a specific affected population. Static forms have no quality floor. The platform enforces whichever criteria the intake owner has defined, consistently, on every submission.</w:t>
            </w:r>
          </w:p>
        </w:tc>
      </w:tr>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How the System Enforces It</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Each question in the intake configuration includes validation criteria — natural language instructions to the Validation Agent describing what constitutes a passing answer for that specific question. The criteria are set by the intake owner. The platform enforces them consistently and applies the same standard to every submission, regardless of who submits.</w:t>
            </w:r>
          </w:p>
        </w:tc>
      </w:tr>
    </w:tbl>
    <w:p>
      <w:pPr>
        <w:spacing w:before="0" w:after="120"/>
      </w:pPr>
    </w:p>
    <w:p>
      <w:pPr>
        <w:spacing w:before="200" w:after="60"/>
      </w:pPr>
      <w:r>
        <w:rPr>
          <w:rFonts w:ascii="Calibri" w:cs="Calibri" w:eastAsia="Calibri" w:hAnsi="Calibri"/>
          <w:b/>
          <w:bCs/>
          <w:color w:val="0D7377"/>
          <w:sz w:val="22"/>
          <w:szCs w:val="22"/>
        </w:rPr>
        <w:t xml:space="preserve">The Quality Summary — How to Say It in 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32"/>
              <w:bottom w:val="none" w:color="FFFFFF" w:sz="0"/>
              <w:right w:val="none" w:color="FFFFFF" w:sz="0"/>
            </w:tcBorders>
            <w:shd w:fill="F8FAFC" w:val="clear"/>
            <w:tcMar>
              <w:top w:type="dxa" w:w="120"/>
              <w:left w:type="dxa" w:w="220"/>
              <w:bottom w:type="dxa" w:w="120"/>
              <w:right w:type="dxa" w:w="120"/>
            </w:tcMar>
          </w:tcPr>
          <w:p>
            <w:pPr>
              <w:spacing w:before="0" w:after="0"/>
            </w:pPr>
            <w:r>
              <w:rPr>
                <w:rFonts w:ascii="Calibri" w:cs="Calibri" w:eastAsia="Calibri" w:hAnsi="Calibri"/>
                <w:i/>
                <w:iCs/>
                <w:color w:val="0F172A"/>
                <w:sz w:val="22"/>
                <w:szCs w:val="22"/>
              </w:rPr>
              <w:t xml:space="preserve">Quality is not a feature of the platform — it is a property of every submission that comes out of it. Right now, quality is inconsistent because it depends entirely on how much effort the submitter chooses to put in. This platform makes quality the floor, not the ceiling. No submission exits the conversation below the quality bar the intake owner has set — complete, specific, and ready to evaluate.</w:t>
            </w:r>
          </w:p>
        </w:tc>
      </w:tr>
    </w:tbl>
    <w:p>
      <w:pPr>
        <w:spacing w:before="0" w:after="200"/>
      </w:pPr>
    </w:p>
    <w:p>
      <w:pPr>
        <w:pBdr>
          <w:bottom w:val="single" w:color="1E3A5F" w:sz="8"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7377" w:sz="12"/>
              <w:left w:val="none" w:color="FFFFFF" w:sz="0"/>
              <w:bottom w:val="none" w:color="FFFFFF" w:sz="0"/>
              <w:right w:val="none" w:color="FFFFFF" w:sz="0"/>
            </w:tcBorders>
            <w:shd w:fill="F0F4FF" w:val="clear"/>
            <w:tcMar>
              <w:top w:type="dxa" w:w="140"/>
              <w:left w:type="dxa" w:w="160"/>
              <w:bottom w:type="dxa" w:w="140"/>
              <w:right w:type="dxa" w:w="160"/>
            </w:tcMar>
          </w:tcPr>
          <w:p>
            <w:pPr>
              <w:spacing w:before="0" w:after="0"/>
              <w:jc w:val="center"/>
            </w:pPr>
            <w:r>
              <w:rPr>
                <w:rFonts w:ascii="Calibri" w:cs="Calibri" w:eastAsia="Calibri" w:hAnsi="Calibri"/>
                <w:b/>
                <w:bCs/>
                <w:color w:val="0D7377"/>
                <w:sz w:val="28"/>
                <w:szCs w:val="28"/>
              </w:rPr>
              <w:t xml:space="preserve">MVP1</w:t>
            </w:r>
          </w:p>
        </w:tc>
        <w:tc>
          <w:tcPr>
            <w:tcW w:type="dxa" w:w="7760"/>
            <w:tcBorders>
              <w:top w:val="single" w:color="0D7377" w:sz="12"/>
              <w:left w:val="single" w:color="CBD5E1" w:sz="2"/>
              <w:bottom w:val="none" w:color="FFFFFF" w:sz="0"/>
              <w:right w:val="none" w:color="FFFFFF" w:sz="0"/>
            </w:tcBorders>
            <w:shd w:fill="F0F4FF" w:val="clear"/>
            <w:tcMar>
              <w:top w:type="dxa" w:w="140"/>
              <w:left w:type="dxa" w:w="160"/>
              <w:bottom w:type="dxa" w:w="140"/>
              <w:right w:type="dxa" w:w="160"/>
            </w:tcMar>
          </w:tcPr>
          <w:p>
            <w:pPr>
              <w:spacing w:before="0" w:after="0"/>
            </w:pPr>
            <w:r>
              <w:rPr>
                <w:rFonts w:ascii="Calibri" w:cs="Calibri" w:eastAsia="Calibri" w:hAnsi="Calibri"/>
                <w:b/>
                <w:bCs/>
                <w:color w:val="0D7377"/>
                <w:sz w:val="28"/>
                <w:szCs w:val="28"/>
              </w:rPr>
              <w:t xml:space="preserve">Duplicate Detection — Portfolio Visibility</w:t>
            </w:r>
          </w:p>
        </w:tc>
      </w:tr>
    </w:tbl>
    <w:p>
      <w:pPr>
        <w:spacing w:before="0" w:after="80"/>
      </w:pPr>
    </w:p>
    <w:p>
      <w:pPr>
        <w:spacing w:before="80" w:after="80"/>
      </w:pPr>
      <w:r>
        <w:rPr>
          <w:rFonts w:ascii="Calibri" w:cs="Calibri" w:eastAsia="Calibri" w:hAnsi="Calibri"/>
          <w:b w:val="false"/>
          <w:bCs w:val="false"/>
          <w:i w:val="false"/>
          <w:iCs w:val="false"/>
          <w:color w:val="0F172A"/>
          <w:sz w:val="22"/>
          <w:szCs w:val="22"/>
        </w:rPr>
        <w:t xml:space="preserve">MVP1 extends the quality foundation with full duplicate detection. Every submission is searched against the Jira portfolio — all 120+ intake types, all Epics, all features — before a new ticket is created. The result: asset reuse instead of redundant builds, cross-team collaboration instead of parallel workstreams, and investment decisions based on what the portfolio actually contains.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24"/>
              <w:bottom w:val="none" w:color="FFFFFF" w:sz="0"/>
              <w:right w:val="none" w:color="FFFFFF" w:sz="0"/>
            </w:tcBorders>
            <w:shd w:fill="EEF4FB" w:val="clear"/>
            <w:tcMar>
              <w:top w:type="dxa" w:w="120"/>
              <w:left w:type="dxa" w:w="200"/>
              <w:bottom w:type="dxa" w:w="120"/>
              <w:right w:type="dxa" w:w="120"/>
            </w:tcMar>
          </w:tcPr>
          <w:p>
            <w:pPr>
              <w:spacing w:before="0" w:after="0"/>
            </w:pPr>
            <w:r>
              <w:rPr>
                <w:rFonts w:ascii="Calibri" w:cs="Calibri" w:eastAsia="Calibri" w:hAnsi="Calibri"/>
                <w:b/>
                <w:bCs/>
                <w:color w:val="0D7377"/>
                <w:sz w:val="22"/>
                <w:szCs w:val="22"/>
              </w:rPr>
              <w:t xml:space="preserve">ℹ  </w:t>
            </w:r>
            <w:r>
              <w:rPr>
                <w:rFonts w:ascii="Calibri" w:cs="Calibri" w:eastAsia="Calibri" w:hAnsi="Calibri"/>
                <w:color w:val="0F172A"/>
                <w:sz w:val="22"/>
                <w:szCs w:val="22"/>
              </w:rPr>
              <w:t xml:space="preserve">Duplicate detection answers the question no individual team process can answer: is this work already happening somewhere else in the organization?</w:t>
            </w:r>
          </w:p>
        </w:tc>
      </w:tr>
    </w:tbl>
    <w:p>
      <w:pPr>
        <w:spacing w:before="0" w:after="120"/>
      </w:pPr>
    </w:p>
    <w:p>
      <w:pPr>
        <w:spacing w:before="80" w:after="80"/>
      </w:pPr>
      <w:r>
        <w:rPr>
          <w:rFonts w:ascii="Calibri" w:cs="Calibri" w:eastAsia="Calibri" w:hAnsi="Calibri"/>
          <w:b w:val="false"/>
          <w:bCs w:val="false"/>
          <w:i w:val="false"/>
          <w:iCs w:val="false"/>
          <w:color w:val="0F172A"/>
          <w:sz w:val="22"/>
          <w:szCs w:val="22"/>
        </w:rPr>
        <w:t xml:space="preserve">This matters because all 120+ intakes route to Jira. The full duplication landscape is searchable — not just within a single team's backlog, but across every Epic, every feature, every in-progress initiative in the enterprise portfolio. MVP1 makes that search systematic, automatic, and proactive — it happens before any ticket is created, not after resources are committed.</w:t>
      </w:r>
    </w:p>
    <w:p>
      <w:pPr>
        <w:spacing w:before="0" w:after="120"/>
      </w:pPr>
    </w:p>
    <w:p>
      <w:pPr>
        <w:spacing w:before="260" w:after="80"/>
      </w:pPr>
      <w:r>
        <w:rPr>
          <w:rFonts w:ascii="Calibri" w:cs="Calibri" w:eastAsia="Calibri" w:hAnsi="Calibri"/>
          <w:b/>
          <w:bCs/>
          <w:color w:val="0D7377"/>
          <w:sz w:val="24"/>
          <w:szCs w:val="24"/>
        </w:rPr>
        <w:t xml:space="preserve">Three Failure Modes MVP1 Eliminates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b/>
                <w:bCs/>
                <w:color w:val="FFFFFF"/>
                <w:sz w:val="18"/>
                <w:szCs w:val="18"/>
              </w:rPr>
              <w:t xml:space="preserve">Failure Mode</w:t>
            </w:r>
          </w:p>
        </w:tc>
        <w:tc>
          <w:tcPr>
            <w:tcW w:type="dxa" w:w="6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color w:val="FFFFFF"/>
                <w:sz w:val="20"/>
                <w:szCs w:val="20"/>
              </w:rPr>
              <w:t xml:space="preserve">What Happens Without Detection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Redundant Builds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Two teams build identical capability independently. Each has environment access, data provisioning, and engineering allocation. Discovery happens mid-development or post-launch — after full cost is sunk.</w:t>
            </w:r>
          </w:p>
        </w:tc>
      </w:tr>
      <w:tr>
        <w:tc>
          <w:tcPr>
            <w:tcW w:type="dxa" w:w="28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Missed Collaboration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A team submits a request that a neighboring team completed 90 days ago. The existing asset sits unused. The new effort rebuilds it from scratch. The teams never connect.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Parallel Workstreams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Two in-progress Epics overlap significantly but neither team is aware. Planning, sprint allocation, and review cycles run in parallel. The redundancy compounds with every sprint.</w:t>
            </w:r>
          </w:p>
        </w:tc>
      </w:tr>
    </w:tbl>
    <w:p>
      <w:pPr>
        <w:spacing w:before="0" w:after="120"/>
      </w:pPr>
    </w:p>
    <w:p>
      <w:pPr>
        <w:spacing w:before="260" w:after="80"/>
      </w:pPr>
      <w:r>
        <w:rPr>
          <w:rFonts w:ascii="Calibri" w:cs="Calibri" w:eastAsia="Calibri" w:hAnsi="Calibri"/>
          <w:b/>
          <w:bCs/>
          <w:color w:val="0D7377"/>
          <w:sz w:val="24"/>
          <w:szCs w:val="24"/>
        </w:rPr>
        <w:t xml:space="preserve">Three Detection Layers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b/>
                <w:bCs/>
                <w:color w:val="FFFFFF"/>
                <w:sz w:val="18"/>
                <w:szCs w:val="18"/>
              </w:rPr>
              <w:t xml:space="preserve">Detection Layer</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color w:val="FFFFFF"/>
                <w:sz w:val="20"/>
                <w:szCs w:val="20"/>
              </w:rPr>
              <w:t xml:space="preserve">How It Works and What It Catches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Exact Match</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Platform-native Jira query (JQL) matches identical or near-identical ticket titles and descriptions. Highest confidence — when an exact match fires, the duplication is unambiguous.</w:t>
            </w:r>
          </w:p>
        </w:tc>
      </w:tr>
      <w:tr>
        <w:tc>
          <w:tcPr>
            <w:tcW w:type="dxa" w:w="22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Fuzzy Match</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Token-level similarity scoring surfaces overlapping requests phrased differently. Catches the same initiative described in different departmental vocabulary — the kind of duplication exact match misses entirely.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Semantic Match</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Gemini text-embedding-004 plus cosine similarity detects meaning-level duplicates regardless of wording. This is the layer that identifies 'build a customer churn prediction model' and 'develop an attrition risk score for retail clients' as functionally identical.</w:t>
            </w:r>
          </w:p>
        </w:tc>
      </w:tr>
    </w:tbl>
    <w:p>
      <w:pPr>
        <w:spacing w:before="0" w:after="120"/>
      </w:pPr>
    </w:p>
    <w:p>
      <w:pPr>
        <w:spacing w:before="260" w:after="80"/>
      </w:pPr>
      <w:r>
        <w:rPr>
          <w:rFonts w:ascii="Calibri" w:cs="Calibri" w:eastAsia="Calibri" w:hAnsi="Calibri"/>
          <w:b/>
          <w:bCs/>
          <w:color w:val="0D7377"/>
          <w:sz w:val="24"/>
          <w:szCs w:val="24"/>
        </w:rPr>
        <w:t xml:space="preserve">What the Submitter Experiences</w:t>
      </w:r>
    </w:p>
    <w:p>
      <w:pPr>
        <w:spacing w:before="80" w:after="80"/>
      </w:pPr>
      <w:r>
        <w:rPr>
          <w:rFonts w:ascii="Calibri" w:cs="Calibri" w:eastAsia="Calibri" w:hAnsi="Calibri"/>
          <w:b w:val="false"/>
          <w:bCs w:val="false"/>
          <w:i w:val="false"/>
          <w:iCs w:val="false"/>
          <w:color w:val="0F172A"/>
          <w:sz w:val="22"/>
          <w:szCs w:val="22"/>
        </w:rPr>
        <w:t xml:space="preserve">When the detection pipeline identifies potential duplicates, the platform surfaces them before the submission can proceed. The submitter cannot bypass this step — submission is blocked until they explicitly acknowledge the candidates and make a decision. This is intentional: the goal is informed action, not optional review.</w:t>
      </w:r>
    </w:p>
    <w:p>
      <w:pPr>
        <w:spacing w:before="0" w:after="80"/>
      </w:pPr>
    </w:p>
    <w:p>
      <w:pPr>
        <w:spacing w:before="80" w:after="80"/>
      </w:pPr>
      <w:r>
        <w:rPr>
          <w:rFonts w:ascii="Calibri" w:cs="Calibri" w:eastAsia="Calibri" w:hAnsi="Calibri"/>
          <w:b w:val="false"/>
          <w:bCs w:val="false"/>
          <w:i w:val="false"/>
          <w:iCs w:val="false"/>
          <w:color w:val="0F172A"/>
          <w:sz w:val="22"/>
          <w:szCs w:val="22"/>
        </w:rPr>
        <w:t xml:space="preserve">For each duplicate candidate, the submitter sees the existing Jira ticket — title, description, current status, and the ticket owner's contact information. They then choose one of three paths:</w:t>
      </w:r>
    </w:p>
    <w:p>
      <w:pPr>
        <w:spacing w:before="0" w:after="80"/>
      </w:pPr>
    </w:p>
    <w:p>
      <w:pPr>
        <w:pStyle w:val="ListParagraph"/>
        <w:numPr>
          <w:ilvl w:val="0"/>
          <w:numId w:val="2"/>
        </w:numPr>
        <w:spacing w:before="60" w:after="60"/>
      </w:pPr>
      <w:r>
        <w:rPr>
          <w:rFonts w:ascii="Calibri" w:cs="Calibri" w:eastAsia="Calibri" w:hAnsi="Calibri"/>
          <w:color w:val="0F172A"/>
          <w:sz w:val="22"/>
          <w:szCs w:val="22"/>
        </w:rPr>
        <w:t xml:space="preserve">Collaborate — the existing ticket covers their need; they reach out to the owner directly to join or reuse the existing work</w:t>
      </w:r>
    </w:p>
    <w:p>
      <w:pPr>
        <w:pStyle w:val="ListParagraph"/>
        <w:numPr>
          <w:ilvl w:val="0"/>
          <w:numId w:val="2"/>
        </w:numPr>
        <w:spacing w:before="60" w:after="60"/>
      </w:pPr>
      <w:r>
        <w:rPr>
          <w:rFonts w:ascii="Calibri" w:cs="Calibri" w:eastAsia="Calibri" w:hAnsi="Calibri"/>
          <w:color w:val="0F172A"/>
          <w:sz w:val="22"/>
          <w:szCs w:val="22"/>
        </w:rPr>
        <w:t xml:space="preserve">Proceed as distinct — their request is genuinely different; they document why it differs before submission continues</w:t>
      </w:r>
    </w:p>
    <w:p>
      <w:pPr>
        <w:pStyle w:val="ListParagraph"/>
        <w:numPr>
          <w:ilvl w:val="0"/>
          <w:numId w:val="2"/>
        </w:numPr>
        <w:spacing w:before="60" w:after="60"/>
      </w:pPr>
      <w:r>
        <w:rPr>
          <w:rFonts w:ascii="Calibri" w:cs="Calibri" w:eastAsia="Calibri" w:hAnsi="Calibri"/>
          <w:color w:val="0F172A"/>
          <w:sz w:val="22"/>
          <w:szCs w:val="22"/>
        </w:rPr>
        <w:t xml:space="preserve">Request more detail — they review the full ticket context before deciding</w:t>
      </w:r>
    </w:p>
    <w:p>
      <w:pPr>
        <w:spacing w:before="0" w:after="80"/>
      </w:pPr>
    </w:p>
    <w:p>
      <w:pPr>
        <w:spacing w:before="80" w:after="80"/>
      </w:pPr>
      <w:r>
        <w:rPr>
          <w:rFonts w:ascii="Calibri" w:cs="Calibri" w:eastAsia="Calibri" w:hAnsi="Calibri"/>
          <w:b w:val="false"/>
          <w:bCs w:val="false"/>
          <w:i w:val="false"/>
          <w:iCs w:val="false"/>
          <w:color w:val="0F172A"/>
          <w:sz w:val="22"/>
          <w:szCs w:val="22"/>
        </w:rPr>
        <w:t xml:space="preserve">Submission is blocked until one of these decisions is made. No ticket is created until the submitter has consciously engaged with the duplicate candidates.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24"/>
              <w:bottom w:val="none" w:color="FFFFFF" w:sz="0"/>
              <w:right w:val="none" w:color="FFFFFF" w:sz="0"/>
            </w:tcBorders>
            <w:shd w:fill="FFFBEB" w:val="clear"/>
            <w:tcMar>
              <w:top w:type="dxa" w:w="120"/>
              <w:left w:type="dxa" w:w="200"/>
              <w:bottom w:type="dxa" w:w="120"/>
              <w:right w:type="dxa" w:w="120"/>
            </w:tcMar>
          </w:tcPr>
          <w:p>
            <w:pPr>
              <w:spacing w:before="0" w:after="0"/>
            </w:pPr>
            <w:r>
              <w:rPr>
                <w:rFonts w:ascii="Calibri" w:cs="Calibri" w:eastAsia="Calibri" w:hAnsi="Calibri"/>
                <w:b/>
                <w:bCs/>
                <w:color w:val="D97706"/>
                <w:sz w:val="22"/>
                <w:szCs w:val="22"/>
              </w:rPr>
              <w:t xml:space="preserve">◈  </w:t>
            </w:r>
            <w:r>
              <w:rPr>
                <w:rFonts w:ascii="Calibri" w:cs="Calibri" w:eastAsia="Calibri" w:hAnsi="Calibri"/>
                <w:color w:val="0F172A"/>
                <w:sz w:val="22"/>
                <w:szCs w:val="22"/>
              </w:rPr>
              <w:t xml:space="preserve">The exact review flow and UI for duplicate acknowledgment is still being designed. The behavior above represents the intended design — the final implementation may evolve as requirements mature.</w:t>
            </w:r>
          </w:p>
        </w:tc>
      </w:tr>
    </w:tbl>
    <w:p>
      <w:pPr>
        <w:spacing w:before="0" w:after="120"/>
      </w:pPr>
    </w:p>
    <w:p>
      <w:pPr>
        <w:spacing w:before="200" w:after="60"/>
      </w:pPr>
      <w:r>
        <w:rPr>
          <w:rFonts w:ascii="Calibri" w:cs="Calibri" w:eastAsia="Calibri" w:hAnsi="Calibri"/>
          <w:b/>
          <w:bCs/>
          <w:color w:val="0D7377"/>
          <w:sz w:val="22"/>
          <w:szCs w:val="22"/>
        </w:rPr>
        <w:t xml:space="preserve">The Duplicate Detection Summary — How to Say It in 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32"/>
              <w:bottom w:val="none" w:color="FFFFFF" w:sz="0"/>
              <w:right w:val="none" w:color="FFFFFF" w:sz="0"/>
            </w:tcBorders>
            <w:shd w:fill="F8FAFC" w:val="clear"/>
            <w:tcMar>
              <w:top w:type="dxa" w:w="120"/>
              <w:left w:type="dxa" w:w="220"/>
              <w:bottom w:type="dxa" w:w="120"/>
              <w:right w:type="dxa" w:w="120"/>
            </w:tcMar>
          </w:tcPr>
          <w:p>
            <w:pPr>
              <w:spacing w:before="0" w:after="0"/>
            </w:pPr>
            <w:r>
              <w:rPr>
                <w:rFonts w:ascii="Calibri" w:cs="Calibri" w:eastAsia="Calibri" w:hAnsi="Calibri"/>
                <w:i/>
                <w:iCs/>
                <w:color w:val="0F172A"/>
                <w:sz w:val="22"/>
                <w:szCs w:val="22"/>
              </w:rPr>
              <w:t xml:space="preserve">MVP1 does not change how teams work. It changes what teams know before they start working. When a submission surfaces three existing tickets covering similar ground, the submitter can collaborate, reuse, or consciously proceed — rather than unknowingly duplicate months of work someone else already did.</w:t>
            </w:r>
          </w:p>
        </w:tc>
      </w:tr>
    </w:tbl>
    <w:p>
      <w:pPr>
        <w:spacing w:before="0" w:after="200"/>
      </w:pPr>
    </w:p>
    <w:p>
      <w:pPr>
        <w:pBdr>
          <w:bottom w:val="single" w:color="0D7377" w:sz="8"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45309" w:sz="12"/>
              <w:left w:val="none" w:color="FFFFFF" w:sz="0"/>
              <w:bottom w:val="none" w:color="FFFFFF" w:sz="0"/>
              <w:right w:val="none" w:color="FFFFFF" w:sz="0"/>
            </w:tcBorders>
            <w:shd w:fill="F0F4FF" w:val="clear"/>
            <w:tcMar>
              <w:top w:type="dxa" w:w="140"/>
              <w:left w:type="dxa" w:w="160"/>
              <w:bottom w:type="dxa" w:w="140"/>
              <w:right w:type="dxa" w:w="160"/>
            </w:tcMar>
          </w:tcPr>
          <w:p>
            <w:pPr>
              <w:spacing w:before="0" w:after="0"/>
              <w:jc w:val="center"/>
            </w:pPr>
            <w:r>
              <w:rPr>
                <w:rFonts w:ascii="Calibri" w:cs="Calibri" w:eastAsia="Calibri" w:hAnsi="Calibri"/>
                <w:b/>
                <w:bCs/>
                <w:color w:val="B45309"/>
                <w:sz w:val="28"/>
                <w:szCs w:val="28"/>
              </w:rPr>
              <w:t xml:space="preserve">MVP2</w:t>
            </w:r>
          </w:p>
        </w:tc>
        <w:tc>
          <w:tcPr>
            <w:tcW w:type="dxa" w:w="7760"/>
            <w:tcBorders>
              <w:top w:val="single" w:color="B45309" w:sz="12"/>
              <w:left w:val="single" w:color="CBD5E1" w:sz="2"/>
              <w:bottom w:val="none" w:color="FFFFFF" w:sz="0"/>
              <w:right w:val="none" w:color="FFFFFF" w:sz="0"/>
            </w:tcBorders>
            <w:shd w:fill="F0F4FF" w:val="clear"/>
            <w:tcMar>
              <w:top w:type="dxa" w:w="140"/>
              <w:left w:type="dxa" w:w="160"/>
              <w:bottom w:type="dxa" w:w="140"/>
              <w:right w:type="dxa" w:w="160"/>
            </w:tcMar>
          </w:tcPr>
          <w:p>
            <w:pPr>
              <w:spacing w:before="0" w:after="0"/>
            </w:pPr>
            <w:r>
              <w:rPr>
                <w:rFonts w:ascii="Calibri" w:cs="Calibri" w:eastAsia="Calibri" w:hAnsi="Calibri"/>
                <w:b/>
                <w:bCs/>
                <w:color w:val="B45309"/>
                <w:sz w:val="28"/>
                <w:szCs w:val="28"/>
              </w:rPr>
              <w:t xml:space="preserve">Intake Classification — Smarter Prioritization</w:t>
            </w:r>
          </w:p>
        </w:tc>
      </w:tr>
    </w:tbl>
    <w:p>
      <w:pPr>
        <w:spacing w:before="0" w:after="80"/>
      </w:pPr>
    </w:p>
    <w:p>
      <w:pPr>
        <w:spacing w:before="80" w:after="80"/>
      </w:pPr>
      <w:r>
        <w:rPr>
          <w:rFonts w:ascii="Calibri" w:cs="Calibri" w:eastAsia="Calibri" w:hAnsi="Calibri"/>
          <w:b w:val="false"/>
          <w:bCs w:val="false"/>
          <w:i w:val="false"/>
          <w:iCs w:val="false"/>
          <w:color w:val="0F172A"/>
          <w:sz w:val="22"/>
          <w:szCs w:val="22"/>
        </w:rPr>
        <w:t xml:space="preserve">MVP2 adds intelligence to every submission: automatic classification of what the intake is, where it belongs in the existing portfolio structure, and what type of work it represents. Classification is the prerequisite for meaningful prioritization — you cannot prioritize a backlog you cannot categorize.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24"/>
              <w:bottom w:val="none" w:color="FFFFFF" w:sz="0"/>
              <w:right w:val="none" w:color="FFFFFF" w:sz="0"/>
            </w:tcBorders>
            <w:shd w:fill="FFFBEB" w:val="clear"/>
            <w:tcMar>
              <w:top w:type="dxa" w:w="120"/>
              <w:left w:type="dxa" w:w="200"/>
              <w:bottom w:type="dxa" w:w="120"/>
              <w:right w:type="dxa" w:w="120"/>
            </w:tcMar>
          </w:tcPr>
          <w:p>
            <w:pPr>
              <w:spacing w:before="0" w:after="0"/>
            </w:pPr>
            <w:r>
              <w:rPr>
                <w:rFonts w:ascii="Calibri" w:cs="Calibri" w:eastAsia="Calibri" w:hAnsi="Calibri"/>
                <w:b/>
                <w:bCs/>
                <w:color w:val="D97706"/>
                <w:sz w:val="22"/>
                <w:szCs w:val="22"/>
              </w:rPr>
              <w:t xml:space="preserve">◈  </w:t>
            </w:r>
            <w:r>
              <w:rPr>
                <w:rFonts w:ascii="Calibri" w:cs="Calibri" w:eastAsia="Calibri" w:hAnsi="Calibri"/>
                <w:color w:val="0F172A"/>
                <w:sz w:val="22"/>
                <w:szCs w:val="22"/>
              </w:rPr>
              <w:t xml:space="preserve">Classification answers the question every product lead asks but no static form can answer: is this new work, an extension of existing work, or work that belongs under an Epic that already exists?</w:t>
            </w:r>
          </w:p>
        </w:tc>
      </w:tr>
    </w:tbl>
    <w:p>
      <w:pPr>
        <w:spacing w:before="0" w:after="120"/>
      </w:pPr>
    </w:p>
    <w:p>
      <w:pPr>
        <w:spacing w:before="260" w:after="80"/>
      </w:pPr>
      <w:r>
        <w:rPr>
          <w:rFonts w:ascii="Calibri" w:cs="Calibri" w:eastAsia="Calibri" w:hAnsi="Calibri"/>
          <w:b/>
          <w:bCs/>
          <w:color w:val="B45309"/>
          <w:sz w:val="24"/>
          <w:szCs w:val="24"/>
        </w:rPr>
        <w:t xml:space="preserve">Three Classification Dimensions</w:t>
      </w:r>
    </w:p>
    <w:p>
      <w:pPr>
        <w:spacing w:before="0" w:after="80"/>
      </w:pPr>
    </w:p>
    <w:p>
      <w:pPr>
        <w:spacing w:before="200" w:after="60"/>
      </w:pPr>
      <w:r>
        <w:rPr>
          <w:rFonts w:ascii="Calibri" w:cs="Calibri" w:eastAsia="Calibri" w:hAnsi="Calibri"/>
          <w:b/>
          <w:bCs/>
          <w:color w:val="0D7377"/>
          <w:sz w:val="22"/>
          <w:szCs w:val="22"/>
        </w:rPr>
        <w:t xml:space="preserve">Dimension 1 — Work Type</w:t>
      </w:r>
    </w:p>
    <w:p>
      <w:pPr>
        <w:spacing w:before="80" w:after="80"/>
      </w:pPr>
      <w:r>
        <w:rPr>
          <w:rFonts w:ascii="Calibri" w:cs="Calibri" w:eastAsia="Calibri" w:hAnsi="Calibri"/>
          <w:b w:val="false"/>
          <w:bCs w:val="false"/>
          <w:i w:val="false"/>
          <w:iCs w:val="false"/>
          <w:color w:val="0F172A"/>
          <w:sz w:val="22"/>
          <w:szCs w:val="22"/>
        </w:rPr>
        <w:t xml:space="preserve">Every submission is classified by what kind of work it represents. This drives which review queue it enters, which approval path it follows, and which team owns it.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b/>
                <w:bCs/>
                <w:color w:val="FFFFFF"/>
                <w:sz w:val="18"/>
                <w:szCs w:val="18"/>
              </w:rPr>
              <w:t xml:space="preserve">Work Type</w:t>
            </w:r>
          </w:p>
        </w:tc>
        <w:tc>
          <w:tcPr>
            <w:tcW w:type="dxa" w:w="6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color w:val="FFFFFF"/>
                <w:sz w:val="20"/>
                <w:szCs w:val="20"/>
              </w:rPr>
              <w:t xml:space="preserve">What It Means for Prioritization and Routing</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Net New Initiative</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No existing Epic in the portfolio. Requires full new Epic creation, business case review, and resource allocation decision. Highest governance scrutiny.</w:t>
            </w:r>
          </w:p>
        </w:tc>
      </w:tr>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New Feature on Existing Epic</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Extends work already approved and in progress. Enters the existing Epic's backlog for sprint planning. No new Epic creation required — routes directly to the owning team.</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AI / GenAI Specific</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Triggers AI-specific review criteria: model risk assessment, data governance requirements, regulatory exposure screening. Routes to AI governance review queue in addition to standard flow.</w:t>
            </w:r>
          </w:p>
        </w:tc>
      </w:tr>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Automation</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Process automation request. Assessed for feasibility, process ownership, and integration complexity. Routes to automation delivery team with complexity pre-classified.</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Data / Analytics</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Reporting or insights request. Assessed for data availability, access requirements, and existing asset reuse opportunities identified in MVP1 detection.</w:t>
            </w:r>
          </w:p>
        </w:tc>
      </w:tr>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Support / Operational</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Operational triage request. Routes to the appropriate support team based on system ownership and urgency classification.</w:t>
            </w:r>
          </w:p>
        </w:tc>
      </w:tr>
    </w:tbl>
    <w:p>
      <w:pPr>
        <w:spacing w:before="0" w:after="120"/>
      </w:pPr>
    </w:p>
    <w:p>
      <w:pPr>
        <w:spacing w:before="200" w:after="60"/>
      </w:pPr>
      <w:r>
        <w:rPr>
          <w:rFonts w:ascii="Calibri" w:cs="Calibri" w:eastAsia="Calibri" w:hAnsi="Calibri"/>
          <w:b/>
          <w:bCs/>
          <w:color w:val="0D7377"/>
          <w:sz w:val="22"/>
          <w:szCs w:val="22"/>
        </w:rPr>
        <w:t xml:space="preserve">Dimension 2 — Portfolio Position</w:t>
      </w:r>
    </w:p>
    <w:p>
      <w:pPr>
        <w:spacing w:before="80" w:after="80"/>
      </w:pPr>
      <w:r>
        <w:rPr>
          <w:rFonts w:ascii="Calibri" w:cs="Calibri" w:eastAsia="Calibri" w:hAnsi="Calibri"/>
          <w:b w:val="false"/>
          <w:bCs w:val="false"/>
          <w:i w:val="false"/>
          <w:iCs w:val="false"/>
          <w:color w:val="0F172A"/>
          <w:sz w:val="22"/>
          <w:szCs w:val="22"/>
        </w:rPr>
        <w:t xml:space="preserve">Beyond work type, MVP2 determines where the submission sits relative to the existing Jira portfolio. This builds on MVP1's duplicate detection — once the system knows what already exists, it determines the structural relationship between a new submission and the existing landscape.</w:t>
      </w:r>
    </w:p>
    <w:p>
      <w:pPr>
        <w:spacing w:before="0" w:after="80"/>
      </w:pPr>
    </w:p>
    <w:p>
      <w:pPr>
        <w:pStyle w:val="ListParagraph"/>
        <w:numPr>
          <w:ilvl w:val="0"/>
          <w:numId w:val="2"/>
        </w:numPr>
        <w:spacing w:before="60" w:after="60"/>
      </w:pPr>
      <w:r>
        <w:rPr>
          <w:rFonts w:ascii="Calibri" w:cs="Calibri" w:eastAsia="Calibri" w:hAnsi="Calibri"/>
          <w:color w:val="0F172A"/>
          <w:sz w:val="22"/>
          <w:szCs w:val="22"/>
        </w:rPr>
        <w:t xml:space="preserve">Does an existing Epic already own this problem space? The submission becomes a feature candidate under that Epic, not a new initiative.</w:t>
      </w:r>
    </w:p>
    <w:p>
      <w:pPr>
        <w:pStyle w:val="ListParagraph"/>
        <w:numPr>
          <w:ilvl w:val="0"/>
          <w:numId w:val="2"/>
        </w:numPr>
        <w:spacing w:before="60" w:after="60"/>
      </w:pPr>
      <w:r>
        <w:rPr>
          <w:rFonts w:ascii="Calibri" w:cs="Calibri" w:eastAsia="Calibri" w:hAnsi="Calibri"/>
          <w:color w:val="0F172A"/>
          <w:sz w:val="22"/>
          <w:szCs w:val="22"/>
        </w:rPr>
        <w:t xml:space="preserve">Is there related work in progress that this submission should be coordinated with, even if not a duplicate? The submission is flagged for cross-team coordination before planning begins.</w:t>
      </w:r>
    </w:p>
    <w:p>
      <w:pPr>
        <w:pStyle w:val="ListParagraph"/>
        <w:numPr>
          <w:ilvl w:val="0"/>
          <w:numId w:val="2"/>
        </w:numPr>
        <w:spacing w:before="60" w:after="60"/>
      </w:pPr>
      <w:r>
        <w:rPr>
          <w:rFonts w:ascii="Calibri" w:cs="Calibri" w:eastAsia="Calibri" w:hAnsi="Calibri"/>
          <w:color w:val="0F172A"/>
          <w:sz w:val="22"/>
          <w:szCs w:val="22"/>
        </w:rPr>
        <w:t xml:space="preserve">Is this genuinely net new with no existing Epic or related work? The submission enters the new initiative queue for full business case review.</w:t>
      </w:r>
    </w:p>
    <w:p>
      <w:pPr>
        <w:spacing w:before="0" w:after="120"/>
      </w:pPr>
    </w:p>
    <w:p>
      <w:pPr>
        <w:spacing w:before="200" w:after="60"/>
      </w:pPr>
      <w:r>
        <w:rPr>
          <w:rFonts w:ascii="Calibri" w:cs="Calibri" w:eastAsia="Calibri" w:hAnsi="Calibri"/>
          <w:b/>
          <w:bCs/>
          <w:color w:val="0D7377"/>
          <w:sz w:val="22"/>
          <w:szCs w:val="22"/>
        </w:rPr>
        <w:t xml:space="preserve">Dimension 3 — Prioritization Inputs</w:t>
      </w:r>
    </w:p>
    <w:p>
      <w:pPr>
        <w:spacing w:before="80" w:after="80"/>
      </w:pPr>
      <w:r>
        <w:rPr>
          <w:rFonts w:ascii="Calibri" w:cs="Calibri" w:eastAsia="Calibri" w:hAnsi="Calibri"/>
          <w:b w:val="false"/>
          <w:bCs w:val="false"/>
          <w:i w:val="false"/>
          <w:iCs w:val="false"/>
          <w:color w:val="0F172A"/>
          <w:sz w:val="22"/>
          <w:szCs w:val="22"/>
        </w:rPr>
        <w:t xml:space="preserve">Classification does not produce a priority ranking — prioritization is a human decision. What classification produces is the structured inputs that make that decision faster and better-grounded. The two inputs that matter most in this context:</w:t>
      </w:r>
    </w:p>
    <w:p>
      <w:pPr>
        <w:spacing w:before="0" w:after="80"/>
      </w:pPr>
    </w:p>
    <w:p>
      <w:pPr>
        <w:pStyle w:val="ListParagraph"/>
        <w:numPr>
          <w:ilvl w:val="0"/>
          <w:numId w:val="2"/>
        </w:numPr>
        <w:spacing w:before="60" w:after="60"/>
      </w:pPr>
      <w:r>
        <w:rPr>
          <w:rFonts w:ascii="Calibri" w:cs="Calibri" w:eastAsia="Calibri" w:hAnsi="Calibri"/>
          <w:b/>
          <w:bCs/>
          <w:color w:val="0F172A"/>
          <w:sz w:val="22"/>
          <w:szCs w:val="22"/>
        </w:rPr>
        <w:t xml:space="preserve">Resource availability — </w:t>
      </w:r>
      <w:r>
        <w:rPr>
          <w:rFonts w:ascii="Calibri" w:cs="Calibri" w:eastAsia="Calibri" w:hAnsi="Calibri"/>
          <w:color w:val="0F172A"/>
          <w:sz w:val="22"/>
          <w:szCs w:val="22"/>
        </w:rPr>
        <w:t xml:space="preserve">Does the team that would own this work have capacity? Classification routes submissions to the right team and surfaces the complexity tier, giving team leads the information needed to assess manpower impact before a commitment is made.</w:t>
      </w:r>
    </w:p>
    <w:p>
      <w:pPr>
        <w:pStyle w:val="ListParagraph"/>
        <w:numPr>
          <w:ilvl w:val="0"/>
          <w:numId w:val="2"/>
        </w:numPr>
        <w:spacing w:before="60" w:after="60"/>
      </w:pPr>
      <w:r>
        <w:rPr>
          <w:rFonts w:ascii="Calibri" w:cs="Calibri" w:eastAsia="Calibri" w:hAnsi="Calibri"/>
          <w:b/>
          <w:bCs/>
          <w:color w:val="0F172A"/>
          <w:sz w:val="22"/>
          <w:szCs w:val="22"/>
        </w:rPr>
        <w:t xml:space="preserve">OKR alignment — </w:t>
      </w:r>
      <w:r>
        <w:rPr>
          <w:rFonts w:ascii="Calibri" w:cs="Calibri" w:eastAsia="Calibri" w:hAnsi="Calibri"/>
          <w:color w:val="0F172A"/>
          <w:sz w:val="22"/>
          <w:szCs w:val="22"/>
        </w:rPr>
        <w:t xml:space="preserve">Does this work map to a current group or enterprise OKR? Classification tags each submission with its work type and portfolio position — the signals that allow reviewers to quickly assess whether this request is in-scope for the current planning period or should be deferred.</w:t>
      </w:r>
    </w:p>
    <w:p>
      <w:pPr>
        <w:spacing w:before="0" w:after="80"/>
      </w:pPr>
    </w:p>
    <w:p>
      <w:pPr>
        <w:spacing w:before="80" w:after="80"/>
      </w:pPr>
      <w:r>
        <w:rPr>
          <w:rFonts w:ascii="Calibri" w:cs="Calibri" w:eastAsia="Calibri" w:hAnsi="Calibri"/>
          <w:b w:val="false"/>
          <w:bCs w:val="false"/>
          <w:i w:val="false"/>
          <w:iCs w:val="false"/>
          <w:color w:val="0F172A"/>
          <w:sz w:val="22"/>
          <w:szCs w:val="22"/>
        </w:rPr>
        <w:t xml:space="preserve">Product leads and team leads receive submissions with these inputs already assembled. They are not reconstructing context from a blank form at the start of a prioritization meeting — the classification layer has already answered the questions that typically consume the first half of that conversation.</w:t>
      </w:r>
    </w:p>
    <w:p>
      <w:pPr>
        <w:spacing w:before="0" w:after="120"/>
      </w:pPr>
    </w:p>
    <w:p>
      <w:pPr>
        <w:spacing w:before="200" w:after="60"/>
      </w:pPr>
      <w:r>
        <w:rPr>
          <w:rFonts w:ascii="Calibri" w:cs="Calibri" w:eastAsia="Calibri" w:hAnsi="Calibri"/>
          <w:b/>
          <w:bCs/>
          <w:color w:val="0D7377"/>
          <w:sz w:val="22"/>
          <w:szCs w:val="22"/>
        </w:rPr>
        <w:t xml:space="preserve">The Classification Summary — How to Say It in 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32"/>
              <w:bottom w:val="none" w:color="FFFFFF" w:sz="0"/>
              <w:right w:val="none" w:color="FFFFFF" w:sz="0"/>
            </w:tcBorders>
            <w:shd w:fill="F8FAFC" w:val="clear"/>
            <w:tcMar>
              <w:top w:type="dxa" w:w="120"/>
              <w:left w:type="dxa" w:w="220"/>
              <w:bottom w:type="dxa" w:w="120"/>
              <w:right w:type="dxa" w:w="120"/>
            </w:tcMar>
          </w:tcPr>
          <w:p>
            <w:pPr>
              <w:spacing w:before="0" w:after="0"/>
            </w:pPr>
            <w:r>
              <w:rPr>
                <w:rFonts w:ascii="Calibri" w:cs="Calibri" w:eastAsia="Calibri" w:hAnsi="Calibri"/>
                <w:i/>
                <w:iCs/>
                <w:color w:val="0F172A"/>
                <w:sz w:val="22"/>
                <w:szCs w:val="22"/>
              </w:rPr>
              <w:t xml:space="preserve">Without classification, a backlog is a list. With classification, a backlog is a portfolio. MVP2 turns 120+ intake submissions into a structured view of organizational demand — organized by type, positioned against existing work, and tagged with the capacity and OKR signals that drive prioritization decisions.</w:t>
            </w:r>
          </w:p>
        </w:tc>
      </w:tr>
    </w:tbl>
    <w:p>
      <w:pPr>
        <w:spacing w:before="0" w:after="200"/>
      </w:pPr>
    </w:p>
    <w:p>
      <w:pPr>
        <w:pBdr>
          <w:bottom w:val="single" w:color="B45309" w:sz="8"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6D28D9" w:sz="12"/>
              <w:left w:val="none" w:color="FFFFFF" w:sz="0"/>
              <w:bottom w:val="none" w:color="FFFFFF" w:sz="0"/>
              <w:right w:val="none" w:color="FFFFFF" w:sz="0"/>
            </w:tcBorders>
            <w:shd w:fill="F0F4FF" w:val="clear"/>
            <w:tcMar>
              <w:top w:type="dxa" w:w="140"/>
              <w:left w:type="dxa" w:w="160"/>
              <w:bottom w:type="dxa" w:w="140"/>
              <w:right w:type="dxa" w:w="160"/>
            </w:tcMar>
          </w:tcPr>
          <w:p>
            <w:pPr>
              <w:spacing w:before="0" w:after="0"/>
              <w:jc w:val="center"/>
            </w:pPr>
            <w:r>
              <w:rPr>
                <w:rFonts w:ascii="Calibri" w:cs="Calibri" w:eastAsia="Calibri" w:hAnsi="Calibri"/>
                <w:b/>
                <w:bCs/>
                <w:color w:val="6D28D9"/>
                <w:sz w:val="28"/>
                <w:szCs w:val="28"/>
              </w:rPr>
              <w:t xml:space="preserve">MVP3</w:t>
            </w:r>
          </w:p>
        </w:tc>
        <w:tc>
          <w:tcPr>
            <w:tcW w:type="dxa" w:w="7760"/>
            <w:tcBorders>
              <w:top w:val="single" w:color="6D28D9" w:sz="12"/>
              <w:left w:val="single" w:color="CBD5E1" w:sz="2"/>
              <w:bottom w:val="none" w:color="FFFFFF" w:sz="0"/>
              <w:right w:val="none" w:color="FFFFFF" w:sz="0"/>
            </w:tcBorders>
            <w:shd w:fill="F0F4FF" w:val="clear"/>
            <w:tcMar>
              <w:top w:type="dxa" w:w="140"/>
              <w:left w:type="dxa" w:w="160"/>
              <w:bottom w:type="dxa" w:w="140"/>
              <w:right w:type="dxa" w:w="160"/>
            </w:tcMar>
          </w:tcPr>
          <w:p>
            <w:pPr>
              <w:spacing w:before="0" w:after="0"/>
            </w:pPr>
            <w:r>
              <w:rPr>
                <w:rFonts w:ascii="Calibri" w:cs="Calibri" w:eastAsia="Calibri" w:hAnsi="Calibri"/>
                <w:b/>
                <w:bCs/>
                <w:color w:val="6D28D9"/>
                <w:sz w:val="28"/>
                <w:szCs w:val="28"/>
              </w:rPr>
              <w:t xml:space="preserve">Agile Artifact Generation — Compliance at Creation Time</w:t>
            </w:r>
          </w:p>
        </w:tc>
      </w:tr>
    </w:tbl>
    <w:p>
      <w:pPr>
        <w:spacing w:before="0" w:after="80"/>
      </w:pPr>
    </w:p>
    <w:p>
      <w:pPr>
        <w:spacing w:before="80" w:after="80"/>
      </w:pPr>
      <w:r>
        <w:rPr>
          <w:rFonts w:ascii="Calibri" w:cs="Calibri" w:eastAsia="Calibri" w:hAnsi="Calibri"/>
          <w:b w:val="false"/>
          <w:bCs w:val="false"/>
          <w:i w:val="false"/>
          <w:iCs w:val="false"/>
          <w:color w:val="0F172A"/>
          <w:sz w:val="22"/>
          <w:szCs w:val="22"/>
        </w:rPr>
        <w:t xml:space="preserve">MVP3 closes the loop between intake and execution. After a submission has been validated for quality (MVP0), cleared of duplication (MVP1), and classified into the portfolio structure (MVP2), MVP3 automatically generates the Jira agile artifacts required to begin delivery — structured to comply with company Jira artifact standards from the moment they are created.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24"/>
              <w:bottom w:val="none" w:color="FFFFFF" w:sz="0"/>
              <w:right w:val="none" w:color="FFFFFF" w:sz="0"/>
            </w:tcBorders>
            <w:shd w:fill="EEF4FB" w:val="clear"/>
            <w:tcMar>
              <w:top w:type="dxa" w:w="120"/>
              <w:left w:type="dxa" w:w="200"/>
              <w:bottom w:type="dxa" w:w="120"/>
              <w:right w:type="dxa" w:w="120"/>
            </w:tcMar>
          </w:tcPr>
          <w:p>
            <w:pPr>
              <w:spacing w:before="0" w:after="0"/>
            </w:pPr>
            <w:r>
              <w:rPr>
                <w:rFonts w:ascii="Calibri" w:cs="Calibri" w:eastAsia="Calibri" w:hAnsi="Calibri"/>
                <w:b/>
                <w:bCs/>
                <w:color w:val="0D7377"/>
                <w:sz w:val="22"/>
                <w:szCs w:val="22"/>
              </w:rPr>
              <w:t xml:space="preserve">ℹ  </w:t>
            </w:r>
            <w:r>
              <w:rPr>
                <w:rFonts w:ascii="Calibri" w:cs="Calibri" w:eastAsia="Calibri" w:hAnsi="Calibri"/>
                <w:color w:val="0F172A"/>
                <w:sz w:val="22"/>
                <w:szCs w:val="22"/>
              </w:rPr>
              <w:t xml:space="preserve">Agile artifact quality is the same problem as intake quality — except it surfaces three sprints into delivery instead of at submission time. MVP3 moves the compliance check to the moment of creation.</w:t>
            </w:r>
          </w:p>
        </w:tc>
      </w:tr>
    </w:tbl>
    <w:p>
      <w:pPr>
        <w:spacing w:before="0" w:after="120"/>
      </w:pPr>
    </w:p>
    <w:p>
      <w:pPr>
        <w:spacing w:before="260" w:after="80"/>
      </w:pPr>
      <w:r>
        <w:rPr>
          <w:rFonts w:ascii="Calibri" w:cs="Calibri" w:eastAsia="Calibri" w:hAnsi="Calibri"/>
          <w:b/>
          <w:bCs/>
          <w:color w:val="6D28D9"/>
          <w:sz w:val="24"/>
          <w:szCs w:val="24"/>
        </w:rPr>
        <w:t xml:space="preserve">Three Failure Modes MVP3 Eliminates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b/>
                <w:bCs/>
                <w:color w:val="FFFFFF"/>
                <w:sz w:val="18"/>
                <w:szCs w:val="18"/>
              </w:rPr>
              <w:t xml:space="preserve">Failure Mode</w:t>
            </w:r>
          </w:p>
        </w:tc>
        <w:tc>
          <w:tcPr>
            <w:tcW w:type="dxa" w:w="6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color w:val="FFFFFF"/>
                <w:sz w:val="20"/>
                <w:szCs w:val="20"/>
              </w:rPr>
              <w:t xml:space="preserve">What Happens Without Artifact Generation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Non-Compliant Artifacts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Teams create Jira Epics, Stories, and acceptance criteria that do not meet company artifact standards. Compliance is caught — if at all — during sprint review or audit, not at creation. Remediation mid-sprint is costly and disruptive.</w:t>
            </w:r>
          </w:p>
        </w:tc>
      </w:tr>
      <w:tr>
        <w:tc>
          <w:tcPr>
            <w:tcW w:type="dxa" w:w="28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Incomplete Stories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User stories are created without required fields: acceptance criteria, definition of done, dependency links, regulatory tags. Reviewers and scrum masters chase completeness the same way intake reviewers chase clarification — a familiar and avoidable cycle.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Wasted Scoping Time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Engineers and product managers spend significant sprint planning time translating an approved intake into Jira artifacts. This translation is largely mechanical — it applies known templates to structured intake data. MVP3 does it automatically.</w:t>
            </w:r>
          </w:p>
        </w:tc>
      </w:tr>
    </w:tbl>
    <w:p>
      <w:pPr>
        <w:spacing w:before="0" w:after="120"/>
      </w:pPr>
    </w:p>
    <w:p>
      <w:pPr>
        <w:spacing w:before="260" w:after="80"/>
      </w:pPr>
      <w:r>
        <w:rPr>
          <w:rFonts w:ascii="Calibri" w:cs="Calibri" w:eastAsia="Calibri" w:hAnsi="Calibri"/>
          <w:b/>
          <w:bCs/>
          <w:color w:val="6D28D9"/>
          <w:sz w:val="24"/>
          <w:szCs w:val="24"/>
        </w:rPr>
        <w:t xml:space="preserve">What MVP3 Generates</w:t>
      </w:r>
    </w:p>
    <w:p>
      <w:pPr>
        <w:spacing w:before="80" w:after="80"/>
      </w:pPr>
      <w:r>
        <w:rPr>
          <w:rFonts w:ascii="Calibri" w:cs="Calibri" w:eastAsia="Calibri" w:hAnsi="Calibri"/>
          <w:b w:val="false"/>
          <w:bCs w:val="false"/>
          <w:i w:val="false"/>
          <w:iCs w:val="false"/>
          <w:color w:val="0F172A"/>
          <w:sz w:val="22"/>
          <w:szCs w:val="22"/>
        </w:rPr>
        <w:t xml:space="preserve">Using the validated, classified intake data as its source, MVP3 generates a full Jira artifact set — compliant with company policies at the moment of creation:</w:t>
      </w:r>
    </w:p>
    <w:p>
      <w:pPr>
        <w:spacing w:before="0" w:after="80"/>
      </w:pPr>
    </w:p>
    <w:p>
      <w:pPr>
        <w:pStyle w:val="ListParagraph"/>
        <w:numPr>
          <w:ilvl w:val="0"/>
          <w:numId w:val="2"/>
        </w:numPr>
        <w:spacing w:before="60" w:after="60"/>
      </w:pPr>
      <w:r>
        <w:rPr>
          <w:rFonts w:ascii="Calibri" w:cs="Calibri" w:eastAsia="Calibri" w:hAnsi="Calibri"/>
          <w:b/>
          <w:bCs/>
          <w:color w:val="0F172A"/>
          <w:sz w:val="22"/>
          <w:szCs w:val="22"/>
        </w:rPr>
        <w:t xml:space="preserve">Epic definition with required fields pre-populated from intake responses and classification output </w:t>
      </w:r>
      <w:r>
        <w:rPr>
          <w:rFonts w:ascii="Calibri" w:cs="Calibri" w:eastAsia="Calibri" w:hAnsi="Calibri"/>
          <w:color w:val="0F172A"/>
          <w:sz w:val="22"/>
          <w:szCs w:val="22"/>
        </w:rPr>
        <w:t xml:space="preserve">Epic —</w:t>
      </w:r>
    </w:p>
    <w:p>
      <w:pPr>
        <w:pStyle w:val="ListParagraph"/>
        <w:numPr>
          <w:ilvl w:val="0"/>
          <w:numId w:val="2"/>
        </w:numPr>
        <w:spacing w:before="60" w:after="60"/>
      </w:pPr>
      <w:r>
        <w:rPr>
          <w:rFonts w:ascii="Calibri" w:cs="Calibri" w:eastAsia="Calibri" w:hAnsi="Calibri"/>
          <w:b/>
          <w:bCs/>
          <w:color w:val="0F172A"/>
          <w:sz w:val="22"/>
          <w:szCs w:val="22"/>
        </w:rPr>
        <w:t xml:space="preserve">User stories broken down from the intake scope, each with structured acceptance criteria following the company definition-of-done standard </w:t>
      </w:r>
      <w:r>
        <w:rPr>
          <w:rFonts w:ascii="Calibri" w:cs="Calibri" w:eastAsia="Calibri" w:hAnsi="Calibri"/>
          <w:color w:val="0F172A"/>
          <w:sz w:val="22"/>
          <w:szCs w:val="22"/>
        </w:rPr>
        <w:t xml:space="preserve">Stories —</w:t>
      </w:r>
    </w:p>
    <w:p>
      <w:pPr>
        <w:pStyle w:val="ListParagraph"/>
        <w:numPr>
          <w:ilvl w:val="0"/>
          <w:numId w:val="2"/>
        </w:numPr>
        <w:spacing w:before="60" w:after="60"/>
      </w:pPr>
      <w:r>
        <w:rPr>
          <w:rFonts w:ascii="Calibri" w:cs="Calibri" w:eastAsia="Calibri" w:hAnsi="Calibri"/>
          <w:b/>
          <w:bCs/>
          <w:color w:val="0F172A"/>
          <w:sz w:val="22"/>
          <w:szCs w:val="22"/>
        </w:rPr>
        <w:t xml:space="preserve">Dependency links populated based on MVP1 duplicate detection output and MVP2 portfolio position data </w:t>
      </w:r>
      <w:r>
        <w:rPr>
          <w:rFonts w:ascii="Calibri" w:cs="Calibri" w:eastAsia="Calibri" w:hAnsi="Calibri"/>
          <w:color w:val="0F172A"/>
          <w:sz w:val="22"/>
          <w:szCs w:val="22"/>
        </w:rPr>
        <w:t xml:space="preserve">Dependencies —</w:t>
      </w:r>
    </w:p>
    <w:p>
      <w:pPr>
        <w:pStyle w:val="ListParagraph"/>
        <w:numPr>
          <w:ilvl w:val="0"/>
          <w:numId w:val="2"/>
        </w:numPr>
        <w:spacing w:before="60" w:after="60"/>
      </w:pPr>
      <w:r>
        <w:rPr>
          <w:rFonts w:ascii="Calibri" w:cs="Calibri" w:eastAsia="Calibri" w:hAnsi="Calibri"/>
          <w:b/>
          <w:bCs/>
          <w:color w:val="0F172A"/>
          <w:sz w:val="22"/>
          <w:szCs w:val="22"/>
        </w:rPr>
        <w:t xml:space="preserve">Regulatory and governance tags applied automatically based on work type classification (AI, data, automation) </w:t>
      </w:r>
      <w:r>
        <w:rPr>
          <w:rFonts w:ascii="Calibri" w:cs="Calibri" w:eastAsia="Calibri" w:hAnsi="Calibri"/>
          <w:color w:val="0F172A"/>
          <w:sz w:val="22"/>
          <w:szCs w:val="22"/>
        </w:rPr>
        <w:t xml:space="preserve">Tags —</w:t>
      </w:r>
    </w:p>
    <w:p>
      <w:pPr>
        <w:pStyle w:val="ListParagraph"/>
        <w:numPr>
          <w:ilvl w:val="0"/>
          <w:numId w:val="2"/>
        </w:numPr>
        <w:spacing w:before="60" w:after="60"/>
      </w:pPr>
      <w:r>
        <w:rPr>
          <w:rFonts w:ascii="Calibri" w:cs="Calibri" w:eastAsia="Calibri" w:hAnsi="Calibri"/>
          <w:b/>
          <w:bCs/>
          <w:color w:val="0F172A"/>
          <w:sz w:val="22"/>
          <w:szCs w:val="22"/>
        </w:rPr>
        <w:t xml:space="preserve">Complexity tier from MVP2 classification feeds initial story point guidance for sprint planning </w:t>
      </w:r>
      <w:r>
        <w:rPr>
          <w:rFonts w:ascii="Calibri" w:cs="Calibri" w:eastAsia="Calibri" w:hAnsi="Calibri"/>
          <w:color w:val="0F172A"/>
          <w:sz w:val="22"/>
          <w:szCs w:val="22"/>
        </w:rPr>
        <w:t xml:space="preserve">Estimates —</w:t>
      </w:r>
    </w:p>
    <w:p>
      <w:pPr>
        <w:spacing w:before="0" w:after="120"/>
      </w:pPr>
    </w:p>
    <w:p>
      <w:pPr>
        <w:spacing w:before="260" w:after="80"/>
      </w:pPr>
      <w:r>
        <w:rPr>
          <w:rFonts w:ascii="Calibri" w:cs="Calibri" w:eastAsia="Calibri" w:hAnsi="Calibri"/>
          <w:b/>
          <w:bCs/>
          <w:color w:val="6D28D9"/>
          <w:sz w:val="24"/>
          <w:szCs w:val="24"/>
        </w:rPr>
        <w:t xml:space="preserve">Compliance at Creation Time</w:t>
      </w:r>
    </w:p>
    <w:p>
      <w:pPr>
        <w:spacing w:before="80" w:after="80"/>
      </w:pPr>
      <w:r>
        <w:rPr>
          <w:rFonts w:ascii="Calibri" w:cs="Calibri" w:eastAsia="Calibri" w:hAnsi="Calibri"/>
          <w:b w:val="false"/>
          <w:bCs w:val="false"/>
          <w:i w:val="false"/>
          <w:iCs w:val="false"/>
          <w:color w:val="0F172A"/>
          <w:sz w:val="22"/>
          <w:szCs w:val="22"/>
        </w:rPr>
        <w:t xml:space="preserve">Company Jira policies define what a compliant artifact looks like: required fields, naming conventions, acceptance criteria format, dependency documentation, regulatory tagging. Today, compliance is assessed after the fact — in sprint reviews, audits, or when artifacts fail a process gate. MVP3 makes compliance the starting condition, not the audit outcome.</w:t>
      </w:r>
    </w:p>
    <w:p>
      <w:pPr>
        <w:spacing w:before="0" w:after="80"/>
      </w:pPr>
    </w:p>
    <w:p>
      <w:pPr>
        <w:spacing w:before="80" w:after="80"/>
      </w:pPr>
      <w:r>
        <w:rPr>
          <w:rFonts w:ascii="Calibri" w:cs="Calibri" w:eastAsia="Calibri" w:hAnsi="Calibri"/>
          <w:b w:val="false"/>
          <w:bCs w:val="false"/>
          <w:i w:val="false"/>
          <w:iCs w:val="false"/>
          <w:color w:val="0F172A"/>
          <w:sz w:val="22"/>
          <w:szCs w:val="22"/>
        </w:rPr>
        <w:t xml:space="preserve">The platform has all the data it needs because it collected, validated, and classified the intake. Generating a compliant artifact from that data is the natural final step of a process that has been building toward it from the first question of the intake conversation.</w:t>
      </w:r>
    </w:p>
    <w:p>
      <w:pPr>
        <w:spacing w:before="0" w:after="120"/>
      </w:pPr>
    </w:p>
    <w:p>
      <w:pPr>
        <w:spacing w:before="200" w:after="60"/>
      </w:pPr>
      <w:r>
        <w:rPr>
          <w:rFonts w:ascii="Calibri" w:cs="Calibri" w:eastAsia="Calibri" w:hAnsi="Calibri"/>
          <w:b/>
          <w:bCs/>
          <w:color w:val="0D7377"/>
          <w:sz w:val="22"/>
          <w:szCs w:val="22"/>
        </w:rPr>
        <w:t xml:space="preserve">The Artifact Generation Summary — How to Say It in 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32"/>
              <w:bottom w:val="none" w:color="FFFFFF" w:sz="0"/>
              <w:right w:val="none" w:color="FFFFFF" w:sz="0"/>
            </w:tcBorders>
            <w:shd w:fill="F8FAFC" w:val="clear"/>
            <w:tcMar>
              <w:top w:type="dxa" w:w="120"/>
              <w:left w:type="dxa" w:w="220"/>
              <w:bottom w:type="dxa" w:w="120"/>
              <w:right w:type="dxa" w:w="120"/>
            </w:tcMar>
          </w:tcPr>
          <w:p>
            <w:pPr>
              <w:spacing w:before="0" w:after="0"/>
            </w:pPr>
            <w:r>
              <w:rPr>
                <w:rFonts w:ascii="Calibri" w:cs="Calibri" w:eastAsia="Calibri" w:hAnsi="Calibri"/>
                <w:i/>
                <w:iCs/>
                <w:color w:val="0F172A"/>
                <w:sz w:val="22"/>
                <w:szCs w:val="22"/>
              </w:rPr>
              <w:t xml:space="preserve">By the time MVP3 runs, the system already knows everything a Jira artifact needs to contain. It collected it in the intake conversation, validated it against quality criteria, checked it against the existing portfolio, and classified it into the right work type. Generating a compliant Epic and story set is not a new capability — it is the final output of a process that has been accumulating the right data all along.</w:t>
            </w:r>
          </w:p>
        </w:tc>
      </w:tr>
    </w:tbl>
    <w:p>
      <w:pPr>
        <w:spacing w:before="0" w:after="200"/>
      </w:pPr>
    </w:p>
    <w:p>
      <w:pPr>
        <w:pBdr>
          <w:bottom w:val="single" w:color="6D28D9" w:sz="8" w:space="1"/>
        </w:pBdr>
        <w:spacing w:before="300" w:after="300"/>
      </w:pPr>
    </w:p>
    <w:p>
      <w:pPr>
        <w:pStyle w:val="Heading2"/>
        <w:spacing w:before="320" w:after="100"/>
      </w:pPr>
      <w:r>
        <w:rPr>
          <w:rFonts w:ascii="Calibri" w:cs="Calibri" w:eastAsia="Calibri" w:hAnsi="Calibri"/>
          <w:b/>
          <w:bCs/>
          <w:color w:val="0D7377"/>
          <w:sz w:val="28"/>
          <w:szCs w:val="28"/>
        </w:rPr>
        <w:t xml:space="preserve">Roadmap Summary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b/>
                <w:bCs/>
                <w:color w:val="FFFFFF"/>
                <w:sz w:val="18"/>
                <w:szCs w:val="18"/>
              </w:rPr>
              <w:t xml:space="preserve">Phase</w:t>
            </w:r>
          </w:p>
        </w:tc>
        <w:tc>
          <w:tcPr>
            <w:tcW w:type="dxa" w:w="40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color w:val="FFFFFF"/>
                <w:sz w:val="20"/>
                <w:szCs w:val="20"/>
              </w:rPr>
              <w:t xml:space="preserve">Capability Added</w:t>
            </w:r>
          </w:p>
        </w:tc>
        <w:tc>
          <w:tcPr>
            <w:tcW w:type="dxa" w:w="30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color w:val="FFFFFF"/>
                <w:sz w:val="20"/>
                <w:szCs w:val="20"/>
              </w:rPr>
              <w:t xml:space="preserve">What It Eliminates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MVP0 — Quality</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Validated, complete, guideline-adherent submissions before any Jira ticket is created</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Reviewer back-and-forth, vague submissions, incomplete forms reaching the backlog</w:t>
            </w:r>
          </w:p>
        </w:tc>
      </w:tr>
      <w:tr>
        <w:tc>
          <w:tcPr>
            <w:tcW w:type="dxa" w:w="22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MVP1 — Duplication</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Three-layer cross-portfolio duplicate search across all 120+ intake types and existing Jira Epics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Redundant builds, missed collaboration, parallel workstreams discovered mid-development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MVP2 — Classification</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Automatic work type classification, portfolio positioning, and priority signal generation</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Unstructured backlogs, prioritization without context, new Epics for existing problem spaces</w:t>
            </w:r>
          </w:p>
        </w:tc>
      </w:tr>
      <w:tr>
        <w:tc>
          <w:tcPr>
            <w:tcW w:type="dxa" w:w="22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MVP3 — Artifacts</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Auto-generated, policy-compliant Jira Epics, stories, and acceptance criteria from validated intake data</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Non-compliant artifacts, translation overhead, mid-sprint compliance remediation</w:t>
            </w:r>
          </w:p>
        </w:tc>
      </w:tr>
    </w:tbl>
    <w:p>
      <w:pPr>
        <w:spacing w:before="0" w:after="200"/>
      </w:pPr>
    </w:p>
    <w:p>
      <w:pPr>
        <w:pBdr>
          <w:bottom w:val="single" w:color="CBD5E1" w:sz="4" w:space="1"/>
        </w:pBdr>
        <w:spacing w:before="300" w:after="300"/>
      </w:pPr>
    </w:p>
    <w:p>
      <w:pPr>
        <w:pStyle w:val="Heading2"/>
        <w:spacing w:before="320" w:after="100"/>
      </w:pPr>
      <w:r>
        <w:rPr>
          <w:rFonts w:ascii="Calibri" w:cs="Calibri" w:eastAsia="Calibri" w:hAnsi="Calibri"/>
          <w:b/>
          <w:bCs/>
          <w:color w:val="0D7377"/>
          <w:sz w:val="28"/>
          <w:szCs w:val="28"/>
        </w:rPr>
        <w:t xml:space="preserve">Proposed Path Forward: 60-Day Parallel Pilot</w:t>
      </w:r>
    </w:p>
    <w:p>
      <w:pPr>
        <w:spacing w:before="80" w:after="80"/>
      </w:pPr>
      <w:r>
        <w:rPr>
          <w:rFonts w:ascii="Calibri" w:cs="Calibri" w:eastAsia="Calibri" w:hAnsi="Calibri"/>
          <w:b w:val="false"/>
          <w:bCs w:val="false"/>
          <w:i w:val="false"/>
          <w:iCs w:val="false"/>
          <w:color w:val="0F172A"/>
          <w:sz w:val="22"/>
          <w:szCs w:val="22"/>
        </w:rPr>
        <w:t xml:space="preserve">The platform is operational with MVP0 complete and 12 intake configurations active. The proposed next step is a 60-day parallel pilot with one or two business lines — running alongside the current intake process, not replacing it.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2"/>
              <w:left w:val="single" w:color="059669" w:sz="24"/>
              <w:bottom w:val="none" w:color="FFFFFF" w:sz="0"/>
              <w:right w:val="none" w:color="FFFFFF" w:sz="0"/>
            </w:tcBorders>
            <w:shd w:fill="ECFDF5" w:val="clear"/>
            <w:tcMar>
              <w:top w:type="dxa" w:w="120"/>
              <w:left w:type="dxa" w:w="200"/>
              <w:bottom w:type="dxa" w:w="120"/>
              <w:right w:type="dxa" w:w="120"/>
            </w:tcMar>
          </w:tcPr>
          <w:p>
            <w:pPr>
              <w:spacing w:before="0" w:after="0"/>
            </w:pPr>
            <w:r>
              <w:rPr>
                <w:rFonts w:ascii="Calibri" w:cs="Calibri" w:eastAsia="Calibri" w:hAnsi="Calibri"/>
                <w:b/>
                <w:bCs/>
                <w:color w:val="059669"/>
                <w:sz w:val="22"/>
                <w:szCs w:val="22"/>
              </w:rPr>
              <w:t xml:space="preserve">✓  </w:t>
            </w:r>
            <w:r>
              <w:rPr>
                <w:rFonts w:ascii="Calibri" w:cs="Calibri" w:eastAsia="Calibri" w:hAnsi="Calibri"/>
                <w:color w:val="0F172A"/>
                <w:sz w:val="22"/>
                <w:szCs w:val="22"/>
              </w:rPr>
              <w:t xml:space="preserve">No existing process is disrupted during the pilot. Teams continue current intake processes in parallel. The platform runs as an additive triage layer only.</w:t>
            </w:r>
          </w:p>
        </w:tc>
      </w:tr>
    </w:tbl>
    <w:p>
      <w:pPr>
        <w:spacing w:before="0" w:after="120"/>
      </w:pPr>
    </w:p>
    <w:p>
      <w:pPr>
        <w:spacing w:before="80" w:after="80"/>
      </w:pPr>
      <w:r>
        <w:rPr>
          <w:rFonts w:ascii="Calibri" w:cs="Calibri" w:eastAsia="Calibri" w:hAnsi="Calibri"/>
          <w:b w:val="false"/>
          <w:bCs w:val="false"/>
          <w:i w:val="false"/>
          <w:iCs w:val="false"/>
          <w:color w:val="0F172A"/>
          <w:sz w:val="22"/>
          <w:szCs w:val="22"/>
        </w:rPr>
        <w:t xml:space="preserve">At the end of 60 days, the pilot generates concrete evidence on:</w:t>
      </w:r>
    </w:p>
    <w:p>
      <w:pPr>
        <w:spacing w:before="0" w:after="60"/>
      </w:pPr>
    </w:p>
    <w:p>
      <w:pPr>
        <w:pStyle w:val="ListParagraph"/>
        <w:numPr>
          <w:ilvl w:val="0"/>
          <w:numId w:val="2"/>
        </w:numPr>
        <w:spacing w:before="60" w:after="60"/>
      </w:pPr>
      <w:r>
        <w:rPr>
          <w:rFonts w:ascii="Calibri" w:cs="Calibri" w:eastAsia="Calibri" w:hAnsi="Calibri"/>
          <w:color w:val="0F172A"/>
          <w:sz w:val="22"/>
          <w:szCs w:val="22"/>
        </w:rPr>
        <w:t xml:space="preserve">Submission quality rates — completeness and guideline adherence before and after validation</w:t>
      </w:r>
    </w:p>
    <w:p>
      <w:pPr>
        <w:pStyle w:val="ListParagraph"/>
        <w:numPr>
          <w:ilvl w:val="0"/>
          <w:numId w:val="2"/>
        </w:numPr>
        <w:spacing w:before="60" w:after="60"/>
      </w:pPr>
      <w:r>
        <w:rPr>
          <w:rFonts w:ascii="Calibri" w:cs="Calibri" w:eastAsia="Calibri" w:hAnsi="Calibri"/>
          <w:color w:val="0F172A"/>
          <w:sz w:val="22"/>
          <w:szCs w:val="22"/>
        </w:rPr>
        <w:t xml:space="preserve">Duplicate instances surfaced before resource allocation began</w:t>
      </w:r>
    </w:p>
    <w:p>
      <w:pPr>
        <w:pStyle w:val="ListParagraph"/>
        <w:numPr>
          <w:ilvl w:val="0"/>
          <w:numId w:val="2"/>
        </w:numPr>
        <w:spacing w:before="60" w:after="60"/>
      </w:pPr>
      <w:r>
        <w:rPr>
          <w:rFonts w:ascii="Calibri" w:cs="Calibri" w:eastAsia="Calibri" w:hAnsi="Calibri"/>
          <w:color w:val="0F172A"/>
          <w:sz w:val="22"/>
          <w:szCs w:val="22"/>
        </w:rPr>
        <w:t xml:space="preserve">Reviewer time recovered from clarification back-and-forth cycles</w:t>
      </w:r>
    </w:p>
    <w:p>
      <w:pPr>
        <w:pStyle w:val="ListParagraph"/>
        <w:numPr>
          <w:ilvl w:val="0"/>
          <w:numId w:val="2"/>
        </w:numPr>
        <w:spacing w:before="60" w:after="60"/>
      </w:pPr>
      <w:r>
        <w:rPr>
          <w:rFonts w:ascii="Calibri" w:cs="Calibri" w:eastAsia="Calibri" w:hAnsi="Calibri"/>
          <w:color w:val="0F172A"/>
          <w:sz w:val="22"/>
          <w:szCs w:val="22"/>
        </w:rPr>
        <w:t xml:space="preserve">Submissions redirected or returned for quality remediation — before reaching the review queue</w:t>
      </w:r>
    </w:p>
    <w:p>
      <w:pPr>
        <w:spacing w:before="0" w:after="200"/>
      </w:pPr>
    </w:p>
    <w:p>
      <w:pPr>
        <w:pBdr>
          <w:bottom w:val="single" w:color="CBD5E1" w:sz="4" w:space="1"/>
        </w:pBdr>
        <w:spacing w:before="300" w:after="300"/>
      </w:pPr>
    </w:p>
    <w:p>
      <w:pPr>
        <w:spacing w:before="160" w:after="0"/>
        <w:jc w:val="left"/>
      </w:pPr>
      <w:r>
        <w:rPr>
          <w:rFonts w:ascii="Calibri" w:cs="Calibri" w:eastAsia="Calibri" w:hAnsi="Calibri"/>
          <w:color w:val="64748B"/>
          <w:sz w:val="18"/>
          <w:szCs w:val="18"/>
        </w:rPr>
        <w:t xml:space="preserve">Status: MVP0 Complete · MVP1 Ready · MVP2 In Design · MVP3 Planned  ·  </w:t>
      </w:r>
      <w:r>
        <w:rPr>
          <w:rFonts w:ascii="Calibri" w:cs="Calibri" w:eastAsia="Calibri" w:hAnsi="Calibri"/>
          <w:color w:val="64748B"/>
          <w:sz w:val="18"/>
          <w:szCs w:val="18"/>
        </w:rPr>
        <w:t xml:space="preserve">Owner: Principal AI Engineer, Lending AI Platform  ·  Version 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00"/>
      <w:outlineLvl w:val="1"/>
    </w:pPr>
    <w:rPr>
      <w:rFonts w:ascii="Calibri" w:cs="Calibri" w:eastAsia="Calibri" w:hAnsi="Calibri"/>
      <w:b/>
      <w:bCs/>
      <w:color w:val="0D737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2026-02-27T13:47:22.106Z</dcterms:created>
  <dcterms:modified xsi:type="dcterms:W3CDTF">2026-02-27T13:47:22.107Z</dcterms:modified>
</cp:coreProperties>
</file>

<file path=docProps/custom.xml><?xml version="1.0" encoding="utf-8"?>
<Properties xmlns="http://schemas.openxmlformats.org/officeDocument/2006/custom-properties" xmlns:vt="http://schemas.openxmlformats.org/officeDocument/2006/docPropsVTypes"/>
</file>