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Calibri" w:cs="Calibri" w:eastAsia="Calibri" w:hAnsi="Calibri"/>
          <w:b/>
          <w:bCs/>
          <w:caps/>
          <w:color w:val="0D7377"/>
          <w:sz w:val="18"/>
          <w:szCs w:val="18"/>
        </w:rPr>
        <w:t xml:space="preserve">AI PORTFOLIO GOVERNANCE  ·  PLATFORM FRAMEWORK</w:t>
      </w:r>
    </w:p>
    <w:p>
      <w:pPr>
        <w:spacing w:before="0" w:after="80"/>
      </w:pPr>
      <w:r>
        <w:rPr>
          <w:rFonts w:ascii="Calibri" w:cs="Calibri" w:eastAsia="Calibri" w:hAnsi="Calibri"/>
          <w:b/>
          <w:bCs/>
          <w:color w:val="1E3A5F"/>
          <w:sz w:val="48"/>
          <w:szCs w:val="48"/>
        </w:rPr>
        <w:t xml:space="preserve">Agentic Intake &amp; Portfolio Governance Platform</w:t>
      </w:r>
    </w:p>
    <w:p>
      <w:pPr>
        <w:spacing w:before="0" w:after="240"/>
      </w:pPr>
      <w:r>
        <w:rPr>
          <w:rFonts w:ascii="Calibri" w:cs="Calibri" w:eastAsia="Calibri" w:hAnsi="Calibri"/>
          <w:i/>
          <w:iCs/>
          <w:color w:val="64748B"/>
          <w:sz w:val="24"/>
          <w:szCs w:val="24"/>
        </w:rPr>
        <w:t xml:space="preserve">A phased delivery framework — from intake quality to agile artifact generation — building organizational intelligence one layer at a time.</w:t>
      </w:r>
    </w:p>
    <w:p>
      <w:pPr>
        <w:pBdr>
          <w:bottom w:val="single" w:color="CBD5E1" w:sz="4" w:space="1"/>
        </w:pBdr>
        <w:spacing w:before="300" w:after="300"/>
      </w:pPr>
    </w:p>
    <w:p>
      <w:pPr>
        <w:pStyle w:val="Heading2"/>
        <w:spacing w:before="320" w:after="100"/>
      </w:pPr>
      <w:r>
        <w:rPr>
          <w:rFonts w:ascii="Calibri" w:cs="Calibri" w:eastAsia="Calibri" w:hAnsi="Calibri"/>
          <w:b/>
          <w:bCs/>
          <w:color w:val="0D7377"/>
          <w:sz w:val="28"/>
          <w:szCs w:val="28"/>
        </w:rPr>
        <w:t xml:space="preserve">Executive Summary</w:t>
      </w:r>
    </w:p>
    <w:p>
      <w:pPr>
        <w:spacing w:before="80" w:after="80"/>
      </w:pPr>
      <w:r>
        <w:rPr>
          <w:rFonts w:ascii="Calibri" w:cs="Calibri" w:eastAsia="Calibri" w:hAnsi="Calibri"/>
          <w:b w:val="false"/>
          <w:bCs w:val="false"/>
          <w:i w:val="false"/>
          <w:iCs w:val="false"/>
          <w:color w:val="0F172A"/>
          <w:sz w:val="22"/>
          <w:szCs w:val="22"/>
        </w:rPr>
        <w:t xml:space="preserve">The bank currently operates over 120 separate intake processes across AI initiatives, new platform features, Epics, analytics requests, automation proposals, and support tickets — all flowing into Jira with no shared quality standard, no cross-portfolio visibility, and no mechanism to detect when two teams are requesting the same thing.</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The Agentic Intake &amp; Portfolio Governance Platform addresses this through four progressive capability layers, each building on the last. The platform delivers value at every phase while accumulating portfolio intelligence that each subsequent phase depends on.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2"/>
              <w:left w:val="single" w:color="DC2626" w:sz="24"/>
              <w:bottom w:val="none" w:color="FFFFFF" w:sz="0"/>
              <w:right w:val="none" w:color="FFFFFF" w:sz="0"/>
            </w:tcBorders>
            <w:shd w:fill="FEF2F2" w:val="clear"/>
            <w:tcMar>
              <w:top w:type="dxa" w:w="120"/>
              <w:left w:type="dxa" w:w="200"/>
              <w:bottom w:type="dxa" w:w="120"/>
              <w:right w:type="dxa" w:w="120"/>
            </w:tcMar>
          </w:tcPr>
          <w:p>
            <w:pPr>
              <w:spacing w:before="0" w:after="0"/>
            </w:pPr>
            <w:r>
              <w:rPr>
                <w:rFonts w:ascii="Calibri" w:cs="Calibri" w:eastAsia="Calibri" w:hAnsi="Calibri"/>
                <w:b/>
                <w:bCs/>
                <w:color w:val="DC2626"/>
                <w:sz w:val="22"/>
                <w:szCs w:val="22"/>
              </w:rPr>
              <w:t xml:space="preserve">⚠  </w:t>
            </w:r>
            <w:r>
              <w:rPr>
                <w:rFonts w:ascii="Calibri" w:cs="Calibri" w:eastAsia="Calibri" w:hAnsi="Calibri"/>
                <w:color w:val="0F172A"/>
                <w:sz w:val="22"/>
                <w:szCs w:val="22"/>
              </w:rPr>
              <w:t xml:space="preserve">The 120+ intake processes already in place are not evidence that governance is solved. They are evidence of the problem this platform is designed to fix — one layer at a time.</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E3A5F"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1E3A5F"/>
                <w:sz w:val="48"/>
                <w:szCs w:val="48"/>
              </w:rPr>
              <w:t xml:space="preserve">MVP0</w:t>
            </w:r>
          </w:p>
          <w:p>
            <w:pPr>
              <w:spacing w:before="0" w:after="20"/>
              <w:jc w:val="center"/>
            </w:pPr>
            <w:r>
              <w:rPr>
                <w:rFonts w:ascii="Calibri" w:cs="Calibri" w:eastAsia="Calibri" w:hAnsi="Calibri"/>
                <w:b/>
                <w:bCs/>
                <w:color w:val="1E3A5F"/>
                <w:sz w:val="20"/>
                <w:szCs w:val="20"/>
              </w:rPr>
              <w:t xml:space="preserve">Intake Quality</w:t>
            </w:r>
          </w:p>
          <w:p>
            <w:pPr>
              <w:spacing w:before="0" w:after="0"/>
              <w:jc w:val="center"/>
            </w:pPr>
            <w:r>
              <w:rPr>
                <w:rFonts w:ascii="Calibri" w:cs="Calibri" w:eastAsia="Calibri" w:hAnsi="Calibri"/>
                <w:i/>
                <w:iCs/>
                <w:color w:val="64748B"/>
                <w:sz w:val="18"/>
                <w:szCs w:val="18"/>
              </w:rPr>
              <w:t xml:space="preserve">Complete · Live</w:t>
            </w:r>
          </w:p>
        </w:tc>
        <w:tc>
          <w:tcPr>
            <w:tcW w:type="dxa" w:w="2340"/>
            <w:tcBorders>
              <w:top w:val="single" w:color="0D7377"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0D7377"/>
                <w:sz w:val="48"/>
                <w:szCs w:val="48"/>
              </w:rPr>
              <w:t xml:space="preserve">MVP1</w:t>
            </w:r>
          </w:p>
          <w:p>
            <w:pPr>
              <w:spacing w:before="0" w:after="20"/>
              <w:jc w:val="center"/>
            </w:pPr>
            <w:r>
              <w:rPr>
                <w:rFonts w:ascii="Calibri" w:cs="Calibri" w:eastAsia="Calibri" w:hAnsi="Calibri"/>
                <w:b/>
                <w:bCs/>
                <w:color w:val="0D7377"/>
                <w:sz w:val="20"/>
                <w:szCs w:val="20"/>
              </w:rPr>
              <w:t xml:space="preserve">Duplicate Detection</w:t>
            </w:r>
          </w:p>
          <w:p>
            <w:pPr>
              <w:spacing w:before="0" w:after="0"/>
              <w:jc w:val="center"/>
            </w:pPr>
            <w:r>
              <w:rPr>
                <w:rFonts w:ascii="Calibri" w:cs="Calibri" w:eastAsia="Calibri" w:hAnsi="Calibri"/>
                <w:i/>
                <w:iCs/>
                <w:color w:val="64748B"/>
                <w:sz w:val="18"/>
                <w:szCs w:val="18"/>
              </w:rPr>
              <w:t xml:space="preserve">Ready to Deploy</w:t>
            </w:r>
          </w:p>
        </w:tc>
        <w:tc>
          <w:tcPr>
            <w:tcW w:type="dxa" w:w="2340"/>
            <w:tcBorders>
              <w:top w:val="single" w:color="B45309"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B45309"/>
                <w:sz w:val="48"/>
                <w:szCs w:val="48"/>
              </w:rPr>
              <w:t xml:space="preserve">MVP2</w:t>
            </w:r>
          </w:p>
          <w:p>
            <w:pPr>
              <w:spacing w:before="0" w:after="20"/>
              <w:jc w:val="center"/>
            </w:pPr>
            <w:r>
              <w:rPr>
                <w:rFonts w:ascii="Calibri" w:cs="Calibri" w:eastAsia="Calibri" w:hAnsi="Calibri"/>
                <w:b/>
                <w:bCs/>
                <w:color w:val="B45309"/>
                <w:sz w:val="20"/>
                <w:szCs w:val="20"/>
              </w:rPr>
              <w:t xml:space="preserve">Intake Classification</w:t>
            </w:r>
          </w:p>
          <w:p>
            <w:pPr>
              <w:spacing w:before="0" w:after="0"/>
              <w:jc w:val="center"/>
            </w:pPr>
            <w:r>
              <w:rPr>
                <w:rFonts w:ascii="Calibri" w:cs="Calibri" w:eastAsia="Calibri" w:hAnsi="Calibri"/>
                <w:i/>
                <w:iCs/>
                <w:color w:val="64748B"/>
                <w:sz w:val="18"/>
                <w:szCs w:val="18"/>
              </w:rPr>
              <w:t xml:space="preserve">In Design</w:t>
            </w:r>
          </w:p>
        </w:tc>
        <w:tc>
          <w:tcPr>
            <w:tcW w:type="dxa" w:w="2340"/>
            <w:tcBorders>
              <w:top w:val="single" w:color="6D28D9" w:sz="6"/>
              <w:left w:val="none" w:color="FFFFFF" w:sz="0"/>
              <w:bottom w:val="none" w:color="FFFFFF" w:sz="0"/>
              <w:right w:val="none" w:color="FFFFFF" w:sz="0"/>
            </w:tcBorders>
            <w:shd w:fill="EEF4FB" w:val="clear"/>
            <w:tcMar>
              <w:top w:type="dxa" w:w="160"/>
              <w:left w:type="dxa" w:w="160"/>
              <w:bottom w:type="dxa" w:w="160"/>
              <w:right w:type="dxa" w:w="160"/>
            </w:tcMar>
          </w:tcPr>
          <w:p>
            <w:pPr>
              <w:spacing w:before="0" w:after="40"/>
              <w:jc w:val="center"/>
            </w:pPr>
            <w:r>
              <w:rPr>
                <w:rFonts w:ascii="Calibri" w:cs="Calibri" w:eastAsia="Calibri" w:hAnsi="Calibri"/>
                <w:b/>
                <w:bCs/>
                <w:color w:val="6D28D9"/>
                <w:sz w:val="48"/>
                <w:szCs w:val="48"/>
              </w:rPr>
              <w:t xml:space="preserve">MVP3</w:t>
            </w:r>
          </w:p>
          <w:p>
            <w:pPr>
              <w:spacing w:before="0" w:after="20"/>
              <w:jc w:val="center"/>
            </w:pPr>
            <w:r>
              <w:rPr>
                <w:rFonts w:ascii="Calibri" w:cs="Calibri" w:eastAsia="Calibri" w:hAnsi="Calibri"/>
                <w:b/>
                <w:bCs/>
                <w:color w:val="6D28D9"/>
                <w:sz w:val="20"/>
                <w:szCs w:val="20"/>
              </w:rPr>
              <w:t xml:space="preserve">Artifact Generation</w:t>
            </w:r>
          </w:p>
          <w:p>
            <w:pPr>
              <w:spacing w:before="0" w:after="0"/>
              <w:jc w:val="center"/>
            </w:pPr>
            <w:r>
              <w:rPr>
                <w:rFonts w:ascii="Calibri" w:cs="Calibri" w:eastAsia="Calibri" w:hAnsi="Calibri"/>
                <w:i/>
                <w:iCs/>
                <w:color w:val="64748B"/>
                <w:sz w:val="18"/>
                <w:szCs w:val="18"/>
              </w:rPr>
              <w:t xml:space="preserve">Planned</w:t>
            </w:r>
          </w:p>
        </w:tc>
      </w:tr>
    </w:tbl>
    <w:p>
      <w:pPr>
        <w:spacing w:before="0" w:after="240"/>
      </w:pPr>
    </w:p>
    <w:p>
      <w:pPr>
        <w:pBdr>
          <w:bottom w:val="single" w:color="CBD5E1" w:sz="4" w:space="1"/>
        </w:pBdr>
        <w:spacing w:before="300" w:after="300"/>
      </w:pPr>
    </w:p>
    <w:p>
      <w:pPr>
        <w:pStyle w:val="Heading2"/>
        <w:spacing w:before="320" w:after="100"/>
      </w:pPr>
      <w:r>
        <w:rPr>
          <w:rFonts w:ascii="Calibri" w:cs="Calibri" w:eastAsia="Calibri" w:hAnsi="Calibri"/>
          <w:b/>
          <w:bCs/>
          <w:color w:val="0D7377"/>
          <w:sz w:val="28"/>
          <w:szCs w:val="28"/>
        </w:rPr>
        <w:t xml:space="preserve">What This Platform Handles — All Work Request Types</w:t>
      </w:r>
    </w:p>
    <w:p>
      <w:pPr>
        <w:spacing w:before="80" w:after="80"/>
      </w:pPr>
      <w:r>
        <w:rPr>
          <w:rFonts w:ascii="Calibri" w:cs="Calibri" w:eastAsia="Calibri" w:hAnsi="Calibri"/>
          <w:b w:val="false"/>
          <w:bCs w:val="false"/>
          <w:i w:val="false"/>
          <w:iCs w:val="false"/>
          <w:color w:val="0F172A"/>
          <w:sz w:val="22"/>
          <w:szCs w:val="22"/>
        </w:rPr>
        <w:t xml:space="preserve">The same agent pipeline, quality validation, and governance rules apply to every category of work request:</w:t>
      </w:r>
    </w:p>
    <w:p>
      <w:pPr>
        <w:spacing w:before="0" w:after="80"/>
      </w:pPr>
    </w:p>
    <w:p>
      <w:pPr>
        <w:pStyle w:val="ListParagraph"/>
        <w:numPr>
          <w:ilvl w:val="0"/>
          <w:numId w:val="2"/>
        </w:numPr>
        <w:spacing w:before="60" w:after="60"/>
      </w:pPr>
      <w:r>
        <w:rPr>
          <w:rFonts w:ascii="Calibri" w:cs="Calibri" w:eastAsia="Calibri" w:hAnsi="Calibri"/>
          <w:b/>
          <w:bCs/>
          <w:color w:val="0F172A"/>
          <w:sz w:val="22"/>
          <w:szCs w:val="22"/>
        </w:rPr>
        <w:t xml:space="preserve">New AI / GenAI initiative proposals </w:t>
      </w:r>
      <w:r>
        <w:rPr>
          <w:rFonts w:ascii="Calibri" w:cs="Calibri" w:eastAsia="Calibri" w:hAnsi="Calibri"/>
          <w:color w:val="0F172A"/>
          <w:sz w:val="22"/>
          <w:szCs w:val="22"/>
        </w:rPr>
        <w:t xml:space="preserve">New AI initiatives —</w:t>
      </w:r>
    </w:p>
    <w:p>
      <w:pPr>
        <w:pStyle w:val="ListParagraph"/>
        <w:numPr>
          <w:ilvl w:val="0"/>
          <w:numId w:val="2"/>
        </w:numPr>
        <w:spacing w:before="60" w:after="60"/>
      </w:pPr>
      <w:r>
        <w:rPr>
          <w:rFonts w:ascii="Calibri" w:cs="Calibri" w:eastAsia="Calibri" w:hAnsi="Calibri"/>
          <w:b/>
          <w:bCs/>
          <w:color w:val="0F172A"/>
          <w:sz w:val="22"/>
          <w:szCs w:val="22"/>
        </w:rPr>
        <w:t xml:space="preserve">Enhancements and additions to existing platforms </w:t>
      </w:r>
      <w:r>
        <w:rPr>
          <w:rFonts w:ascii="Calibri" w:cs="Calibri" w:eastAsia="Calibri" w:hAnsi="Calibri"/>
          <w:color w:val="0F172A"/>
          <w:sz w:val="22"/>
          <w:szCs w:val="22"/>
        </w:rPr>
        <w:t xml:space="preserve">New features —</w:t>
      </w:r>
    </w:p>
    <w:p>
      <w:pPr>
        <w:pStyle w:val="ListParagraph"/>
        <w:numPr>
          <w:ilvl w:val="0"/>
          <w:numId w:val="2"/>
        </w:numPr>
        <w:spacing w:before="60" w:after="60"/>
      </w:pPr>
      <w:r>
        <w:rPr>
          <w:rFonts w:ascii="Calibri" w:cs="Calibri" w:eastAsia="Calibri" w:hAnsi="Calibri"/>
          <w:b/>
          <w:bCs/>
          <w:color w:val="0F172A"/>
          <w:sz w:val="22"/>
          <w:szCs w:val="22"/>
        </w:rPr>
        <w:t xml:space="preserve">New Epics added to active product roadmaps </w:t>
      </w:r>
      <w:r>
        <w:rPr>
          <w:rFonts w:ascii="Calibri" w:cs="Calibri" w:eastAsia="Calibri" w:hAnsi="Calibri"/>
          <w:color w:val="0F172A"/>
          <w:sz w:val="22"/>
          <w:szCs w:val="22"/>
        </w:rPr>
        <w:t xml:space="preserve">New Epics —</w:t>
      </w:r>
    </w:p>
    <w:p>
      <w:pPr>
        <w:pStyle w:val="ListParagraph"/>
        <w:numPr>
          <w:ilvl w:val="0"/>
          <w:numId w:val="2"/>
        </w:numPr>
        <w:spacing w:before="60" w:after="60"/>
      </w:pPr>
      <w:r>
        <w:rPr>
          <w:rFonts w:ascii="Calibri" w:cs="Calibri" w:eastAsia="Calibri" w:hAnsi="Calibri"/>
          <w:b/>
          <w:bCs/>
          <w:color w:val="0F172A"/>
          <w:sz w:val="22"/>
          <w:szCs w:val="22"/>
        </w:rPr>
        <w:t xml:space="preserve">Data, analytics, and reporting requests </w:t>
      </w:r>
      <w:r>
        <w:rPr>
          <w:rFonts w:ascii="Calibri" w:cs="Calibri" w:eastAsia="Calibri" w:hAnsi="Calibri"/>
          <w:color w:val="0F172A"/>
          <w:sz w:val="22"/>
          <w:szCs w:val="22"/>
        </w:rPr>
        <w:t xml:space="preserve">Data &amp; analytics —</w:t>
      </w:r>
    </w:p>
    <w:p>
      <w:pPr>
        <w:pStyle w:val="ListParagraph"/>
        <w:numPr>
          <w:ilvl w:val="0"/>
          <w:numId w:val="2"/>
        </w:numPr>
        <w:spacing w:before="60" w:after="60"/>
      </w:pPr>
      <w:r>
        <w:rPr>
          <w:rFonts w:ascii="Calibri" w:cs="Calibri" w:eastAsia="Calibri" w:hAnsi="Calibri"/>
          <w:b/>
          <w:bCs/>
          <w:color w:val="0F172A"/>
          <w:sz w:val="22"/>
          <w:szCs w:val="22"/>
        </w:rPr>
        <w:t xml:space="preserve">Business process automation proposals </w:t>
      </w:r>
      <w:r>
        <w:rPr>
          <w:rFonts w:ascii="Calibri" w:cs="Calibri" w:eastAsia="Calibri" w:hAnsi="Calibri"/>
          <w:color w:val="0F172A"/>
          <w:sz w:val="22"/>
          <w:szCs w:val="22"/>
        </w:rPr>
        <w:t xml:space="preserve">Automation —</w:t>
      </w:r>
    </w:p>
    <w:p>
      <w:pPr>
        <w:pStyle w:val="ListParagraph"/>
        <w:numPr>
          <w:ilvl w:val="0"/>
          <w:numId w:val="2"/>
        </w:numPr>
        <w:spacing w:before="60" w:after="60"/>
      </w:pPr>
      <w:r>
        <w:rPr>
          <w:rFonts w:ascii="Calibri" w:cs="Calibri" w:eastAsia="Calibri" w:hAnsi="Calibri"/>
          <w:b/>
          <w:bCs/>
          <w:color w:val="0F172A"/>
          <w:sz w:val="22"/>
          <w:szCs w:val="22"/>
        </w:rPr>
        <w:t xml:space="preserve">Support and triage requests </w:t>
      </w:r>
      <w:r>
        <w:rPr>
          <w:rFonts w:ascii="Calibri" w:cs="Calibri" w:eastAsia="Calibri" w:hAnsi="Calibri"/>
          <w:color w:val="0F172A"/>
          <w:sz w:val="22"/>
          <w:szCs w:val="22"/>
        </w:rPr>
        <w:t xml:space="preserve">Support —</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All 120+ intakes route to Jira. The platform is the structured front door for every one of them — applying consistent quality criteria, detecting duplication across the full portfolio, classifying each submission for prioritization, and generating compliant Jira artifacts at the point of approval.</w:t>
      </w:r>
    </w:p>
    <w:p>
      <w:pPr>
        <w:spacing w:before="0" w:after="200"/>
      </w:pPr>
    </w:p>
    <w:p>
      <w:pPr>
        <w:pBdr>
          <w:bottom w:val="single" w:color="CBD5E1" w:sz="4"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3A5F"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1E3A5F"/>
                <w:sz w:val="28"/>
                <w:szCs w:val="28"/>
              </w:rPr>
              <w:t xml:space="preserve">MVP0</w:t>
            </w:r>
          </w:p>
        </w:tc>
        <w:tc>
          <w:tcPr>
            <w:tcW w:type="dxa" w:w="7760"/>
            <w:tcBorders>
              <w:top w:val="single" w:color="1E3A5F"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1E3A5F"/>
                <w:sz w:val="28"/>
                <w:szCs w:val="28"/>
              </w:rPr>
              <w:t xml:space="preserve">Intake Quality — The Foundation</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Quality is the most fundamental problem — and the precondition for everything that follows. Before the platform can detect duplicates, classify submissions, or generate agile artifacts, it must ensure every intake entering the system is worth processing. MVP0 establishes the quality floor.</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24"/>
              <w:bottom w:val="none" w:color="FFFFFF" w:sz="0"/>
              <w:right w:val="none" w:color="FFFFFF" w:sz="0"/>
            </w:tcBorders>
            <w:shd w:fill="EEF4FB" w:val="clear"/>
            <w:tcMar>
              <w:top w:type="dxa" w:w="120"/>
              <w:left w:type="dxa" w:w="200"/>
              <w:bottom w:type="dxa" w:w="120"/>
              <w:right w:type="dxa" w:w="120"/>
            </w:tcMar>
          </w:tcPr>
          <w:p>
            <w:pPr>
              <w:spacing w:before="0" w:after="0"/>
            </w:pPr>
            <w:r>
              <w:rPr>
                <w:rFonts w:ascii="Calibri" w:cs="Calibri" w:eastAsia="Calibri" w:hAnsi="Calibri"/>
                <w:b/>
                <w:bCs/>
                <w:color w:val="0D7377"/>
                <w:sz w:val="22"/>
                <w:szCs w:val="22"/>
              </w:rPr>
              <w:t xml:space="preserve">ℹ  </w:t>
            </w:r>
            <w:r>
              <w:rPr>
                <w:rFonts w:ascii="Calibri" w:cs="Calibri" w:eastAsia="Calibri" w:hAnsi="Calibri"/>
                <w:color w:val="0F172A"/>
                <w:sz w:val="22"/>
                <w:szCs w:val="22"/>
              </w:rPr>
              <w:t xml:space="preserve">Intake quality means every submission is complete enough to action, specific enough to evaluate, and unique enough to justify.</w:t>
            </w:r>
          </w:p>
        </w:tc>
      </w:tr>
    </w:tbl>
    <w:p>
      <w:pPr>
        <w:spacing w:before="0" w:after="120"/>
      </w:pPr>
    </w:p>
    <w:p>
      <w:pPr>
        <w:spacing w:before="80" w:after="80"/>
      </w:pPr>
      <w:r>
        <w:rPr>
          <w:rFonts w:ascii="Calibri" w:cs="Calibri" w:eastAsia="Calibri" w:hAnsi="Calibri"/>
          <w:b w:val="false"/>
          <w:bCs w:val="false"/>
          <w:i w:val="false"/>
          <w:iCs w:val="false"/>
          <w:color w:val="0F172A"/>
          <w:sz w:val="22"/>
          <w:szCs w:val="22"/>
        </w:rPr>
        <w:t xml:space="preserve">Quality has three measurable dimensions, each tied to a specific failure mode that exists today without the platform.</w:t>
      </w:r>
    </w:p>
    <w:p>
      <w:pPr>
        <w:spacing w:before="0" w:after="120"/>
      </w:pPr>
    </w:p>
    <w:p>
      <w:pPr>
        <w:spacing w:before="260" w:after="80"/>
      </w:pPr>
      <w:r>
        <w:rPr>
          <w:rFonts w:ascii="Calibri" w:cs="Calibri" w:eastAsia="Calibri" w:hAnsi="Calibri"/>
          <w:b/>
          <w:bCs/>
          <w:color w:val="1E3A5F"/>
          <w:sz w:val="24"/>
          <w:szCs w:val="24"/>
        </w:rPr>
        <w:t xml:space="preserve">Dimension 1 —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What It Means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Every required field contains a substantive response. No blanks. No 'TBD.' No one-word answers where a sentence is needed.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Current Failure Mode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Reviewers receive intakes they cannot action. They send a clarification request. The submitter responds days later. The reviewer re-queues. That cycle repeats 2-3 times before the intake is workable. The cost is not the incomplete form — it is the review capacity consumed chasing information that should have been collected at submission.</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How the System Enforces It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The Validation Agent evaluates each response in real time before the conversation advances. If an answer is incomplete, the agent explains specifically what is missing and asks again — up to 3 attempts. A blank or vague response never reaches the reviewer.</w:t>
            </w:r>
          </w:p>
        </w:tc>
      </w:tr>
    </w:tbl>
    <w:p>
      <w:pPr>
        <w:spacing w:before="0" w:after="120"/>
      </w:pPr>
    </w:p>
    <w:p>
      <w:pPr>
        <w:spacing w:before="260" w:after="80"/>
      </w:pPr>
      <w:r>
        <w:rPr>
          <w:rFonts w:ascii="Calibri" w:cs="Calibri" w:eastAsia="Calibri" w:hAnsi="Calibri"/>
          <w:b/>
          <w:bCs/>
          <w:color w:val="1E3A5F"/>
          <w:sz w:val="24"/>
          <w:szCs w:val="24"/>
        </w:rPr>
        <w:t xml:space="preserve">Dimension 2 — Guideline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What It Means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Each answer meets the specific quality criteria defined for that question by the intake owner — not just 'is something written here' but 'does what is written actually answer what is being asked, at the level of specificity this intake requires.'</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Current Failure Mode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Intakes arrive technically filled out but substantively useless. 'What is the business problem?' answered with 'improve efficiency' passes a static form. It does not pass a Validation Agent configured to require a named process, a quantified gap, and a specific affected population. Static forms have no quality floor. The platform enforces whichever criteria the intake owner has defined, consistently, on every submission.</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How the System Enforces It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Each question in the intake configuration includes validation criteria — natural language instructions to the Validation Agent describing what constitutes a passing answer for that specific question. The criteria are set by the intake owner. The platform enforces them consistently and applies the same standard to every submission, regardless of who submits.</w:t>
            </w:r>
          </w:p>
        </w:tc>
      </w:tr>
    </w:tbl>
    <w:p>
      <w:pPr>
        <w:spacing w:before="0" w:after="120"/>
      </w:pPr>
    </w:p>
    <w:p>
      <w:pPr>
        <w:spacing w:before="260" w:after="80"/>
      </w:pPr>
      <w:r>
        <w:rPr>
          <w:rFonts w:ascii="Calibri" w:cs="Calibri" w:eastAsia="Calibri" w:hAnsi="Calibri"/>
          <w:b/>
          <w:bCs/>
          <w:color w:val="1E3A5F"/>
          <w:sz w:val="24"/>
          <w:szCs w:val="24"/>
        </w:rPr>
        <w:t xml:space="preserve">Dimension 3 — Non-Duplication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What It Means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The submission does not represent work already in progress, recently completed, or already assigned to another team — before a ticket is created and resources are committed. This dimension is expanded significantly in MVP1.</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Current Failure Mode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Two teams independently submit the same request. Both get approved. Both receive Jira assignments. Both begin scoping. Nobody catches the overlap until mid-development. By the time duplication is discovered, environment access, data provisioning, and engineering hours have been committed to both tracks.</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How the System Enforces It</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After all intake questions are answered, the platform checks for potential duplicates before creating any Jira ticket. MVP0 includes basic exact-match detection. MVP1 extends this to three-layer detection — exact, fuzzy, and semantic — covering the full range of duplication patterns the organization experiences.</w:t>
            </w:r>
          </w:p>
        </w:tc>
      </w:tr>
    </w:tbl>
    <w:p>
      <w:pPr>
        <w:spacing w:before="0" w:after="120"/>
      </w:pPr>
    </w:p>
    <w:p>
      <w:pPr>
        <w:spacing w:before="200" w:after="60"/>
      </w:pPr>
      <w:r>
        <w:rPr>
          <w:rFonts w:ascii="Calibri" w:cs="Calibri" w:eastAsia="Calibri" w:hAnsi="Calibri"/>
          <w:b/>
          <w:bCs/>
          <w:color w:val="0D7377"/>
          <w:sz w:val="22"/>
          <w:szCs w:val="22"/>
        </w:rPr>
        <w:t xml:space="preserve">The Quality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3A5F"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Quality is not a feature of the platform — it is a property of every submission that comes out of it. Right now, quality is inconsistent because it depends entirely on how much effort the submitter chooses to put in. This platform makes quality the floor, not the ceiling. No submission exits the conversation below the quality bar the intake owner has set.</w:t>
            </w:r>
          </w:p>
        </w:tc>
      </w:tr>
    </w:tbl>
    <w:p>
      <w:pPr>
        <w:spacing w:before="0" w:after="200"/>
      </w:pPr>
    </w:p>
    <w:p>
      <w:pPr>
        <w:pBdr>
          <w:bottom w:val="single" w:color="1E3A5F" w:sz="8"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D7377"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0D7377"/>
                <w:sz w:val="28"/>
                <w:szCs w:val="28"/>
              </w:rPr>
              <w:t xml:space="preserve">MVP1</w:t>
            </w:r>
          </w:p>
        </w:tc>
        <w:tc>
          <w:tcPr>
            <w:tcW w:type="dxa" w:w="7760"/>
            <w:tcBorders>
              <w:top w:val="single" w:color="0D7377"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0D7377"/>
                <w:sz w:val="28"/>
                <w:szCs w:val="28"/>
              </w:rPr>
              <w:t xml:space="preserve">Duplicate Detection — Portfolio Visibility</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MVP1 extends the quality foundation with full duplicate detection. Every submission is searched against the Jira portfolio — all 120+ intake types, all Epics, all features — before a new ticket is created. The result: asset reuse instead of redundant builds, cross-team collaboration instead of parallel workstreams, and investment decisions based on what the portfolio actually contains.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24"/>
              <w:bottom w:val="none" w:color="FFFFFF" w:sz="0"/>
              <w:right w:val="none" w:color="FFFFFF" w:sz="0"/>
            </w:tcBorders>
            <w:shd w:fill="EEF4FB" w:val="clear"/>
            <w:tcMar>
              <w:top w:type="dxa" w:w="120"/>
              <w:left w:type="dxa" w:w="200"/>
              <w:bottom w:type="dxa" w:w="120"/>
              <w:right w:type="dxa" w:w="120"/>
            </w:tcMar>
          </w:tcPr>
          <w:p>
            <w:pPr>
              <w:spacing w:before="0" w:after="0"/>
            </w:pPr>
            <w:r>
              <w:rPr>
                <w:rFonts w:ascii="Calibri" w:cs="Calibri" w:eastAsia="Calibri" w:hAnsi="Calibri"/>
                <w:b/>
                <w:bCs/>
                <w:color w:val="0D7377"/>
                <w:sz w:val="22"/>
                <w:szCs w:val="22"/>
              </w:rPr>
              <w:t xml:space="preserve">ℹ  </w:t>
            </w:r>
            <w:r>
              <w:rPr>
                <w:rFonts w:ascii="Calibri" w:cs="Calibri" w:eastAsia="Calibri" w:hAnsi="Calibri"/>
                <w:color w:val="0F172A"/>
                <w:sz w:val="22"/>
                <w:szCs w:val="22"/>
              </w:rPr>
              <w:t xml:space="preserve">Duplicate detection answers the question no individual team process can answer: is this work already happening somewhere else in the organization?</w:t>
            </w:r>
          </w:p>
        </w:tc>
      </w:tr>
    </w:tbl>
    <w:p>
      <w:pPr>
        <w:spacing w:before="0" w:after="120"/>
      </w:pPr>
    </w:p>
    <w:p>
      <w:pPr>
        <w:spacing w:before="80" w:after="80"/>
      </w:pPr>
      <w:r>
        <w:rPr>
          <w:rFonts w:ascii="Calibri" w:cs="Calibri" w:eastAsia="Calibri" w:hAnsi="Calibri"/>
          <w:b w:val="false"/>
          <w:bCs w:val="false"/>
          <w:i w:val="false"/>
          <w:iCs w:val="false"/>
          <w:color w:val="0F172A"/>
          <w:sz w:val="22"/>
          <w:szCs w:val="22"/>
        </w:rPr>
        <w:t xml:space="preserve">This matters because all 120+ intakes route to Jira. The full duplication landscape is searchable — not just within a single team's backlog, but across every Epic, every feature, every in-progress initiative in the enterprise portfolio. MVP1 makes that search systematic, automatic, and proactive — it happens before any ticket is created, not after resources are committed.</w:t>
      </w:r>
    </w:p>
    <w:p>
      <w:pPr>
        <w:spacing w:before="0" w:after="120"/>
      </w:pPr>
    </w:p>
    <w:p>
      <w:pPr>
        <w:spacing w:before="260" w:after="80"/>
      </w:pPr>
      <w:r>
        <w:rPr>
          <w:rFonts w:ascii="Calibri" w:cs="Calibri" w:eastAsia="Calibri" w:hAnsi="Calibri"/>
          <w:b/>
          <w:bCs/>
          <w:color w:val="0D7377"/>
          <w:sz w:val="24"/>
          <w:szCs w:val="24"/>
        </w:rPr>
        <w:t xml:space="preserve">Three Failure Modes MVP1 Eliminates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Failure Mode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Happens Without Detection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Redundant Builds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Two teams build identical capability independently. Each has environment access, data provisioning, and engineering allocation. Discovery happens mid-development or post-launch — after full cost is sunk.</w:t>
            </w:r>
          </w:p>
        </w:tc>
      </w:tr>
      <w:tr>
        <w:tc>
          <w:tcPr>
            <w:tcW w:type="dxa" w:w="28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Missed Collaboration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 team submits a request that a neighboring team completed 90 days ago. The existing asset sits unused. The new effort rebuilds it from scratch. The teams never connect.</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Parallel Workstreams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Two in-progress Epics overlap significantly but neither team is aware. Planning, sprint allocation, and review cycles run in parallel. The redundancy compounds with every sprint.</w:t>
            </w:r>
          </w:p>
        </w:tc>
      </w:tr>
    </w:tbl>
    <w:p>
      <w:pPr>
        <w:spacing w:before="0" w:after="120"/>
      </w:pPr>
    </w:p>
    <w:p>
      <w:pPr>
        <w:spacing w:before="260" w:after="80"/>
      </w:pPr>
      <w:r>
        <w:rPr>
          <w:rFonts w:ascii="Calibri" w:cs="Calibri" w:eastAsia="Calibri" w:hAnsi="Calibri"/>
          <w:b/>
          <w:bCs/>
          <w:color w:val="0D7377"/>
          <w:sz w:val="24"/>
          <w:szCs w:val="24"/>
        </w:rPr>
        <w:t xml:space="preserve">Three Detection Layers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Detection Layer</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How It Works and What It Catches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Exact Match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Platform-native Jira query (JQL) matches identical or near-identical ticket titles and descriptions. Highest confidence — when an exact match fires, the duplication is unambiguous.</w:t>
            </w:r>
          </w:p>
        </w:tc>
      </w:tr>
      <w:tr>
        <w:tc>
          <w:tcPr>
            <w:tcW w:type="dxa" w:w="22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Fuzzy Match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Token-level similarity scoring surfaces overlapping requests phrased differently. Catches the same initiative described in different departmental vocabulary — the kind of duplication exact match misses entirely.</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Semantic Match</w:t>
            </w:r>
          </w:p>
        </w:tc>
        <w:tc>
          <w:tcPr>
            <w:tcW w:type="dxa" w:w="71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Gemini text-embedding-004 plus cosine similarity detects meaning-level duplicates regardless of wording. This is the layer that identifies 'build a customer churn prediction model' and 'develop an attrition risk score for retail clients' as functionally identical.</w:t>
            </w:r>
          </w:p>
        </w:tc>
      </w:tr>
    </w:tbl>
    <w:p>
      <w:pPr>
        <w:spacing w:before="0" w:after="120"/>
      </w:pPr>
    </w:p>
    <w:p>
      <w:pPr>
        <w:spacing w:before="260" w:after="80"/>
      </w:pPr>
      <w:r>
        <w:rPr>
          <w:rFonts w:ascii="Calibri" w:cs="Calibri" w:eastAsia="Calibri" w:hAnsi="Calibri"/>
          <w:b/>
          <w:bCs/>
          <w:color w:val="0D7377"/>
          <w:sz w:val="24"/>
          <w:szCs w:val="24"/>
        </w:rPr>
        <w:t xml:space="preserve">What the Submitter Experiences</w:t>
      </w:r>
    </w:p>
    <w:p>
      <w:pPr>
        <w:spacing w:before="80" w:after="80"/>
      </w:pPr>
      <w:r>
        <w:rPr>
          <w:rFonts w:ascii="Calibri" w:cs="Calibri" w:eastAsia="Calibri" w:hAnsi="Calibri"/>
          <w:b w:val="false"/>
          <w:bCs w:val="false"/>
          <w:i w:val="false"/>
          <w:iCs w:val="false"/>
          <w:color w:val="0F172A"/>
          <w:sz w:val="22"/>
          <w:szCs w:val="22"/>
        </w:rPr>
        <w:t xml:space="preserve">When the detection pipeline identifies potential duplicates, the platform surfaces them before the submission can proceed. The submitter cannot bypass this step — submission is blocked until they explicitly acknowledge the candidates and make a decision. This is intentional: the goal is informed action, not optional review.</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For each duplicate candidate, the submitter sees the existing Jira ticket — title, description, current status, and the ticket owner's contact information. They then choose one of three paths:</w:t>
      </w:r>
    </w:p>
    <w:p>
      <w:pPr>
        <w:spacing w:before="0" w:after="80"/>
      </w:pPr>
    </w:p>
    <w:p>
      <w:pPr>
        <w:pStyle w:val="ListParagraph"/>
        <w:numPr>
          <w:ilvl w:val="0"/>
          <w:numId w:val="2"/>
        </w:numPr>
        <w:spacing w:before="60" w:after="60"/>
      </w:pPr>
      <w:r>
        <w:rPr>
          <w:rFonts w:ascii="Calibri" w:cs="Calibri" w:eastAsia="Calibri" w:hAnsi="Calibri"/>
          <w:color w:val="0F172A"/>
          <w:sz w:val="22"/>
          <w:szCs w:val="22"/>
        </w:rPr>
        <w:t xml:space="preserve">Collaborate — the existing ticket covers their need; they reach out to the owner directly to join or reuse the existing work</w:t>
      </w:r>
    </w:p>
    <w:p>
      <w:pPr>
        <w:pStyle w:val="ListParagraph"/>
        <w:numPr>
          <w:ilvl w:val="0"/>
          <w:numId w:val="2"/>
        </w:numPr>
        <w:spacing w:before="60" w:after="60"/>
      </w:pPr>
      <w:r>
        <w:rPr>
          <w:rFonts w:ascii="Calibri" w:cs="Calibri" w:eastAsia="Calibri" w:hAnsi="Calibri"/>
          <w:color w:val="0F172A"/>
          <w:sz w:val="22"/>
          <w:szCs w:val="22"/>
        </w:rPr>
        <w:t xml:space="preserve">Proceed as distinct — their request is genuinely different; they document why it differs before submission continues</w:t>
      </w:r>
    </w:p>
    <w:p>
      <w:pPr>
        <w:pStyle w:val="ListParagraph"/>
        <w:numPr>
          <w:ilvl w:val="0"/>
          <w:numId w:val="2"/>
        </w:numPr>
        <w:spacing w:before="60" w:after="60"/>
      </w:pPr>
      <w:r>
        <w:rPr>
          <w:rFonts w:ascii="Calibri" w:cs="Calibri" w:eastAsia="Calibri" w:hAnsi="Calibri"/>
          <w:color w:val="0F172A"/>
          <w:sz w:val="22"/>
          <w:szCs w:val="22"/>
        </w:rPr>
        <w:t xml:space="preserve">Request more detail — they review the full ticket context before deciding</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Submission is blocked until one of these decisions is made. No ticket is created until the submitter has consciously engaged with the duplicate candidates.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none" w:color="FFFFFF" w:sz="0"/>
              <w:right w:val="none" w:color="FFFFFF" w:sz="0"/>
            </w:tcBorders>
            <w:shd w:fill="FFFBEB" w:val="clear"/>
            <w:tcMar>
              <w:top w:type="dxa" w:w="120"/>
              <w:left w:type="dxa" w:w="200"/>
              <w:bottom w:type="dxa" w:w="120"/>
              <w:right w:type="dxa" w:w="120"/>
            </w:tcMar>
          </w:tcPr>
          <w:p>
            <w:pPr>
              <w:spacing w:before="0" w:after="0"/>
            </w:pPr>
            <w:r>
              <w:rPr>
                <w:rFonts w:ascii="Calibri" w:cs="Calibri" w:eastAsia="Calibri" w:hAnsi="Calibri"/>
                <w:b/>
                <w:bCs/>
                <w:color w:val="D97706"/>
                <w:sz w:val="22"/>
                <w:szCs w:val="22"/>
              </w:rPr>
              <w:t xml:space="preserve">◈  </w:t>
            </w:r>
            <w:r>
              <w:rPr>
                <w:rFonts w:ascii="Calibri" w:cs="Calibri" w:eastAsia="Calibri" w:hAnsi="Calibri"/>
                <w:color w:val="0F172A"/>
                <w:sz w:val="22"/>
                <w:szCs w:val="22"/>
              </w:rPr>
              <w:t xml:space="preserve">The exact review flow and UI for duplicate acknowledgment is still being designed. The behavior above represents the intended design — the final implementation may evolve as requirements mature.</w:t>
            </w:r>
          </w:p>
        </w:tc>
      </w:tr>
    </w:tbl>
    <w:p>
      <w:pPr>
        <w:spacing w:before="0" w:after="120"/>
      </w:pPr>
    </w:p>
    <w:p>
      <w:pPr>
        <w:spacing w:before="200" w:after="60"/>
      </w:pPr>
      <w:r>
        <w:rPr>
          <w:rFonts w:ascii="Calibri" w:cs="Calibri" w:eastAsia="Calibri" w:hAnsi="Calibri"/>
          <w:b/>
          <w:bCs/>
          <w:color w:val="0D7377"/>
          <w:sz w:val="22"/>
          <w:szCs w:val="22"/>
        </w:rPr>
        <w:t xml:space="preserve">The Duplicate Detection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MVP1 does not change how teams work. It changes what teams know before they start working. When a submission surfaces three existing tickets covering similar ground, the submitter can collaborate, reuse, or consciously proceed — rather than unknowingly duplicate months of work someone else already did.</w:t>
            </w:r>
          </w:p>
        </w:tc>
      </w:tr>
    </w:tbl>
    <w:p>
      <w:pPr>
        <w:spacing w:before="0" w:after="200"/>
      </w:pPr>
    </w:p>
    <w:p>
      <w:pPr>
        <w:pBdr>
          <w:bottom w:val="single" w:color="0D7377" w:sz="8"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45309"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B45309"/>
                <w:sz w:val="28"/>
                <w:szCs w:val="28"/>
              </w:rPr>
              <w:t xml:space="preserve">MVP2</w:t>
            </w:r>
          </w:p>
        </w:tc>
        <w:tc>
          <w:tcPr>
            <w:tcW w:type="dxa" w:w="7760"/>
            <w:tcBorders>
              <w:top w:val="single" w:color="B45309"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B45309"/>
                <w:sz w:val="28"/>
                <w:szCs w:val="28"/>
              </w:rPr>
              <w:t xml:space="preserve">Intake Classification — Smarter Prioritization</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MVP2 adds intelligence to every submission: automatic classification of what the intake is, where it belongs in the existing portfolio structure, and what type of work it represents. Classification is the prerequisite for meaningful prioritization — you cannot prioritize a backlog you cannot categorize.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4"/>
              <w:bottom w:val="none" w:color="FFFFFF" w:sz="0"/>
              <w:right w:val="none" w:color="FFFFFF" w:sz="0"/>
            </w:tcBorders>
            <w:shd w:fill="FFFBEB" w:val="clear"/>
            <w:tcMar>
              <w:top w:type="dxa" w:w="120"/>
              <w:left w:type="dxa" w:w="200"/>
              <w:bottom w:type="dxa" w:w="120"/>
              <w:right w:type="dxa" w:w="120"/>
            </w:tcMar>
          </w:tcPr>
          <w:p>
            <w:pPr>
              <w:spacing w:before="0" w:after="0"/>
            </w:pPr>
            <w:r>
              <w:rPr>
                <w:rFonts w:ascii="Calibri" w:cs="Calibri" w:eastAsia="Calibri" w:hAnsi="Calibri"/>
                <w:b/>
                <w:bCs/>
                <w:color w:val="D97706"/>
                <w:sz w:val="22"/>
                <w:szCs w:val="22"/>
              </w:rPr>
              <w:t xml:space="preserve">◈  </w:t>
            </w:r>
            <w:r>
              <w:rPr>
                <w:rFonts w:ascii="Calibri" w:cs="Calibri" w:eastAsia="Calibri" w:hAnsi="Calibri"/>
                <w:color w:val="0F172A"/>
                <w:sz w:val="22"/>
                <w:szCs w:val="22"/>
              </w:rPr>
              <w:t xml:space="preserve">Classification answers the question every product lead asks but no static form can answer: is this new work, an extension of existing work, or work that belongs under an Epic that already exists?</w:t>
            </w:r>
          </w:p>
        </w:tc>
      </w:tr>
    </w:tbl>
    <w:p>
      <w:pPr>
        <w:spacing w:before="0" w:after="120"/>
      </w:pPr>
    </w:p>
    <w:p>
      <w:pPr>
        <w:spacing w:before="260" w:after="80"/>
      </w:pPr>
      <w:r>
        <w:rPr>
          <w:rFonts w:ascii="Calibri" w:cs="Calibri" w:eastAsia="Calibri" w:hAnsi="Calibri"/>
          <w:b/>
          <w:bCs/>
          <w:color w:val="B45309"/>
          <w:sz w:val="24"/>
          <w:szCs w:val="24"/>
        </w:rPr>
        <w:t xml:space="preserve">Three Classification Dimensions</w:t>
      </w:r>
    </w:p>
    <w:p>
      <w:pPr>
        <w:spacing w:before="0" w:after="80"/>
      </w:pPr>
    </w:p>
    <w:p>
      <w:pPr>
        <w:spacing w:before="200" w:after="60"/>
      </w:pPr>
      <w:r>
        <w:rPr>
          <w:rFonts w:ascii="Calibri" w:cs="Calibri" w:eastAsia="Calibri" w:hAnsi="Calibri"/>
          <w:b/>
          <w:bCs/>
          <w:color w:val="0D7377"/>
          <w:sz w:val="22"/>
          <w:szCs w:val="22"/>
        </w:rPr>
        <w:t xml:space="preserve">Dimension 1 — Work Type</w:t>
      </w:r>
    </w:p>
    <w:p>
      <w:pPr>
        <w:spacing w:before="80" w:after="80"/>
      </w:pPr>
      <w:r>
        <w:rPr>
          <w:rFonts w:ascii="Calibri" w:cs="Calibri" w:eastAsia="Calibri" w:hAnsi="Calibri"/>
          <w:b w:val="false"/>
          <w:bCs w:val="false"/>
          <w:i w:val="false"/>
          <w:iCs w:val="false"/>
          <w:color w:val="0F172A"/>
          <w:sz w:val="22"/>
          <w:szCs w:val="22"/>
        </w:rPr>
        <w:t xml:space="preserve">Every submission is classified by what kind of work it represents. This drives which review queue it enters, which approval path it follows, and which team owns it.</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Work Type</w:t>
            </w:r>
          </w:p>
        </w:tc>
        <w:tc>
          <w:tcPr>
            <w:tcW w:type="dxa" w:w="67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It Means for Prioritization and Routing</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Net New Initiative</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No existing Epic in the portfolio. Requires full new Epic creation, business case review, and resource allocation decision. Highest governance scrutiny.</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New Feature on Existing Epic</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Extends work already approved and in progress. Enters the existing Epic's backlog for sprint planning. No new Epic creation required — routes directly to the owning team.</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AI / GenAI Specific</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Triggers AI-specific review criteria: model risk assessment, data governance requirements, regulatory exposure screening. Routes to AI governance review queue in addition to standard flow.</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Automation</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Process automation request. Assessed for feasibility, process ownership, and integration complexity. Routes to automation delivery team with complexity pre-classified.</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Data / Analytics</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Reporting or insights request. Assessed for data availability, access requirements, and existing asset reuse opportunities identified in MVP1 detection.</w:t>
            </w:r>
          </w:p>
        </w:tc>
      </w:tr>
      <w:tr>
        <w:tc>
          <w:tcPr>
            <w:tcW w:type="dxa" w:w="26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Support / Operational</w:t>
            </w:r>
          </w:p>
        </w:tc>
        <w:tc>
          <w:tcPr>
            <w:tcW w:type="dxa" w:w="67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Operational triage request. Routes to the appropriate support team based on system ownership and urgency classification.</w:t>
            </w:r>
          </w:p>
        </w:tc>
      </w:tr>
    </w:tbl>
    <w:p>
      <w:pPr>
        <w:spacing w:before="0" w:after="120"/>
      </w:pPr>
    </w:p>
    <w:p>
      <w:pPr>
        <w:spacing w:before="200" w:after="60"/>
      </w:pPr>
      <w:r>
        <w:rPr>
          <w:rFonts w:ascii="Calibri" w:cs="Calibri" w:eastAsia="Calibri" w:hAnsi="Calibri"/>
          <w:b/>
          <w:bCs/>
          <w:color w:val="0D7377"/>
          <w:sz w:val="22"/>
          <w:szCs w:val="22"/>
        </w:rPr>
        <w:t xml:space="preserve">Dimension 2 — Portfolio Position</w:t>
      </w:r>
    </w:p>
    <w:p>
      <w:pPr>
        <w:spacing w:before="80" w:after="80"/>
      </w:pPr>
      <w:r>
        <w:rPr>
          <w:rFonts w:ascii="Calibri" w:cs="Calibri" w:eastAsia="Calibri" w:hAnsi="Calibri"/>
          <w:b w:val="false"/>
          <w:bCs w:val="false"/>
          <w:i w:val="false"/>
          <w:iCs w:val="false"/>
          <w:color w:val="0F172A"/>
          <w:sz w:val="22"/>
          <w:szCs w:val="22"/>
        </w:rPr>
        <w:t xml:space="preserve">Beyond work type, MVP2 determines where the submission sits relative to the existing Jira portfolio. This builds on MVP1's duplicate detection — once the system knows what already exists, it determines the structural relationship between a new submission and the existing landscape.</w:t>
      </w:r>
    </w:p>
    <w:p>
      <w:pPr>
        <w:spacing w:before="0" w:after="80"/>
      </w:pPr>
    </w:p>
    <w:p>
      <w:pPr>
        <w:pStyle w:val="ListParagraph"/>
        <w:numPr>
          <w:ilvl w:val="0"/>
          <w:numId w:val="2"/>
        </w:numPr>
        <w:spacing w:before="60" w:after="60"/>
      </w:pPr>
      <w:r>
        <w:rPr>
          <w:rFonts w:ascii="Calibri" w:cs="Calibri" w:eastAsia="Calibri" w:hAnsi="Calibri"/>
          <w:color w:val="0F172A"/>
          <w:sz w:val="22"/>
          <w:szCs w:val="22"/>
        </w:rPr>
        <w:t xml:space="preserve">Does an existing Epic already own this problem space? The submission becomes a feature candidate under that Epic, not a new initiative.</w:t>
      </w:r>
    </w:p>
    <w:p>
      <w:pPr>
        <w:pStyle w:val="ListParagraph"/>
        <w:numPr>
          <w:ilvl w:val="0"/>
          <w:numId w:val="2"/>
        </w:numPr>
        <w:spacing w:before="60" w:after="60"/>
      </w:pPr>
      <w:r>
        <w:rPr>
          <w:rFonts w:ascii="Calibri" w:cs="Calibri" w:eastAsia="Calibri" w:hAnsi="Calibri"/>
          <w:color w:val="0F172A"/>
          <w:sz w:val="22"/>
          <w:szCs w:val="22"/>
        </w:rPr>
        <w:t xml:space="preserve">Is there related work in progress that this submission should be coordinated with, even if not a duplicate? The submission is flagged for cross-team coordination before planning begins.</w:t>
      </w:r>
    </w:p>
    <w:p>
      <w:pPr>
        <w:pStyle w:val="ListParagraph"/>
        <w:numPr>
          <w:ilvl w:val="0"/>
          <w:numId w:val="2"/>
        </w:numPr>
        <w:spacing w:before="60" w:after="60"/>
      </w:pPr>
      <w:r>
        <w:rPr>
          <w:rFonts w:ascii="Calibri" w:cs="Calibri" w:eastAsia="Calibri" w:hAnsi="Calibri"/>
          <w:color w:val="0F172A"/>
          <w:sz w:val="22"/>
          <w:szCs w:val="22"/>
        </w:rPr>
        <w:t xml:space="preserve">Is this genuinely net new with no existing Epic or related work? The submission enters the new initiative queue for full business case review.</w:t>
      </w:r>
    </w:p>
    <w:p>
      <w:pPr>
        <w:spacing w:before="0" w:after="120"/>
      </w:pPr>
    </w:p>
    <w:p>
      <w:pPr>
        <w:spacing w:before="200" w:after="60"/>
      </w:pPr>
      <w:r>
        <w:rPr>
          <w:rFonts w:ascii="Calibri" w:cs="Calibri" w:eastAsia="Calibri" w:hAnsi="Calibri"/>
          <w:b/>
          <w:bCs/>
          <w:color w:val="0D7377"/>
          <w:sz w:val="22"/>
          <w:szCs w:val="22"/>
        </w:rPr>
        <w:t xml:space="preserve">Dimension 3 — Prioritization Inputs</w:t>
      </w:r>
    </w:p>
    <w:p>
      <w:pPr>
        <w:spacing w:before="80" w:after="80"/>
      </w:pPr>
      <w:r>
        <w:rPr>
          <w:rFonts w:ascii="Calibri" w:cs="Calibri" w:eastAsia="Calibri" w:hAnsi="Calibri"/>
          <w:b w:val="false"/>
          <w:bCs w:val="false"/>
          <w:i w:val="false"/>
          <w:iCs w:val="false"/>
          <w:color w:val="0F172A"/>
          <w:sz w:val="22"/>
          <w:szCs w:val="22"/>
        </w:rPr>
        <w:t xml:space="preserve">Classification does not produce a priority ranking — prioritization is a human decision. What classification produces is the structured inputs that make that decision faster and better-grounded. The two inputs that matter most in this context:</w:t>
      </w:r>
    </w:p>
    <w:p>
      <w:pPr>
        <w:spacing w:before="0" w:after="80"/>
      </w:pPr>
    </w:p>
    <w:p>
      <w:pPr>
        <w:pStyle w:val="ListParagraph"/>
        <w:numPr>
          <w:ilvl w:val="0"/>
          <w:numId w:val="2"/>
        </w:numPr>
        <w:spacing w:before="60" w:after="60"/>
      </w:pPr>
      <w:r>
        <w:rPr>
          <w:rFonts w:ascii="Calibri" w:cs="Calibri" w:eastAsia="Calibri" w:hAnsi="Calibri"/>
          <w:b/>
          <w:bCs/>
          <w:color w:val="0F172A"/>
          <w:sz w:val="22"/>
          <w:szCs w:val="22"/>
        </w:rPr>
        <w:t xml:space="preserve">Resource availability — </w:t>
      </w:r>
      <w:r>
        <w:rPr>
          <w:rFonts w:ascii="Calibri" w:cs="Calibri" w:eastAsia="Calibri" w:hAnsi="Calibri"/>
          <w:color w:val="0F172A"/>
          <w:sz w:val="22"/>
          <w:szCs w:val="22"/>
        </w:rPr>
        <w:t xml:space="preserve">Does the team that would own this work have capacity? Classification routes submissions to the right team and surfaces the complexity tier, giving team leads the information needed to assess manpower impact before a commitment is made.</w:t>
      </w:r>
    </w:p>
    <w:p>
      <w:pPr>
        <w:pStyle w:val="ListParagraph"/>
        <w:numPr>
          <w:ilvl w:val="0"/>
          <w:numId w:val="2"/>
        </w:numPr>
        <w:spacing w:before="60" w:after="60"/>
      </w:pPr>
      <w:r>
        <w:rPr>
          <w:rFonts w:ascii="Calibri" w:cs="Calibri" w:eastAsia="Calibri" w:hAnsi="Calibri"/>
          <w:b/>
          <w:bCs/>
          <w:color w:val="0F172A"/>
          <w:sz w:val="22"/>
          <w:szCs w:val="22"/>
        </w:rPr>
        <w:t xml:space="preserve">OKR alignment — </w:t>
      </w:r>
      <w:r>
        <w:rPr>
          <w:rFonts w:ascii="Calibri" w:cs="Calibri" w:eastAsia="Calibri" w:hAnsi="Calibri"/>
          <w:color w:val="0F172A"/>
          <w:sz w:val="22"/>
          <w:szCs w:val="22"/>
        </w:rPr>
        <w:t xml:space="preserve">Does this work map to a current group or enterprise OKR? Classification tags each submission with its work type and portfolio position — the signals that allow reviewers to quickly assess whether this request is in-scope for the current planning period or should be deferred.</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Product leads and team leads receive submissions with these inputs already assembled. They are not reconstructing context from a blank form at the start of a prioritization meeting — the classification layer has already answered the questions that typically consume the first half of that conversation.</w:t>
      </w:r>
    </w:p>
    <w:p>
      <w:pPr>
        <w:spacing w:before="0" w:after="120"/>
      </w:pPr>
    </w:p>
    <w:p>
      <w:pPr>
        <w:spacing w:before="200" w:after="60"/>
      </w:pPr>
      <w:r>
        <w:rPr>
          <w:rFonts w:ascii="Calibri" w:cs="Calibri" w:eastAsia="Calibri" w:hAnsi="Calibri"/>
          <w:b/>
          <w:bCs/>
          <w:color w:val="0D7377"/>
          <w:sz w:val="22"/>
          <w:szCs w:val="22"/>
        </w:rPr>
        <w:t xml:space="preserve">The Classification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Without classification, a backlog is a list. With classification, a backlog is a portfolio. MVP2 turns 120+ intake submissions into a structured view of organizational demand — organized by type, positioned against existing work, and tagged with the capacity and OKR signals that drive prioritization decisions.</w:t>
            </w:r>
          </w:p>
        </w:tc>
      </w:tr>
    </w:tbl>
    <w:p>
      <w:pPr>
        <w:spacing w:before="0" w:after="200"/>
      </w:pPr>
    </w:p>
    <w:p>
      <w:pPr>
        <w:pBdr>
          <w:bottom w:val="single" w:color="B45309" w:sz="8" w:space="1"/>
        </w:pBd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6D28D9" w:sz="12"/>
              <w:left w:val="none" w:color="FFFFFF" w:sz="0"/>
              <w:bottom w:val="none" w:color="FFFFFF" w:sz="0"/>
              <w:right w:val="none" w:color="FFFFFF" w:sz="0"/>
            </w:tcBorders>
            <w:shd w:fill="F0F4FF" w:val="clear"/>
            <w:tcMar>
              <w:top w:type="dxa" w:w="140"/>
              <w:left w:type="dxa" w:w="160"/>
              <w:bottom w:type="dxa" w:w="140"/>
              <w:right w:type="dxa" w:w="160"/>
            </w:tcMar>
          </w:tcPr>
          <w:p>
            <w:pPr>
              <w:spacing w:before="0" w:after="0"/>
              <w:jc w:val="center"/>
            </w:pPr>
            <w:r>
              <w:rPr>
                <w:rFonts w:ascii="Calibri" w:cs="Calibri" w:eastAsia="Calibri" w:hAnsi="Calibri"/>
                <w:b/>
                <w:bCs/>
                <w:color w:val="6D28D9"/>
                <w:sz w:val="28"/>
                <w:szCs w:val="28"/>
              </w:rPr>
              <w:t xml:space="preserve">MVP3</w:t>
            </w:r>
          </w:p>
        </w:tc>
        <w:tc>
          <w:tcPr>
            <w:tcW w:type="dxa" w:w="7760"/>
            <w:tcBorders>
              <w:top w:val="single" w:color="6D28D9" w:sz="12"/>
              <w:left w:val="single" w:color="CBD5E1" w:sz="2"/>
              <w:bottom w:val="none" w:color="FFFFFF" w:sz="0"/>
              <w:right w:val="none" w:color="FFFFFF" w:sz="0"/>
            </w:tcBorders>
            <w:shd w:fill="F0F4FF" w:val="clear"/>
            <w:tcMar>
              <w:top w:type="dxa" w:w="140"/>
              <w:left w:type="dxa" w:w="160"/>
              <w:bottom w:type="dxa" w:w="140"/>
              <w:right w:type="dxa" w:w="160"/>
            </w:tcMar>
          </w:tcPr>
          <w:p>
            <w:pPr>
              <w:spacing w:before="0" w:after="0"/>
            </w:pPr>
            <w:r>
              <w:rPr>
                <w:rFonts w:ascii="Calibri" w:cs="Calibri" w:eastAsia="Calibri" w:hAnsi="Calibri"/>
                <w:b/>
                <w:bCs/>
                <w:color w:val="6D28D9"/>
                <w:sz w:val="28"/>
                <w:szCs w:val="28"/>
              </w:rPr>
              <w:t xml:space="preserve">Agile Artifact Generation — Compliance at Creation Time</w:t>
            </w:r>
          </w:p>
        </w:tc>
      </w:tr>
    </w:tbl>
    <w:p>
      <w:pPr>
        <w:spacing w:before="0" w:after="80"/>
      </w:pPr>
    </w:p>
    <w:p>
      <w:pPr>
        <w:spacing w:before="80" w:after="80"/>
      </w:pPr>
      <w:r>
        <w:rPr>
          <w:rFonts w:ascii="Calibri" w:cs="Calibri" w:eastAsia="Calibri" w:hAnsi="Calibri"/>
          <w:b w:val="false"/>
          <w:bCs w:val="false"/>
          <w:i w:val="false"/>
          <w:iCs w:val="false"/>
          <w:color w:val="0F172A"/>
          <w:sz w:val="22"/>
          <w:szCs w:val="22"/>
        </w:rPr>
        <w:t xml:space="preserve">MVP3 closes the loop between intake and execution. After a submission has been validated for quality (MVP0), cleared of duplication (MVP1), and classified into the portfolio structure (MVP2), MVP3 automatically generates the Jira agile artifacts required to begin delivery — structured to comply with company Jira artifact standards from the moment they are created.</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12"/>
              <w:left w:val="single" w:color="0D7377" w:sz="24"/>
              <w:bottom w:val="none" w:color="FFFFFF" w:sz="0"/>
              <w:right w:val="none" w:color="FFFFFF" w:sz="0"/>
            </w:tcBorders>
            <w:shd w:fill="EEF4FB" w:val="clear"/>
            <w:tcMar>
              <w:top w:type="dxa" w:w="120"/>
              <w:left w:type="dxa" w:w="200"/>
              <w:bottom w:type="dxa" w:w="120"/>
              <w:right w:type="dxa" w:w="120"/>
            </w:tcMar>
          </w:tcPr>
          <w:p>
            <w:pPr>
              <w:spacing w:before="0" w:after="0"/>
            </w:pPr>
            <w:r>
              <w:rPr>
                <w:rFonts w:ascii="Calibri" w:cs="Calibri" w:eastAsia="Calibri" w:hAnsi="Calibri"/>
                <w:b/>
                <w:bCs/>
                <w:color w:val="0D7377"/>
                <w:sz w:val="22"/>
                <w:szCs w:val="22"/>
              </w:rPr>
              <w:t xml:space="preserve">ℹ  </w:t>
            </w:r>
            <w:r>
              <w:rPr>
                <w:rFonts w:ascii="Calibri" w:cs="Calibri" w:eastAsia="Calibri" w:hAnsi="Calibri"/>
                <w:color w:val="0F172A"/>
                <w:sz w:val="22"/>
                <w:szCs w:val="22"/>
              </w:rPr>
              <w:t xml:space="preserve">Agile artifact quality is the same problem as intake quality — except it surfaces three sprints into delivery instead of at submission time. MVP3 moves the compliance check to the moment of creation.</w:t>
            </w:r>
          </w:p>
        </w:tc>
      </w:tr>
    </w:tbl>
    <w:p>
      <w:pPr>
        <w:spacing w:before="0" w:after="120"/>
      </w:pPr>
    </w:p>
    <w:p>
      <w:pPr>
        <w:spacing w:before="260" w:after="80"/>
      </w:pPr>
      <w:r>
        <w:rPr>
          <w:rFonts w:ascii="Calibri" w:cs="Calibri" w:eastAsia="Calibri" w:hAnsi="Calibri"/>
          <w:b/>
          <w:bCs/>
          <w:color w:val="6D28D9"/>
          <w:sz w:val="24"/>
          <w:szCs w:val="24"/>
        </w:rPr>
        <w:t xml:space="preserve">Three Failure Modes MVP3 Eliminates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Failure Mode</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Happens Without Artifact Generation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Non-Compliant Artifacts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Teams create Jira Epics, Stories, and acceptance criteria that do not meet company artifact standards. Compliance is caught — if at all — during sprint review or audit, not at creation. Remediation mid-sprint is costly and disruptive.</w:t>
            </w:r>
          </w:p>
        </w:tc>
      </w:tr>
      <w:tr>
        <w:tc>
          <w:tcPr>
            <w:tcW w:type="dxa" w:w="28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Incomplete Stories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User stories are created without required fields: acceptance criteria, definition of done, dependency links, regulatory tags. Reviewers and scrum masters chase completeness the same way intake reviewers chase clarification — a familiar and avoidable cycle.</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Wasted Scoping Time</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Engineers and product managers spend significant sprint planning time translating an approved intake into Jira artifacts. This translation is largely mechanical — it applies known templates to structured intake data. MVP3 does it automatically.</w:t>
            </w:r>
          </w:p>
        </w:tc>
      </w:tr>
    </w:tbl>
    <w:p>
      <w:pPr>
        <w:spacing w:before="0" w:after="120"/>
      </w:pPr>
    </w:p>
    <w:p>
      <w:pPr>
        <w:spacing w:before="260" w:after="80"/>
      </w:pPr>
      <w:r>
        <w:rPr>
          <w:rFonts w:ascii="Calibri" w:cs="Calibri" w:eastAsia="Calibri" w:hAnsi="Calibri"/>
          <w:b/>
          <w:bCs/>
          <w:color w:val="6D28D9"/>
          <w:sz w:val="24"/>
          <w:szCs w:val="24"/>
        </w:rPr>
        <w:t xml:space="preserve">What MVP3 Generates</w:t>
      </w:r>
    </w:p>
    <w:p>
      <w:pPr>
        <w:spacing w:before="80" w:after="80"/>
      </w:pPr>
      <w:r>
        <w:rPr>
          <w:rFonts w:ascii="Calibri" w:cs="Calibri" w:eastAsia="Calibri" w:hAnsi="Calibri"/>
          <w:b w:val="false"/>
          <w:bCs w:val="false"/>
          <w:i w:val="false"/>
          <w:iCs w:val="false"/>
          <w:color w:val="0F172A"/>
          <w:sz w:val="22"/>
          <w:szCs w:val="22"/>
        </w:rPr>
        <w:t xml:space="preserve">Using the validated, classified intake data as its source, MVP3 generates a full Jira artifact set — compliant with company policies at the moment of creation:</w:t>
      </w:r>
    </w:p>
    <w:p>
      <w:pPr>
        <w:spacing w:before="0" w:after="80"/>
      </w:pPr>
    </w:p>
    <w:p>
      <w:pPr>
        <w:pStyle w:val="ListParagraph"/>
        <w:numPr>
          <w:ilvl w:val="0"/>
          <w:numId w:val="2"/>
        </w:numPr>
        <w:spacing w:before="60" w:after="60"/>
      </w:pPr>
      <w:r>
        <w:rPr>
          <w:rFonts w:ascii="Calibri" w:cs="Calibri" w:eastAsia="Calibri" w:hAnsi="Calibri"/>
          <w:b/>
          <w:bCs/>
          <w:color w:val="0F172A"/>
          <w:sz w:val="22"/>
          <w:szCs w:val="22"/>
        </w:rPr>
        <w:t xml:space="preserve">Epic definition with required fields pre-populated from intake responses and classification output </w:t>
      </w:r>
      <w:r>
        <w:rPr>
          <w:rFonts w:ascii="Calibri" w:cs="Calibri" w:eastAsia="Calibri" w:hAnsi="Calibri"/>
          <w:color w:val="0F172A"/>
          <w:sz w:val="22"/>
          <w:szCs w:val="22"/>
        </w:rPr>
        <w:t xml:space="preserve">Epic —</w:t>
      </w:r>
    </w:p>
    <w:p>
      <w:pPr>
        <w:pStyle w:val="ListParagraph"/>
        <w:numPr>
          <w:ilvl w:val="0"/>
          <w:numId w:val="2"/>
        </w:numPr>
        <w:spacing w:before="60" w:after="60"/>
      </w:pPr>
      <w:r>
        <w:rPr>
          <w:rFonts w:ascii="Calibri" w:cs="Calibri" w:eastAsia="Calibri" w:hAnsi="Calibri"/>
          <w:b/>
          <w:bCs/>
          <w:color w:val="0F172A"/>
          <w:sz w:val="22"/>
          <w:szCs w:val="22"/>
        </w:rPr>
        <w:t xml:space="preserve">User stories broken down from the intake scope, each with structured acceptance criteria following the company definition-of-done standard </w:t>
      </w:r>
      <w:r>
        <w:rPr>
          <w:rFonts w:ascii="Calibri" w:cs="Calibri" w:eastAsia="Calibri" w:hAnsi="Calibri"/>
          <w:color w:val="0F172A"/>
          <w:sz w:val="22"/>
          <w:szCs w:val="22"/>
        </w:rPr>
        <w:t xml:space="preserve">Stories —</w:t>
      </w:r>
    </w:p>
    <w:p>
      <w:pPr>
        <w:pStyle w:val="ListParagraph"/>
        <w:numPr>
          <w:ilvl w:val="0"/>
          <w:numId w:val="2"/>
        </w:numPr>
        <w:spacing w:before="60" w:after="60"/>
      </w:pPr>
      <w:r>
        <w:rPr>
          <w:rFonts w:ascii="Calibri" w:cs="Calibri" w:eastAsia="Calibri" w:hAnsi="Calibri"/>
          <w:b/>
          <w:bCs/>
          <w:color w:val="0F172A"/>
          <w:sz w:val="22"/>
          <w:szCs w:val="22"/>
        </w:rPr>
        <w:t xml:space="preserve">Dependency links populated based on MVP1 duplicate detection output and MVP2 portfolio position data </w:t>
      </w:r>
      <w:r>
        <w:rPr>
          <w:rFonts w:ascii="Calibri" w:cs="Calibri" w:eastAsia="Calibri" w:hAnsi="Calibri"/>
          <w:color w:val="0F172A"/>
          <w:sz w:val="22"/>
          <w:szCs w:val="22"/>
        </w:rPr>
        <w:t xml:space="preserve">Dependencies —</w:t>
      </w:r>
    </w:p>
    <w:p>
      <w:pPr>
        <w:pStyle w:val="ListParagraph"/>
        <w:numPr>
          <w:ilvl w:val="0"/>
          <w:numId w:val="2"/>
        </w:numPr>
        <w:spacing w:before="60" w:after="60"/>
      </w:pPr>
      <w:r>
        <w:rPr>
          <w:rFonts w:ascii="Calibri" w:cs="Calibri" w:eastAsia="Calibri" w:hAnsi="Calibri"/>
          <w:b/>
          <w:bCs/>
          <w:color w:val="0F172A"/>
          <w:sz w:val="22"/>
          <w:szCs w:val="22"/>
        </w:rPr>
        <w:t xml:space="preserve">Regulatory and governance tags applied automatically based on work type classification (AI, data, automation) </w:t>
      </w:r>
      <w:r>
        <w:rPr>
          <w:rFonts w:ascii="Calibri" w:cs="Calibri" w:eastAsia="Calibri" w:hAnsi="Calibri"/>
          <w:color w:val="0F172A"/>
          <w:sz w:val="22"/>
          <w:szCs w:val="22"/>
        </w:rPr>
        <w:t xml:space="preserve">Tags —</w:t>
      </w:r>
    </w:p>
    <w:p>
      <w:pPr>
        <w:pStyle w:val="ListParagraph"/>
        <w:numPr>
          <w:ilvl w:val="0"/>
          <w:numId w:val="2"/>
        </w:numPr>
        <w:spacing w:before="60" w:after="60"/>
      </w:pPr>
      <w:r>
        <w:rPr>
          <w:rFonts w:ascii="Calibri" w:cs="Calibri" w:eastAsia="Calibri" w:hAnsi="Calibri"/>
          <w:b/>
          <w:bCs/>
          <w:color w:val="0F172A"/>
          <w:sz w:val="22"/>
          <w:szCs w:val="22"/>
        </w:rPr>
        <w:t xml:space="preserve">Complexity tier from MVP2 classification feeds initial story point guidance for sprint planning </w:t>
      </w:r>
      <w:r>
        <w:rPr>
          <w:rFonts w:ascii="Calibri" w:cs="Calibri" w:eastAsia="Calibri" w:hAnsi="Calibri"/>
          <w:color w:val="0F172A"/>
          <w:sz w:val="22"/>
          <w:szCs w:val="22"/>
        </w:rPr>
        <w:t xml:space="preserve">Estimates —</w:t>
      </w:r>
    </w:p>
    <w:p>
      <w:pPr>
        <w:spacing w:before="0" w:after="120"/>
      </w:pPr>
    </w:p>
    <w:p>
      <w:pPr>
        <w:spacing w:before="260" w:after="80"/>
      </w:pPr>
      <w:r>
        <w:rPr>
          <w:rFonts w:ascii="Calibri" w:cs="Calibri" w:eastAsia="Calibri" w:hAnsi="Calibri"/>
          <w:b/>
          <w:bCs/>
          <w:color w:val="6D28D9"/>
          <w:sz w:val="24"/>
          <w:szCs w:val="24"/>
        </w:rPr>
        <w:t xml:space="preserve">Compliance at Creation Time</w:t>
      </w:r>
    </w:p>
    <w:p>
      <w:pPr>
        <w:spacing w:before="80" w:after="80"/>
      </w:pPr>
      <w:r>
        <w:rPr>
          <w:rFonts w:ascii="Calibri" w:cs="Calibri" w:eastAsia="Calibri" w:hAnsi="Calibri"/>
          <w:b w:val="false"/>
          <w:bCs w:val="false"/>
          <w:i w:val="false"/>
          <w:iCs w:val="false"/>
          <w:color w:val="0F172A"/>
          <w:sz w:val="22"/>
          <w:szCs w:val="22"/>
        </w:rPr>
        <w:t xml:space="preserve">Company Jira policies define what a compliant artifact looks like: required fields, naming conventions, acceptance criteria format, dependency documentation, regulatory tagging. Today, compliance is assessed after the fact — in sprint reviews, audits, or when artifacts fail a process gate. MVP3 makes compliance the starting condition, not the audit outcome.</w:t>
      </w:r>
    </w:p>
    <w:p>
      <w:pPr>
        <w:spacing w:before="0" w:after="80"/>
      </w:pPr>
    </w:p>
    <w:p>
      <w:pPr>
        <w:spacing w:before="80" w:after="80"/>
      </w:pPr>
      <w:r>
        <w:rPr>
          <w:rFonts w:ascii="Calibri" w:cs="Calibri" w:eastAsia="Calibri" w:hAnsi="Calibri"/>
          <w:b w:val="false"/>
          <w:bCs w:val="false"/>
          <w:i w:val="false"/>
          <w:iCs w:val="false"/>
          <w:color w:val="0F172A"/>
          <w:sz w:val="22"/>
          <w:szCs w:val="22"/>
        </w:rPr>
        <w:t xml:space="preserve">The platform has all the data it needs because it collected, validated, and classified the intake. Generating a compliant artifact from that data is the natural final step of a process that has been building toward it from the first question of the intake conversation.</w:t>
      </w:r>
    </w:p>
    <w:p>
      <w:pPr>
        <w:spacing w:before="0" w:after="120"/>
      </w:pPr>
    </w:p>
    <w:p>
      <w:pPr>
        <w:spacing w:before="200" w:after="60"/>
      </w:pPr>
      <w:r>
        <w:rPr>
          <w:rFonts w:ascii="Calibri" w:cs="Calibri" w:eastAsia="Calibri" w:hAnsi="Calibri"/>
          <w:b/>
          <w:bCs/>
          <w:color w:val="0D7377"/>
          <w:sz w:val="22"/>
          <w:szCs w:val="22"/>
        </w:rPr>
        <w:t xml:space="preserve">The Artifact Generation Summary — How to Say It in a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D28D9" w:sz="32"/>
              <w:bottom w:val="none" w:color="FFFFFF" w:sz="0"/>
              <w:right w:val="none" w:color="FFFFFF" w:sz="0"/>
            </w:tcBorders>
            <w:shd w:fill="F8FAFC" w:val="clear"/>
            <w:tcMar>
              <w:top w:type="dxa" w:w="120"/>
              <w:left w:type="dxa" w:w="220"/>
              <w:bottom w:type="dxa" w:w="120"/>
              <w:right w:type="dxa" w:w="120"/>
            </w:tcMar>
          </w:tcPr>
          <w:p>
            <w:pPr>
              <w:spacing w:before="0" w:after="0"/>
            </w:pPr>
            <w:r>
              <w:rPr>
                <w:rFonts w:ascii="Calibri" w:cs="Calibri" w:eastAsia="Calibri" w:hAnsi="Calibri"/>
                <w:i/>
                <w:iCs/>
                <w:color w:val="0F172A"/>
                <w:sz w:val="22"/>
                <w:szCs w:val="22"/>
              </w:rPr>
              <w:t xml:space="preserve">By the time MVP3 runs, the system already knows everything a Jira artifact needs to contain. It collected it in the intake conversation, validated it against quality criteria, checked it against the existing portfolio, and classified it into the right work type. Generating a compliant Epic and story set is not a new capability — it is the final output of a process that has been accumulating the right data all along.</w:t>
            </w:r>
          </w:p>
        </w:tc>
      </w:tr>
    </w:tbl>
    <w:p>
      <w:pPr>
        <w:spacing w:before="0" w:after="200"/>
      </w:pPr>
    </w:p>
    <w:p>
      <w:pPr>
        <w:pBdr>
          <w:bottom w:val="single" w:color="6D28D9" w:sz="8" w:space="1"/>
        </w:pBdr>
        <w:spacing w:before="300" w:after="300"/>
      </w:pPr>
    </w:p>
    <w:p>
      <w:pPr>
        <w:pStyle w:val="Heading2"/>
        <w:spacing w:before="320" w:after="100"/>
      </w:pPr>
      <w:r>
        <w:rPr>
          <w:rFonts w:ascii="Calibri" w:cs="Calibri" w:eastAsia="Calibri" w:hAnsi="Calibri"/>
          <w:b/>
          <w:bCs/>
          <w:color w:val="0D7377"/>
          <w:sz w:val="28"/>
          <w:szCs w:val="28"/>
        </w:rPr>
        <w:t xml:space="preserve">Roadmap Summary</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080"/>
      </w:tblGrid>
      <w:tr>
        <w:tc>
          <w:tcPr>
            <w:tcW w:type="dxa" w:w="220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b/>
                <w:bCs/>
                <w:color w:val="FFFFFF"/>
                <w:sz w:val="18"/>
                <w:szCs w:val="18"/>
              </w:rPr>
              <w:t xml:space="preserve">Phase</w:t>
            </w:r>
          </w:p>
        </w:tc>
        <w:tc>
          <w:tcPr>
            <w:tcW w:type="dxa" w:w="40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Capability Added</w:t>
            </w:r>
          </w:p>
        </w:tc>
        <w:tc>
          <w:tcPr>
            <w:tcW w:type="dxa" w:w="3080"/>
            <w:tcBorders>
              <w:top w:val="single" w:color="CBD5E1" w:sz="1"/>
              <w:left w:val="single" w:color="CBD5E1" w:sz="1"/>
              <w:bottom w:val="single" w:color="CBD5E1" w:sz="1"/>
              <w:right w:val="single" w:color="CBD5E1" w:sz="1"/>
            </w:tcBorders>
            <w:shd w:fill="1E3A5F" w:val="clear"/>
            <w:tcMar>
              <w:top w:type="dxa" w:w="100"/>
              <w:left w:type="dxa" w:w="140"/>
              <w:bottom w:type="dxa" w:w="100"/>
              <w:right w:type="dxa" w:w="140"/>
            </w:tcMar>
          </w:tcPr>
          <w:p>
            <w:pPr>
              <w:spacing w:before="0" w:after="0"/>
            </w:pPr>
            <w:r>
              <w:rPr>
                <w:rFonts w:ascii="Calibri" w:cs="Calibri" w:eastAsia="Calibri" w:hAnsi="Calibri"/>
                <w:color w:val="FFFFFF"/>
                <w:sz w:val="20"/>
                <w:szCs w:val="20"/>
              </w:rPr>
              <w:t xml:space="preserve">What It Eliminates</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MVP0 — Quality</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Validated, complete, guideline-adherent submissions before any Jira ticket is created</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Reviewer back-and-forth, vague submissions, incomplete forms reaching the backlog</w:t>
            </w:r>
          </w:p>
        </w:tc>
      </w:tr>
      <w:tr>
        <w:tc>
          <w:tcPr>
            <w:tcW w:type="dxa" w:w="22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MVP1 — Duplication</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Three-layer cross-portfolio duplicate search across all 120+ intake types and existing Jira Epics</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Redundant builds, missed collaboration, parallel workstreams discovered mid-development</w:t>
            </w:r>
          </w:p>
        </w:tc>
      </w:tr>
      <w:tr>
        <w:tc>
          <w:tcPr>
            <w:tcW w:type="dxa" w:w="220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MVP2 — Classification</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Automatic work type classification, portfolio positioning, and priority signal generation</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Unstructured backlogs, prioritization without context, new Epics for existing problem spaces</w:t>
            </w:r>
          </w:p>
        </w:tc>
      </w:tr>
      <w:tr>
        <w:tc>
          <w:tcPr>
            <w:tcW w:type="dxa" w:w="2200"/>
            <w:tcBorders>
              <w:top w:val="single" w:color="CBD5E1" w:sz="1"/>
              <w:left w:val="single" w:color="CBD5E1" w:sz="1"/>
              <w:bottom w:val="single" w:color="CBD5E1" w:sz="1"/>
              <w:right w:val="single" w:color="CBD5E1" w:sz="1"/>
            </w:tcBorders>
            <w:shd w:fill="EEF4FB" w:val="clear"/>
            <w:tcMar>
              <w:top w:type="dxa" w:w="100"/>
              <w:left w:type="dxa" w:w="140"/>
              <w:bottom w:type="dxa" w:w="100"/>
              <w:right w:type="dxa" w:w="140"/>
            </w:tcMar>
          </w:tcPr>
          <w:p>
            <w:pPr>
              <w:spacing w:before="0" w:after="0"/>
            </w:pPr>
            <w:r>
              <w:rPr>
                <w:rFonts w:ascii="Calibri" w:cs="Calibri" w:eastAsia="Calibri" w:hAnsi="Calibri"/>
                <w:b/>
                <w:bCs/>
                <w:color w:val="1E3A5F"/>
                <w:sz w:val="20"/>
                <w:szCs w:val="20"/>
              </w:rPr>
              <w:t xml:space="preserve">MVP3 — Artifacts</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Auto-generated, policy-compliant Jira Epics, stories, and acceptance criteria from validated intake data</w:t>
            </w:r>
          </w:p>
        </w:tc>
        <w:tc>
          <w:tcPr>
            <w:tcW w:type="dxa" w:w="3080"/>
            <w:tcBorders>
              <w:top w:val="single" w:color="CBD5E1" w:sz="1"/>
              <w:left w:val="single" w:color="CBD5E1" w:sz="1"/>
              <w:bottom w:val="single" w:color="CBD5E1" w:sz="1"/>
              <w:right w:val="single" w:color="CBD5E1" w:sz="1"/>
            </w:tcBorders>
            <w:shd w:fill="FFFFFF" w:val="clear"/>
            <w:tcMar>
              <w:top w:type="dxa" w:w="100"/>
              <w:left w:type="dxa" w:w="140"/>
              <w:bottom w:type="dxa" w:w="100"/>
              <w:right w:type="dxa" w:w="140"/>
            </w:tcMar>
          </w:tcPr>
          <w:p>
            <w:pPr>
              <w:spacing w:before="0" w:after="0"/>
            </w:pPr>
            <w:r>
              <w:rPr>
                <w:rFonts w:ascii="Calibri" w:cs="Calibri" w:eastAsia="Calibri" w:hAnsi="Calibri"/>
                <w:color w:val="0F172A"/>
                <w:sz w:val="20"/>
                <w:szCs w:val="20"/>
              </w:rPr>
              <w:t xml:space="preserve">Non-compliant artifacts, translation overhead, mid-sprint compliance remediation</w:t>
            </w:r>
          </w:p>
        </w:tc>
      </w:tr>
    </w:tbl>
    <w:p>
      <w:pPr>
        <w:spacing w:before="0" w:after="200"/>
      </w:pPr>
    </w:p>
    <w:p>
      <w:pPr>
        <w:pBdr>
          <w:bottom w:val="single" w:color="CBD5E1" w:sz="4" w:space="1"/>
        </w:pBdr>
        <w:spacing w:before="300" w:after="300"/>
      </w:pPr>
    </w:p>
    <w:p>
      <w:pPr>
        <w:pStyle w:val="Heading2"/>
        <w:spacing w:before="320" w:after="100"/>
      </w:pPr>
      <w:r>
        <w:rPr>
          <w:rFonts w:ascii="Calibri" w:cs="Calibri" w:eastAsia="Calibri" w:hAnsi="Calibri"/>
          <w:b/>
          <w:bCs/>
          <w:color w:val="0D7377"/>
          <w:sz w:val="28"/>
          <w:szCs w:val="28"/>
        </w:rPr>
        <w:t xml:space="preserve">Proposed Path Forward: 60-Day Parallel Pilot</w:t>
      </w:r>
    </w:p>
    <w:p>
      <w:pPr>
        <w:spacing w:before="80" w:after="80"/>
      </w:pPr>
      <w:r>
        <w:rPr>
          <w:rFonts w:ascii="Calibri" w:cs="Calibri" w:eastAsia="Calibri" w:hAnsi="Calibri"/>
          <w:b w:val="false"/>
          <w:bCs w:val="false"/>
          <w:i w:val="false"/>
          <w:iCs w:val="false"/>
          <w:color w:val="0F172A"/>
          <w:sz w:val="22"/>
          <w:szCs w:val="22"/>
        </w:rPr>
        <w:t xml:space="preserve">The platform is operational with MVP0 complete and 12 intake configurations active. The proposed next step is a 60-day parallel pilot with one or two business lines — running alongside the current intake process, not replacing it.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24"/>
              <w:bottom w:val="none" w:color="FFFFFF" w:sz="0"/>
              <w:right w:val="none" w:color="FFFFFF" w:sz="0"/>
            </w:tcBorders>
            <w:shd w:fill="ECFDF5" w:val="clear"/>
            <w:tcMar>
              <w:top w:type="dxa" w:w="120"/>
              <w:left w:type="dxa" w:w="200"/>
              <w:bottom w:type="dxa" w:w="120"/>
              <w:right w:type="dxa" w:w="120"/>
            </w:tcMar>
          </w:tcPr>
          <w:p>
            <w:pPr>
              <w:spacing w:before="0" w:after="0"/>
            </w:pPr>
            <w:r>
              <w:rPr>
                <w:rFonts w:ascii="Calibri" w:cs="Calibri" w:eastAsia="Calibri" w:hAnsi="Calibri"/>
                <w:b/>
                <w:bCs/>
                <w:color w:val="059669"/>
                <w:sz w:val="22"/>
                <w:szCs w:val="22"/>
              </w:rPr>
              <w:t xml:space="preserve">✓  </w:t>
            </w:r>
            <w:r>
              <w:rPr>
                <w:rFonts w:ascii="Calibri" w:cs="Calibri" w:eastAsia="Calibri" w:hAnsi="Calibri"/>
                <w:color w:val="0F172A"/>
                <w:sz w:val="22"/>
                <w:szCs w:val="22"/>
              </w:rPr>
              <w:t xml:space="preserve">No existing process is disrupted during the pilot. Teams continue current intake processes in parallel. The platform runs as an additive triage layer only.</w:t>
            </w:r>
          </w:p>
        </w:tc>
      </w:tr>
    </w:tbl>
    <w:p>
      <w:pPr>
        <w:spacing w:before="0" w:after="120"/>
      </w:pPr>
    </w:p>
    <w:p>
      <w:pPr>
        <w:spacing w:before="80" w:after="80"/>
      </w:pPr>
      <w:r>
        <w:rPr>
          <w:rFonts w:ascii="Calibri" w:cs="Calibri" w:eastAsia="Calibri" w:hAnsi="Calibri"/>
          <w:b w:val="false"/>
          <w:bCs w:val="false"/>
          <w:i w:val="false"/>
          <w:iCs w:val="false"/>
          <w:color w:val="0F172A"/>
          <w:sz w:val="22"/>
          <w:szCs w:val="22"/>
        </w:rPr>
        <w:t xml:space="preserve">At the end of 60 days, the pilot generates concrete evidence on:</w:t>
      </w:r>
    </w:p>
    <w:p>
      <w:pPr>
        <w:spacing w:before="0" w:after="60"/>
      </w:pPr>
    </w:p>
    <w:p>
      <w:pPr>
        <w:pStyle w:val="ListParagraph"/>
        <w:numPr>
          <w:ilvl w:val="0"/>
          <w:numId w:val="2"/>
        </w:numPr>
        <w:spacing w:before="60" w:after="60"/>
      </w:pPr>
      <w:r>
        <w:rPr>
          <w:rFonts w:ascii="Calibri" w:cs="Calibri" w:eastAsia="Calibri" w:hAnsi="Calibri"/>
          <w:color w:val="0F172A"/>
          <w:sz w:val="22"/>
          <w:szCs w:val="22"/>
        </w:rPr>
        <w:t xml:space="preserve">Submission quality rates — completeness and guideline adherence before and after validation</w:t>
      </w:r>
    </w:p>
    <w:p>
      <w:pPr>
        <w:pStyle w:val="ListParagraph"/>
        <w:numPr>
          <w:ilvl w:val="0"/>
          <w:numId w:val="2"/>
        </w:numPr>
        <w:spacing w:before="60" w:after="60"/>
      </w:pPr>
      <w:r>
        <w:rPr>
          <w:rFonts w:ascii="Calibri" w:cs="Calibri" w:eastAsia="Calibri" w:hAnsi="Calibri"/>
          <w:color w:val="0F172A"/>
          <w:sz w:val="22"/>
          <w:szCs w:val="22"/>
        </w:rPr>
        <w:t xml:space="preserve">Duplicate instances surfaced before resource allocation began</w:t>
      </w:r>
    </w:p>
    <w:p>
      <w:pPr>
        <w:pStyle w:val="ListParagraph"/>
        <w:numPr>
          <w:ilvl w:val="0"/>
          <w:numId w:val="2"/>
        </w:numPr>
        <w:spacing w:before="60" w:after="60"/>
      </w:pPr>
      <w:r>
        <w:rPr>
          <w:rFonts w:ascii="Calibri" w:cs="Calibri" w:eastAsia="Calibri" w:hAnsi="Calibri"/>
          <w:color w:val="0F172A"/>
          <w:sz w:val="22"/>
          <w:szCs w:val="22"/>
        </w:rPr>
        <w:t xml:space="preserve">Reviewer time recovered from clarification back-and-forth cycles</w:t>
      </w:r>
    </w:p>
    <w:p>
      <w:pPr>
        <w:pStyle w:val="ListParagraph"/>
        <w:numPr>
          <w:ilvl w:val="0"/>
          <w:numId w:val="2"/>
        </w:numPr>
        <w:spacing w:before="60" w:after="60"/>
      </w:pPr>
      <w:r>
        <w:rPr>
          <w:rFonts w:ascii="Calibri" w:cs="Calibri" w:eastAsia="Calibri" w:hAnsi="Calibri"/>
          <w:color w:val="0F172A"/>
          <w:sz w:val="22"/>
          <w:szCs w:val="22"/>
        </w:rPr>
        <w:t xml:space="preserve">Submissions redirected based on quality or duplication flags — before cost was committed</w:t>
      </w:r>
    </w:p>
    <w:p>
      <w:pPr>
        <w:spacing w:before="0" w:after="200"/>
      </w:pPr>
    </w:p>
    <w:p>
      <w:pPr>
        <w:pBdr>
          <w:bottom w:val="single" w:color="CBD5E1" w:sz="4" w:space="1"/>
        </w:pBdr>
        <w:spacing w:before="300" w:after="300"/>
      </w:pPr>
    </w:p>
    <w:p>
      <w:pPr>
        <w:spacing w:before="160" w:after="0"/>
        <w:jc w:val="left"/>
      </w:pPr>
      <w:r>
        <w:rPr>
          <w:rFonts w:ascii="Calibri" w:cs="Calibri" w:eastAsia="Calibri" w:hAnsi="Calibri"/>
          <w:color w:val="64748B"/>
          <w:sz w:val="18"/>
          <w:szCs w:val="18"/>
        </w:rPr>
        <w:t xml:space="preserve">Status: MVP0 Complete · MVP1 Ready · MVP2 In Design · MVP3 Planned  ·  </w:t>
      </w:r>
      <w:r>
        <w:rPr>
          <w:rFonts w:ascii="Calibri" w:cs="Calibri" w:eastAsia="Calibri" w:hAnsi="Calibri"/>
          <w:color w:val="64748B"/>
          <w:sz w:val="18"/>
          <w:szCs w:val="18"/>
        </w:rPr>
        <w:t xml:space="preserve">Owner: Principal AI Engineer, Lending AI Platform  ·  Version 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00"/>
      <w:outlineLvl w:val="1"/>
    </w:pPr>
    <w:rPr>
      <w:rFonts w:ascii="Calibri" w:cs="Calibri" w:eastAsia="Calibri" w:hAnsi="Calibri"/>
      <w:b/>
      <w:bCs/>
      <w:color w:val="0D737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2026-02-26T17:08:26.592Z</dcterms:created>
  <dcterms:modified xsi:type="dcterms:W3CDTF">2026-02-26T17:08:26.593Z</dcterms:modified>
</cp:coreProperties>
</file>

<file path=docProps/custom.xml><?xml version="1.0" encoding="utf-8"?>
<Properties xmlns="http://schemas.openxmlformats.org/officeDocument/2006/custom-properties" xmlns:vt="http://schemas.openxmlformats.org/officeDocument/2006/docPropsVTypes"/>
</file>