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1F3864"/>
          <w:sz w:val="56"/>
          <w:szCs w:val="56"/>
        </w:rPr>
        <w:t xml:space="preserve">Policy Change System</w:t>
      </w:r>
    </w:p>
    <w:p>
      <w:pPr>
        <w:spacing w:after="120" w:before="0"/>
        <w:jc w:val="center"/>
      </w:pPr>
      <w:r>
        <w:rPr>
          <w:rFonts w:ascii="Arial" w:cs="Arial" w:eastAsia="Arial" w:hAnsi="Arial"/>
          <w:color w:val="2E75B6"/>
          <w:sz w:val="36"/>
          <w:szCs w:val="36"/>
        </w:rPr>
        <w:t xml:space="preserve">Architect FAQ</w:t>
      </w:r>
    </w:p>
    <w:p>
      <w:pPr>
        <w:spacing w:after="3600" w:before="120"/>
        <w:jc w:val="center"/>
      </w:pPr>
      <w:r>
        <w:rPr>
          <w:rFonts w:ascii="Arial" w:cs="Arial" w:eastAsia="Arial" w:hAnsi="Arial"/>
          <w:i/>
          <w:iCs/>
          <w:color w:val="555555"/>
          <w:sz w:val="22"/>
          <w:szCs w:val="22"/>
        </w:rPr>
        <w:t xml:space="preserve">Technical questions and answers on design decisions, complexity, optimization, and testing</w:t>
      </w:r>
    </w:p>
    <w:p>
      <w:pPr>
        <w:pageBreakBefore/>
      </w:pPr>
      <w:r>
        <w:rPr>
          <w:rFonts w:ascii="Arial" w:cs="Arial" w:eastAsia="Arial" w:hAnsi="Arial"/>
        </w:rPr>
        <w:t xml:space="preserve"/>
      </w:r>
    </w:p>
    <w:p>
      <w:pPr>
        <w:pStyle w:val="Heading1"/>
      </w:pPr>
      <w:r>
        <w:rPr>
          <w:rFonts w:ascii="Arial" w:cs="Arial" w:eastAsia="Arial" w:hAnsi="Arial"/>
          <w:b/>
          <w:bCs/>
        </w:rPr>
        <w:t xml:space="preserve">1.  Vector DB Construction</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Why do we batch process the entire policy database into the Vector DB up front? Why not build it on demand at query time since this is not a real-time system?</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This question is really asking about two different architectural choices: ingesting the entire policy database up front versus ingesting only the policy that changed when a change notification arrives. It is important to clarify that construction and querying never happen at the same time. When a change notification arrives, the construction pipeline runs first for that policy and its related documents, and only after all data is stored in the Vector DB does the query pipeline begin. The question is whether to pre-build the index for all policies or build it only for the policy that triggered the notification.</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Per-policy on-demand ingestion is a perfectly valid approach for this system, and it is simpler to implement. When a notification arrives, you run construction for that one policy and its supporting documents, wait for it to complete, then run the query pipeline. This works correctly and keeps the index small since only changed policies are ever in it.</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However, pre-building the index for the entire policy database offers several advantages that become meaningful at scale.</w:t>
      </w:r>
    </w:p>
    <w:p>
      <w:pPr>
        <w:spacing w:after="60" w:before="60"/>
      </w:pPr>
      <w:r>
        <w:rPr>
          <w:rFonts w:ascii="Arial" w:cs="Arial" w:eastAsia="Arial" w:hAnsi="Arial"/>
        </w:rPr>
        <w:t xml:space="preserve"/>
      </w:r>
    </w:p>
    <w:p>
      <w:pPr>
        <w:spacing w:after="120" w:before="80"/>
      </w:pPr>
      <w:r>
        <w:rPr>
          <w:rFonts w:ascii="Arial" w:cs="Arial" w:eastAsia="Arial" w:hAnsi="Arial"/>
          <w:sz w:val="22"/>
          <w:szCs w:val="22"/>
          <w:b/>
          <w:bCs/>
        </w:rPr>
        <w:t xml:space="preserve">Reduced wait time when a notification arrives.</w:t>
      </w:r>
      <w:r>
        <w:rPr>
          <w:rFonts w:ascii="Arial" w:cs="Arial" w:eastAsia="Arial" w:hAnsi="Arial"/>
          <w:sz w:val="22"/>
          <w:szCs w:val="22"/>
        </w:rPr>
        <w:t xml:space="preserve"> If the index is already built for the changed policy, the construction step only needs to process the delta: the sections and documents that actually changed. The content hash check in Step 7 skips every chunk whose text is identical to the previous version. For a policy where only one section changed, this means re-embedding a handful of chunks rather than the full document set. If construction is deferred entirely to notification time, there is no prior index to compare against and the full construction cost is paid every time.</w:t>
      </w:r>
    </w:p>
    <w:p>
      <w:pPr>
        <w:spacing w:after="60" w:before="60"/>
      </w:pPr>
      <w:r>
        <w:rPr>
          <w:rFonts w:ascii="Arial" w:cs="Arial" w:eastAsia="Arial" w:hAnsi="Arial"/>
        </w:rPr>
        <w:t xml:space="preserve"/>
      </w:r>
    </w:p>
    <w:p>
      <w:pPr>
        <w:spacing w:after="120" w:before="80"/>
      </w:pPr>
      <w:r>
        <w:rPr>
          <w:rFonts w:ascii="Arial" w:cs="Arial" w:eastAsia="Arial" w:hAnsi="Arial"/>
          <w:sz w:val="22"/>
          <w:szCs w:val="22"/>
          <w:b/>
          <w:bCs/>
        </w:rPr>
        <w:t xml:space="preserve">Cross-policy retrieval in Part 2.</w:t>
      </w:r>
      <w:r>
        <w:rPr>
          <w:rFonts w:ascii="Arial" w:cs="Arial" w:eastAsia="Arial" w:hAnsi="Arial"/>
          <w:sz w:val="22"/>
          <w:szCs w:val="22"/>
        </w:rPr>
        <w:t xml:space="preserve"> Supporting documents are sometimes shared across multiple policies. If those documents are already indexed from a prior policy run, their chunks are already in the policy index and do not need to be re-embedded when a different policy that references the same documents is processed. Per-policy ingestion would re-embed shared documents on every run that touches them.</w:t>
      </w:r>
    </w:p>
    <w:p>
      <w:pPr>
        <w:spacing w:after="60" w:before="60"/>
      </w:pPr>
      <w:r>
        <w:rPr>
          <w:rFonts w:ascii="Arial" w:cs="Arial" w:eastAsia="Arial" w:hAnsi="Arial"/>
        </w:rPr>
        <w:t xml:space="preserve"/>
      </w:r>
    </w:p>
    <w:p>
      <w:pPr>
        <w:spacing w:after="120" w:before="80"/>
      </w:pPr>
      <w:r>
        <w:rPr>
          <w:rFonts w:ascii="Arial" w:cs="Arial" w:eastAsia="Arial" w:hAnsi="Arial"/>
          <w:sz w:val="22"/>
          <w:szCs w:val="22"/>
          <w:b/>
          <w:bCs/>
        </w:rPr>
        <w:t xml:space="preserve">Consistent LOB index state.</w:t>
      </w:r>
      <w:r>
        <w:rPr>
          <w:rFonts w:ascii="Arial" w:cs="Arial" w:eastAsia="Arial" w:hAnsi="Arial"/>
          <w:sz w:val="22"/>
          <w:szCs w:val="22"/>
        </w:rPr>
        <w:t xml:space="preserve"> The LOB index is independent of any individual policy. It contains the profiles of all lines of business from the external system. This index needs to be built once and refreshed on its own schedule regardless of which policies are changing. Pre-building the full index at startup establishes a clean baseline for the LOB index that all subsequent policy runs can rely on.</w:t>
      </w:r>
    </w:p>
    <w:p>
      <w:pPr>
        <w:spacing w:after="60" w:before="60"/>
      </w:pPr>
      <w:r>
        <w:rPr>
          <w:rFonts w:ascii="Arial" w:cs="Arial" w:eastAsia="Arial" w:hAnsi="Arial"/>
        </w:rPr>
        <w:t xml:space="preserve"/>
      </w:r>
    </w:p>
    <w:p>
      <w:pPr>
        <w:spacing w:after="120" w:before="80"/>
      </w:pPr>
      <w:r>
        <w:rPr>
          <w:rFonts w:ascii="Arial" w:cs="Arial" w:eastAsia="Arial" w:hAnsi="Arial"/>
          <w:sz w:val="22"/>
          <w:szCs w:val="22"/>
          <w:b/>
          <w:bCs/>
        </w:rPr>
        <w:t xml:space="preserve">Operational simplicity.</w:t>
      </w:r>
      <w:r>
        <w:rPr>
          <w:rFonts w:ascii="Arial" w:cs="Arial" w:eastAsia="Arial" w:hAnsi="Arial"/>
          <w:sz w:val="22"/>
          <w:szCs w:val="22"/>
        </w:rPr>
        <w:t xml:space="preserve"> When the index covers all policies, the query pipeline always finds the policy it needs already indexed. There is no need for the pipeline to check whether an index exists and branch into a construction-then-query sequence. The two pipelines remain cleanly separated with clear responsibilities. Per-policy ingestion introduces conditional logic at the start of every query run.</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In summary, per-policy on-demand ingestion is simpler and sufficient for low volumes. Full database pre-ingestion is preferred when the policy database is large, when supporting documents are shared across policies, or when the time between notification and completed analysis needs to be minimized. The content hash mechanism ensures that pre-building the full index does not create ongoing maintenance burden, since re-runs are cheap for policies that have not changed.</w:t>
      </w:r>
    </w:p>
    <w:p>
      <w:pPr>
        <w:spacing w:after="60" w:before="60"/>
      </w:pPr>
      <w:r>
        <w:rPr>
          <w:rFonts w:ascii="Arial" w:cs="Arial" w:eastAsia="Arial" w:hAnsi="Arial"/>
        </w:rPr>
        <w:t xml:space="preserve"/>
      </w:r>
    </w:p>
    <w:p>
      <w:pPr>
        <w:pBdr>
          <w:left w:val="single" w:color="2E75B6" w:sz="20" w:space="8"/>
        </w:pBdr>
        <w:shd w:fill="EEF4FB" w:val="clear"/>
        <w:spacing w:after="100" w:before="100"/>
        <w:ind w:left="480"/>
      </w:pPr>
      <w:r>
        <w:rPr>
          <w:rFonts w:ascii="Arial" w:cs="Arial" w:eastAsia="Arial" w:hAnsi="Arial"/>
          <w:i/>
          <w:iCs/>
          <w:color w:val="1F3864"/>
          <w:sz w:val="22"/>
          <w:szCs w:val="22"/>
        </w:rPr>
        <w:t xml:space="preserve">Design principle: construction and querying are always sequential, never simultaneous. The choice is whether to build the index proactively across all policies or reactively for one policy at a time. Both are valid. Pre-building is preferred when scale or shared documents make the incremental cost meaningful.</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How often does the construction pipeline need to re-run?</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construction pipeline re-runs for a specific policy when one of two things happens: a new version of the policy document or any of its supporting documents is loaded into the Relational DB, or the LOB profiles in the external system change. In both cases only the affected chunks need to be re-embedded thanks to the content hash check. The LOB index should be refreshed on a nightly schedule at minimum, since LOB profile changes in the external system do not produce a notification event.</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What happens if the Vector DB is stale when a change notification arrives?</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query pipeline will still function correctly. The relevance filter and impact assessment in Part 1 use the requirement text extracted live from the HTML at query time, not from the Vector DB. The Vector DB is only used for LOB candidate search (searching the LOB index with requirement text) and for document section retrieval in Part 2. If LOB profiles in the index are slightly stale, the candidate search may return marginally less precise results, but the LLM applicability call in Part 1 uses the full profile text from MongoDB and will correct for this. After the query pipeline completes, the construction pipeline re-runs for the changed policy to bring the index fully current.</w:t>
      </w:r>
    </w:p>
    <w:p>
      <w:pPr>
        <w:spacing w:after="60" w:before="60"/>
      </w:pPr>
      <w:r>
        <w:rPr>
          <w:rFonts w:ascii="Arial" w:cs="Arial" w:eastAsia="Arial" w:hAnsi="Arial"/>
        </w:rPr>
        <w:t xml:space="preserve"/>
      </w:r>
    </w:p>
    <w:p>
      <w:pPr>
        <w:pStyle w:val="Heading1"/>
      </w:pPr>
      <w:r>
        <w:rPr>
          <w:rFonts w:ascii="Arial" w:cs="Arial" w:eastAsia="Arial" w:hAnsi="Arial"/>
          <w:b/>
          <w:bCs/>
        </w:rPr>
        <w:t xml:space="preserve">2.  Complexity</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What is the call count complexity for each part of the system?</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table below summarizes the number of calls at each stage and what drives that number. The key insight is that Part 1 and Part 2 are both bounded by the number of impacted LOBs, not by the total number of requirements or supporting documents.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rPr>
          <w:tblHeader/>
        </w:trPr>
        <w:tc>
          <w:tcPr>
            <w:tcW w:type="dxa" w:w="2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20"/>
                <w:szCs w:val="20"/>
              </w:rPr>
              <w:t xml:space="preserve">Stage</w:t>
            </w:r>
          </w:p>
        </w:tc>
        <w:tc>
          <w:tcPr>
            <w:tcW w:type="dxa" w:w="18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20"/>
                <w:szCs w:val="20"/>
              </w:rPr>
              <w:t xml:space="preserve">Call count</w:t>
            </w:r>
          </w:p>
        </w:tc>
        <w:tc>
          <w:tcPr>
            <w:tcW w:type="dxa" w:w="21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20"/>
                <w:szCs w:val="20"/>
              </w:rPr>
              <w:t xml:space="preserve">Example</w:t>
            </w:r>
          </w:p>
        </w:tc>
        <w:tc>
          <w:tcPr>
            <w:tcW w:type="dxa" w:w="3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20"/>
                <w:szCs w:val="20"/>
              </w:rPr>
              <w:t xml:space="preserve">What drives the number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Vector DB construction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One embed per chunk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~500 chunks per policy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Number of sections and supporting docs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Relevance filter (Part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1 LLM call total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1 call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Fixed regardless of policy size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LOB candidate search (Part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1 vector search per relevant req</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10 searches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Number of relevant requirements</w:t>
            </w:r>
          </w:p>
        </w:tc>
      </w:tr>
      <w:tr>
        <w:tc>
          <w:tcPr>
            <w:tcW w:type="dxa" w:w="2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20"/>
                <w:szCs w:val="20"/>
              </w:rPr>
              <w:t xml:space="preserve">Impact assessment (Part 1)</w:t>
            </w:r>
          </w:p>
        </w:tc>
        <w:tc>
          <w:tcPr>
            <w:tcW w:type="dxa" w:w="18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20"/>
                <w:szCs w:val="20"/>
              </w:rPr>
              <w:t xml:space="preserve">LOBs x sections with relevant reqs</w:t>
            </w:r>
          </w:p>
        </w:tc>
        <w:tc>
          <w:tcPr>
            <w:tcW w:type="dxa" w:w="21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20"/>
                <w:szCs w:val="20"/>
              </w:rPr>
              <w:t xml:space="preserve">~20 calls</w:t>
            </w:r>
          </w:p>
        </w:tc>
        <w:tc>
          <w:tcPr>
            <w:tcW w:type="dxa" w:w="3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20"/>
                <w:szCs w:val="20"/>
              </w:rPr>
              <w:t xml:space="preserve">Number of candidate LOBs and sections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Doc retrieval (Part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1 vector search per impacted LOB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3 searches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Number of impacted LOBs only</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20"/>
                <w:szCs w:val="20"/>
              </w:rPr>
              <w:t xml:space="preserve">Analysis synthesis (Part 2)</w:t>
            </w:r>
          </w:p>
        </w:tc>
        <w:tc>
          <w:tcPr>
            <w:tcW w:type="dxa" w:w="18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20"/>
                <w:szCs w:val="20"/>
              </w:rPr>
              <w:t xml:space="preserve">1 LLM call per impacted LOB</w:t>
            </w:r>
          </w:p>
        </w:tc>
        <w:tc>
          <w:tcPr>
            <w:tcW w:type="dxa" w:w="21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20"/>
                <w:szCs w:val="20"/>
              </w:rPr>
              <w:t xml:space="preserve">3 calls</w:t>
            </w:r>
          </w:p>
        </w:tc>
        <w:tc>
          <w:tcPr>
            <w:tcW w:type="dxa" w:w="32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20"/>
                <w:szCs w:val="20"/>
              </w:rPr>
              <w:t xml:space="preserve">Number of impacted LOBs only</w:t>
            </w:r>
          </w:p>
        </w:tc>
      </w:tr>
    </w:tbl>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In the old experimental approach, Part 2 alone would require LOBs x Requirements x Documents LLM calls. For 3 impacted LOBs, 10 relevant requirements, and 200 supporting documents, that is 6,000 calls. The new approach reduces Part 2 to 3 LLM calls regardless of how many documents exist, because vector search narrows the document set before the LLM is involved.</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What is the dominant cost driver in the system?</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dominant cost in Part 1 is the impact assessment LLM calls, which scale with the number of candidate LOBs multiplied by the number of sections containing relevant requirements. In practice, most policies have between 3 and 8 sections and the LOB candidate list is bounded by the top-K setting, so this number stays manageable.</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dominant cost in Part 2 is also the LLM synthesis calls, but since there is exactly one per impacted LOB, this is very low. The embedding calls for vector search are cheap compared to LLM calls and scale linearly with the number of relevant requirements (Part 1) and impacted LOBs (Part 2).</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most expensive part of the entire system is the initial Vector DB construction, specifically the batch embedding of all document chunks. However, this cost is amortized over all future query runs and is only partially incurred on re-runs due to the hash-based deduplication.</w:t>
      </w:r>
    </w:p>
    <w:p>
      <w:pPr>
        <w:spacing w:after="60" w:before="60"/>
      </w:pPr>
      <w:r>
        <w:rPr>
          <w:rFonts w:ascii="Arial" w:cs="Arial" w:eastAsia="Arial" w:hAnsi="Arial"/>
        </w:rPr>
        <w:t xml:space="preserve"/>
      </w:r>
    </w:p>
    <w:p>
      <w:pPr>
        <w:pStyle w:val="Heading1"/>
      </w:pPr>
      <w:r>
        <w:rPr>
          <w:rFonts w:ascii="Arial" w:cs="Arial" w:eastAsia="Arial" w:hAnsi="Arial"/>
          <w:b/>
          <w:bCs/>
        </w:rPr>
        <w:t xml:space="preserve">3.  Prompt Caching Opportunities</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Are there opportunities to use prompt caching to reduce cost and latency?</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Yes, there are several meaningful caching opportunities in this pipeline, particularly in Part 1 where the same contextual content is sent repeatedly across multiple LLM calls.</w:t>
      </w:r>
    </w:p>
    <w:p>
      <w:pPr>
        <w:spacing w:after="60" w:before="60"/>
      </w:pPr>
      <w:r>
        <w:rPr>
          <w:rFonts w:ascii="Arial" w:cs="Arial" w:eastAsia="Arial" w:hAnsi="Arial"/>
        </w:rPr>
        <w:t xml:space="preserve"/>
      </w:r>
    </w:p>
    <w:p>
      <w:pPr>
        <w:pStyle w:val="Heading2"/>
      </w:pPr>
      <w:r>
        <w:rPr>
          <w:rFonts w:ascii="Arial" w:cs="Arial" w:eastAsia="Arial" w:hAnsi="Arial"/>
          <w:b/>
          <w:bCs/>
        </w:rPr>
        <w:t xml:space="preserve">Relevance filter caching</w:t>
      </w:r>
    </w:p>
    <w:p>
      <w:pPr>
        <w:spacing w:after="120" w:before="80"/>
      </w:pPr>
      <w:r>
        <w:rPr>
          <w:rFonts w:ascii="Arial" w:cs="Arial" w:eastAsia="Arial" w:hAnsi="Arial"/>
          <w:sz w:val="22"/>
          <w:szCs w:val="22"/>
        </w:rPr>
        <w:t xml:space="preserve">The relevance filter call receives the full requirement list for a policy. If the same policy is processed multiple times within a short window (for example during testing or re-runs), the prompt prefix containing the requirement list can be cached. Most LLM providers including Anthropic support prefix caching where a shared prefix in the system prompt or early user message is stored server-side. This is most valuable when the requirement list is long.</w:t>
      </w:r>
    </w:p>
    <w:p>
      <w:pPr>
        <w:spacing w:after="60" w:before="60"/>
      </w:pPr>
      <w:r>
        <w:rPr>
          <w:rFonts w:ascii="Arial" w:cs="Arial" w:eastAsia="Arial" w:hAnsi="Arial"/>
        </w:rPr>
        <w:t xml:space="preserve"/>
      </w:r>
    </w:p>
    <w:p>
      <w:pPr>
        <w:pStyle w:val="Heading2"/>
      </w:pPr>
      <w:r>
        <w:rPr>
          <w:rFonts w:ascii="Arial" w:cs="Arial" w:eastAsia="Arial" w:hAnsi="Arial"/>
          <w:b/>
          <w:bCs/>
        </w:rPr>
        <w:t xml:space="preserve">Impact assessment system prompt caching</w:t>
      </w:r>
    </w:p>
    <w:p>
      <w:pPr>
        <w:spacing w:after="120" w:before="80"/>
      </w:pPr>
      <w:r>
        <w:rPr>
          <w:rFonts w:ascii="Arial" w:cs="Arial" w:eastAsia="Arial" w:hAnsi="Arial"/>
          <w:sz w:val="22"/>
          <w:szCs w:val="22"/>
        </w:rPr>
        <w:t xml:space="preserve">The impact assessment calls in Part 1 share a common system prompt that includes the policy title, change description, and instructions. This prefix is identical across all calls for the same policy run. Structuring the prompt so that the stable content appears first and the variable content (LOB profile and requirement list) appears last maximizes the benefit of prefix caching. The LLM provider caches the common prefix and only processes the variable tail on each call.</w:t>
      </w:r>
    </w:p>
    <w:p>
      <w:pPr>
        <w:spacing w:after="60" w:before="60"/>
      </w:pPr>
      <w:r>
        <w:rPr>
          <w:rFonts w:ascii="Arial" w:cs="Arial" w:eastAsia="Arial" w:hAnsi="Arial"/>
        </w:rPr>
        <w:t xml:space="preserve"/>
      </w:r>
    </w:p>
    <w:p>
      <w:pPr>
        <w:pStyle w:val="Heading2"/>
      </w:pPr>
      <w:r>
        <w:rPr>
          <w:rFonts w:ascii="Arial" w:cs="Arial" w:eastAsia="Arial" w:hAnsi="Arial"/>
          <w:b/>
          <w:bCs/>
        </w:rPr>
        <w:t xml:space="preserve">LOB profile caching across policy runs</w:t>
      </w:r>
    </w:p>
    <w:p>
      <w:pPr>
        <w:spacing w:after="120" w:before="80"/>
      </w:pPr>
      <w:r>
        <w:rPr>
          <w:rFonts w:ascii="Arial" w:cs="Arial" w:eastAsia="Arial" w:hAnsi="Arial"/>
          <w:sz w:val="22"/>
          <w:szCs w:val="22"/>
        </w:rPr>
        <w:t xml:space="preserve">LOB profiles change infrequently. If multiple policy change notifications arrive in the same time window, the LOB profiles embedded at the start of the first run can be reused for subsequent runs without re-fetching from the external system. MongoDB already stores these profiles for the duration of a pipeline run. Extending the TTL of these stored profiles to cover a processing window reduces calls to the external LOB system.</w:t>
      </w:r>
    </w:p>
    <w:p>
      <w:pPr>
        <w:spacing w:after="60" w:before="60"/>
      </w:pPr>
      <w:r>
        <w:rPr>
          <w:rFonts w:ascii="Arial" w:cs="Arial" w:eastAsia="Arial" w:hAnsi="Arial"/>
        </w:rPr>
        <w:t xml:space="preserve"/>
      </w:r>
    </w:p>
    <w:p>
      <w:pPr>
        <w:pStyle w:val="Heading2"/>
      </w:pPr>
      <w:r>
        <w:rPr>
          <w:rFonts w:ascii="Arial" w:cs="Arial" w:eastAsia="Arial" w:hAnsi="Arial"/>
          <w:b/>
          <w:bCs/>
        </w:rPr>
        <w:t xml:space="preserve">Chunk embedding cache</w:t>
      </w:r>
    </w:p>
    <w:p>
      <w:pPr>
        <w:spacing w:after="120" w:before="80"/>
      </w:pPr>
      <w:r>
        <w:rPr>
          <w:rFonts w:ascii="Arial" w:cs="Arial" w:eastAsia="Arial" w:hAnsi="Arial"/>
          <w:sz w:val="22"/>
          <w:szCs w:val="22"/>
        </w:rPr>
        <w:t xml:space="preserve">The content hash check in Step 7 of the construction pipeline is itself a form of caching at the embedding level. Any chunk whose text has not changed since the last run is skipped entirely, so its embedding is never recomputed. This is the most impactful caching mechanism in the system because embedding costs scale with the volume of content.</w:t>
      </w:r>
    </w:p>
    <w:p>
      <w:pPr>
        <w:spacing w:after="60" w:before="60"/>
      </w:pPr>
      <w:r>
        <w:rPr>
          <w:rFonts w:ascii="Arial" w:cs="Arial" w:eastAsia="Arial" w:hAnsi="Arial"/>
        </w:rPr>
        <w:t xml:space="preserve"/>
      </w:r>
    </w:p>
    <w:p>
      <w:pPr>
        <w:pBdr>
          <w:left w:val="single" w:color="2E75B6" w:sz="20" w:space="8"/>
        </w:pBdr>
        <w:shd w:fill="EEF4FB" w:val="clear"/>
        <w:spacing w:after="100" w:before="100"/>
        <w:ind w:left="480"/>
      </w:pPr>
      <w:r>
        <w:rPr>
          <w:rFonts w:ascii="Arial" w:cs="Arial" w:eastAsia="Arial" w:hAnsi="Arial"/>
          <w:i/>
          <w:iCs/>
          <w:color w:val="1F3864"/>
          <w:sz w:val="22"/>
          <w:szCs w:val="22"/>
        </w:rPr>
        <w:t xml:space="preserve">Practical recommendation: structure all LLM prompts so that the stable context (policy identity, change description, instructions) appears before the variable content (LOB profile, requirement list). This maximizes the hit rate for provider-side prefix caching with no additional code changes.</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Can we cache the Part 1 applicability results to avoid re-running if the same policy is re-processed?</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Yes. Once Part 1 produces an applicability matrix for a given policy version and change description, that matrix can be stored in MongoDB keyed on policy_id plus policy_version plus a hash of the change description. If the same combination is submitted again, the cached matrix is returned directly and the entire Part 1 LLM loop is skipped. This is particularly useful during testing and during any human-review iteration cycles where the same policy may be re-processed multiple times.</w:t>
      </w:r>
    </w:p>
    <w:p>
      <w:pPr>
        <w:spacing w:after="60" w:before="60"/>
      </w:pPr>
      <w:r>
        <w:rPr>
          <w:rFonts w:ascii="Arial" w:cs="Arial" w:eastAsia="Arial" w:hAnsi="Arial"/>
        </w:rPr>
        <w:t xml:space="preserve"/>
      </w:r>
    </w:p>
    <w:p>
      <w:pPr>
        <w:pStyle w:val="Heading1"/>
      </w:pPr>
      <w:r>
        <w:rPr>
          <w:rFonts w:ascii="Arial" w:cs="Arial" w:eastAsia="Arial" w:hAnsi="Arial"/>
          <w:b/>
          <w:bCs/>
        </w:rPr>
        <w:t xml:space="preserve">4.  Testing and Validation</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How do we test the results of each part to make sure we are getting complete and accurate output?</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system has two distinct failure modes: false exclusions (missing something that should have been included) and false inclusions (including something irrelevant). The testing strategy treats false exclusions as the more serious failure in both parts, because a missed LOB or missed action item is invisible to the downstream reviewer, while an extra item can be filtered out manually.</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20"/>
                <w:szCs w:val="20"/>
              </w:rPr>
              <w:t xml:space="preserve">What to test</w:t>
            </w:r>
          </w:p>
        </w:tc>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20"/>
                <w:szCs w:val="20"/>
              </w:rPr>
              <w:t xml:space="preserve">How to test it</w:t>
            </w:r>
          </w:p>
        </w:tc>
        <w:tc>
          <w:tcPr>
            <w:tcW w:type="dxa" w:w="45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20"/>
                <w:szCs w:val="20"/>
              </w:rPr>
              <w:t xml:space="preserve">Pass criteria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Relevance filter completeness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Recall test against labelled dataset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No known-relevant requirement is excluded. Over-inclusion is acceptable.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LOB candidate recall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Compare vector search results to historical applicability records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Every LOB known to be affected appears in the candidate list at the chosen top-K setting</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20"/>
                <w:szCs w:val="20"/>
              </w:rPr>
              <w:t xml:space="preserve">Impact assessment accuracy (Part 1)</w:t>
            </w:r>
          </w:p>
        </w:tc>
        <w:tc>
          <w:tcPr>
            <w:tcW w:type="dxa" w:w="24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20"/>
                <w:szCs w:val="20"/>
              </w:rPr>
              <w:t xml:space="preserve">Human review of LLM yes/no decisions on a sample</w:t>
            </w:r>
          </w:p>
        </w:tc>
        <w:tc>
          <w:tcPr>
            <w:tcW w:type="dxa" w:w="45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20"/>
                <w:szCs w:val="20"/>
              </w:rPr>
              <w:t xml:space="preserve">Agreement rate above agreed threshold, LOW confidence flags reviewed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Document retrieval relevance (Part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Check that retrieved sections contain content related to applicable requirements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No impacted LOB receives action items that are unrelated to its applicable requirements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20"/>
                <w:szCs w:val="20"/>
              </w:rPr>
              <w:t xml:space="preserve">Action item completeness (Part 2)</w:t>
            </w:r>
          </w:p>
        </w:tc>
        <w:tc>
          <w:tcPr>
            <w:tcW w:type="dxa" w:w="24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20"/>
                <w:szCs w:val="20"/>
              </w:rPr>
              <w:t xml:space="preserve">Diff output against manually produced action lists for a sample policy</w:t>
            </w:r>
          </w:p>
        </w:tc>
        <w:tc>
          <w:tcPr>
            <w:tcW w:type="dxa" w:w="45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20"/>
                <w:szCs w:val="20"/>
              </w:rPr>
              <w:t xml:space="preserve">All material obligations identified by a subject matter expert appear in the system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Traceability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Verify every action item links to a named document section and a requirement number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Zero action items without both a doc section reference and a requirement number</w:t>
            </w:r>
          </w:p>
        </w:tc>
      </w:tr>
    </w:tbl>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How do we validate the Vector DB index quality before running the query pipeline?</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Run a set of probe queries against the constructed index using known requirement texts from the policy. Verify that the top-K results from the LOB index include LOBs that are known to be affected by similar requirements from historical records. If the top-K results are clearly wrong, the likely cause is either poor chunk quality (context injection failed), a mismatch in embedding model between construction and query time, or metadata filter errors.</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Also verify that the policy index returns sensible document sections when queried with a representative LOB profile. A section from an unrelated policy appearing in results indicates a missing policy_id filter. A section from the right policy but wrong document type indicates a missing chunk_type filter.</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What is the recommended test dataset for calibrating the top-K threshold in the LOB candidate search?</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Use the historical impact records from past policy changes to build a labelled evaluation set. For each (requirement, LOB) pair where the LOB is known to have been affected, run the LOB candidate search and record the rank at which the correct LOB appeared in the results. Plot the distribution of ranks across the full evaluation set. Set top-K at the rank where 95 percent or more of known-affected LOBs appear. If the distribution is broad, the group profiles in the external system may need enrichment before retrieval quality will support a tight top-K.</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How do we detect when the relevance filter has excluded a requirement it should have kept?</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This is the hardest failure mode to detect because by definition the excluded requirement never reaches the downstream steps. The recommended mitigation is a two-stage validation. First, run the relevance filter with a deliberately inclusive threshold during testing and compare the outputs to a human-reviewed gold set. Second, periodically audit a sample of completed runs by asking a policy subject matter expert to review the excluded requirement list and flag any that should have been included. If the false exclusion rate exceeds an agreed threshold, widen the prompt criteria or lower the confidence threshold before excluding.</w:t>
      </w:r>
    </w:p>
    <w:p>
      <w:pPr>
        <w:spacing w:after="60" w:before="60"/>
      </w:pPr>
      <w:r>
        <w:rPr>
          <w:rFonts w:ascii="Arial" w:cs="Arial" w:eastAsia="Arial" w:hAnsi="Arial"/>
        </w:rPr>
        <w:t xml:space="preserve"/>
      </w:r>
    </w:p>
    <w:p>
      <w:pPr>
        <w:pStyle w:val="Heading1"/>
      </w:pPr>
      <w:r>
        <w:rPr>
          <w:rFonts w:ascii="Arial" w:cs="Arial" w:eastAsia="Arial" w:hAnsi="Arial"/>
          <w:b/>
          <w:bCs/>
        </w:rPr>
        <w:t xml:space="preserve">5.  Additional Design Questions</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Why is there no shared key between the Relational DB and the external LOB system? Should we build one?</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absence of a shared key is a constraint of the current system landscape, not a design choice. Building and maintaining a formal mapping table between the two systems would be the ideal long-term solution, and would eliminate the need for semantic matching to bridge them. Until that mapping exists, the LOB index in the Vector DB serves as the bridge: requirement text goes in, and the most semantically similar LOB profiles come out.</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risk of not having a shared key is that semantic matching is probabilistic. A LOB with a thin or generic profile description will match poorly against requirement text even if it is genuinely affected. If LOB profiles cannot be enriched, the fallback is to widen the top-K threshold and accept more false positives in the candidate list, compensating with a more rigorous LLM applicability call.</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Why do we not search Type A requirement chunks in the Part 2 document retrieval step?</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By the time Part 2 runs, we already know which requirements apply to each LOB. That information came from Part 1 and is stored in MongoDB. Searching Type A chunks would return the requirement statements themselves, which adds no new information. What we need in Part 2 is the procedural and narrative content of the documents that those requirements reference, which is what Type B and Type C chunks contain. Including Type A in the Part 2 search would dilute the results with redundant content and waste retrieval budget.</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What happens when a policy change notification arrives for a policy that has not yet been indexed?</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If the policy exists in the Relational DB but has never been through the construction pipeline, the Vector DB will have no chunks for it. In this case the system should detect the missing index state and run the construction pipeline for that policy before proceeding with the query pipeline. This is handled by checking the chunk registry in MongoDB for any records associated with the policy_id. An empty registry result triggers a construction run. The query pipeline then proceeds once construction is complete.</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How does the system handle a policy with a very large number of supporting documents, for example several hundred?</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construction pipeline scales linearly with the number of documents since each document is parsed and chunked independently. The chunk registry ensures only new or changed documents are re-embedded on subsequent runs, so even a large document set has a manageable incremental cost.</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At query time, the Part 2 vector search applies metadata filters before similarity search runs, so the search only scans chunks from the specific policy rather than the full index. This means query latency is not materially affected by having hundreds of supporting documents as long as they are all in the same policy index. The re-ranking step in Part 2 then selects the top 8 most relevant sections regardless of how many documents were indexed, keeping the LLM synthesis call prompt size bounded.</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Is the system dependent on the quality of the LOB profiles in the external system?</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Yes, significantly. The quality of Part 1 LOB candidate retrieval is directly proportional to how descriptive and specific the LOB profiles are. A LOB described only as "manages compliance activities" will match poorly against specific requirement text about data retention or access control. A LOB described with specific regulatory domains, processes owned, and systems operated will match with much higher precision.</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Before deploying the system, it is worth auditing the LOB profiles in the external system against a representative set of requirements from the policy database. If most profiles are thin, enriching them at index time using an LLM (generating a richer description from the existing content) is a viable approach that does not require changes to the external system. The enriched version is what gets embedded; the original profile is preserved as the source.</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777777"/>
        <w:sz w:val="18"/>
        <w:szCs w:val="18"/>
      </w:rPr>
      <w:t xml:space="preserve">Policy Change System: Architect FAQ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2026-03-26T15:02:20.432Z</dcterms:created>
  <dcterms:modified xsi:type="dcterms:W3CDTF">2026-03-26T15:02:20.434Z</dcterms:modified>
</cp:coreProperties>
</file>

<file path=docProps/custom.xml><?xml version="1.0" encoding="utf-8"?>
<Properties xmlns="http://schemas.openxmlformats.org/officeDocument/2006/custom-properties" xmlns:vt="http://schemas.openxmlformats.org/officeDocument/2006/docPropsVTypes"/>
</file>