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pPr>
    </w:p>
    <w:p>
      <w:pPr>
        <w:spacing w:after="60"/>
      </w:pPr>
      <w:r>
        <w:rPr>
          <w:rFonts w:ascii="Calibri" w:hAnsi="Calibri"/>
          <w:b/>
          <w:i w:val="0"/>
          <w:color w:val="1D4ED8"/>
          <w:sz w:val="22"/>
        </w:rPr>
        <w:t>PRODUCT ARCHITECTURE  ·  MVP THESIS</w:t>
      </w:r>
    </w:p>
    <w:p>
      <w:pPr>
        <w:spacing w:after="40"/>
      </w:pPr>
      <w:r>
        <w:rPr>
          <w:rFonts w:ascii="Calibri" w:hAnsi="Calibri"/>
          <w:b/>
          <w:i w:val="0"/>
          <w:color w:val="152C6B"/>
          <w:sz w:val="58"/>
        </w:rPr>
        <w:t>The AI Operating System for</w:t>
      </w:r>
    </w:p>
    <w:p>
      <w:pPr>
        <w:spacing w:after="240"/>
      </w:pPr>
      <w:r>
        <w:rPr>
          <w:rFonts w:ascii="Calibri" w:hAnsi="Calibri"/>
          <w:b/>
          <w:i w:val="0"/>
          <w:color w:val="152C6B"/>
          <w:sz w:val="58"/>
        </w:rPr>
        <w:t>Pharmaceutical Brand Teams</w:t>
      </w:r>
    </w:p>
    <w:p>
      <w:pPr>
        <w:spacing w:after="280"/>
      </w:pPr>
      <w:r>
        <w:rPr>
          <w:rFonts w:ascii="Calibri" w:hAnsi="Calibri"/>
          <w:b w:val="0"/>
          <w:i/>
          <w:color w:val="606B82"/>
          <w:sz w:val="26"/>
        </w:rPr>
        <w:t>From fragmented evidence to trusted strategic decisions — starting with the single weekly job that keeps Brand Directors up at night.</w:t>
      </w:r>
    </w:p>
    <w:p>
      <w:pPr>
        <w:pBdr>
          <w:bottom w:val="single" w:sz="8" w:space="2" w:color="C9D6F2"/>
        </w:pBdr>
      </w:pPr>
    </w:p>
    <w:p>
      <w:pPr>
        <w:spacing w:before="240"/>
      </w:pPr>
      <w:r>
        <w:rPr>
          <w:rFonts w:ascii="Calibri" w:hAnsi="Calibri"/>
          <w:b/>
          <w:i w:val="0"/>
          <w:color w:val="141A2E"/>
          <w:sz w:val="21"/>
        </w:rPr>
        <w:t>Prepared by the Founding CPO / Principal Product Architect</w:t>
      </w:r>
    </w:p>
    <w:p>
      <w:pPr>
        <w:spacing w:after="40"/>
      </w:pPr>
      <w:r>
        <w:rPr>
          <w:rFonts w:ascii="Calibri" w:hAnsi="Calibri"/>
          <w:b w:val="0"/>
          <w:i w:val="0"/>
          <w:color w:val="606B82"/>
          <w:sz w:val="20"/>
        </w:rPr>
        <w:t>Audience — Brand Directors · Commercial Excellence · Marketing Insights · Medical-Legal-Regulatory reviewers · Y Combinator partners</w:t>
      </w:r>
    </w:p>
    <w:p>
      <w:r>
        <w:rPr>
          <w:rFonts w:ascii="Calibri" w:hAnsi="Calibri"/>
          <w:b w:val="0"/>
          <w:i/>
          <w:color w:val="606B82"/>
          <w:sz w:val="18"/>
        </w:rPr>
        <w:t>Confidential product strategy. All examples are illustrative and anonymized; no real brand is implied.</w:t>
      </w:r>
    </w:p>
    <w:p>
      <w:pPr>
        <w:keepNext/>
        <w:pageBreakBefore/>
        <w:spacing w:before="400" w:after="60"/>
        <w:pBdr>
          <w:bottom w:val="single" w:sz="8" w:space="4" w:color="C9D6F2"/>
        </w:pBdr>
        <w:outlineLvl w:val="0"/>
      </w:pPr>
      <w:r>
        <w:rPr>
          <w:rFonts w:ascii="Calibri" w:hAnsi="Calibri"/>
          <w:b/>
          <w:i w:val="0"/>
          <w:color w:val="152C6B"/>
          <w:sz w:val="34"/>
        </w:rPr>
        <w:t>The thesis, in one page</w:t>
      </w:r>
    </w:p>
    <w:p>
      <w:pPr>
        <w:spacing w:before="0" w:after="160"/>
      </w:pPr>
      <w:r>
        <w:rPr>
          <w:rFonts w:ascii="Calibri" w:hAnsi="Calibri"/>
          <w:b w:val="0"/>
          <w:i w:val="0"/>
          <w:color w:val="2A3345"/>
          <w:sz w:val="21"/>
        </w:rPr>
        <w:t>Pharmaceutical brand teams do not have a document problem. They have a decision problem. Every brand already sits on a decade of ATU trackers, physician interviews, competitive reports, agency decks, and MLR-approved claims. The pain is not finding a file — it is turning fragmented, contradictory evidence into a decision a Brand Director can defend to leadership, medical, and the field. Today that work is done by hand, takes days, and evaporates the moment the person who did it changes roles.</w:t>
      </w:r>
    </w:p>
    <w:p>
      <w:pPr>
        <w:spacing w:before="0" w:after="120"/>
      </w:pPr>
      <w:r>
        <w:rPr>
          <w:rFonts w:ascii="Calibri" w:hAnsi="Calibri"/>
          <w:b/>
          <w:i w:val="0"/>
          <w:color w:val="141A2E"/>
          <w:sz w:val="21"/>
        </w:rPr>
        <w:t xml:space="preserve">Our long-term vision </w:t>
      </w:r>
      <w:r>
        <w:rPr>
          <w:rFonts w:ascii="Calibri" w:hAnsi="Calibri"/>
          <w:b w:val="0"/>
          <w:i w:val="0"/>
          <w:color w:val="2A3345"/>
          <w:sz w:val="21"/>
        </w:rPr>
        <w:t>is that every pharmaceutical brand runs on a continuously evolving Brand Brain — a governed, cited, contradiction-aware memory of everything ever learned about the brand, read by every downstream decision. That is the operating system.</w:t>
      </w:r>
    </w:p>
    <w:p>
      <w:pPr>
        <w:spacing w:before="0" w:after="120"/>
      </w:pPr>
      <w:r>
        <w:rPr>
          <w:rFonts w:ascii="Calibri" w:hAnsi="Calibri"/>
          <w:b/>
          <w:i w:val="0"/>
          <w:color w:val="141A2E"/>
          <w:sz w:val="21"/>
        </w:rPr>
        <w:t xml:space="preserve">Our wedge </w:t>
      </w:r>
      <w:r>
        <w:rPr>
          <w:rFonts w:ascii="Calibri" w:hAnsi="Calibri"/>
          <w:b w:val="0"/>
          <w:i w:val="0"/>
          <w:color w:val="2A3345"/>
          <w:sz w:val="21"/>
        </w:rPr>
        <w:t>is the smallest slice of that vision that creates enormous value on its own: an Insight Synthesizer that answers one recurring, high-stakes question every week — “What is the evidence telling us, what does it disagree on, and what should we do?” — and returns a leadership-ready answer in minutes, every claim traced to its source, every contradiction preserved, every gap named.</w:t>
      </w:r>
    </w:p>
    <w:p>
      <w:pPr>
        <w:spacing w:before="120" w:after="120" w:line="269" w:lineRule="auto"/>
        <w:ind w:left="86"/>
        <w:shd w:val="clear" w:color="auto" w:fill="EEF3FF"/>
        <w:pBdr>
          <w:left w:val="single" w:sz="20" w:space="8" w:color="1D4ED8"/>
        </w:pBdr>
      </w:pPr>
      <w:r>
        <w:rPr>
          <w:rFonts w:ascii="Calibri" w:hAnsi="Calibri"/>
          <w:b/>
          <w:i w:val="0"/>
          <w:color w:val="1D4ED8"/>
          <w:sz w:val="20"/>
        </w:rPr>
        <w:t xml:space="preserve">Why it wins:   </w:t>
      </w:r>
      <w:r>
        <w:rPr>
          <w:rFonts w:ascii="Calibri" w:hAnsi="Calibri"/>
          <w:b w:val="0"/>
          <w:i w:val="0"/>
          <w:color w:val="141A2E"/>
          <w:sz w:val="20"/>
        </w:rPr>
        <w:t>General AI (Copilot, ChatGPT) is built to sound confident and to average conflicting inputs into one smooth answer. In a regulated, high-consequence domain that behavior is not a feature — it is a liability. Our product is built to do the opposite: separate what the research says from what the AI concludes, show its evidence, surface the contradiction instead of hiding it, and refuse to fake certainty. Trust is the product.</w:t>
      </w:r>
    </w:p>
    <w:p>
      <w:pPr>
        <w:spacing w:before="40" w:after="120"/>
      </w:pPr>
      <w:r>
        <w:rPr>
          <w:rFonts w:ascii="Calibri" w:hAnsi="Calibri"/>
          <w:b w:val="0"/>
          <w:i w:val="0"/>
          <w:color w:val="2A3345"/>
          <w:sz w:val="21"/>
        </w:rPr>
        <w:t>Every synthesis the user runs quietly curates the Brand Brain. So the wedge is not a feature that competes with the vision — it is the mechanism that builds it. Usage compounds into a proprietary, governed knowledge asset that no horizontal tool can replicate and no competitor can buy.</w:t>
      </w:r>
    </w:p>
    <w:p>
      <w:pPr>
        <w:spacing w:before="40" w:after="120"/>
      </w:pPr>
      <w:r>
        <w:rPr>
          <w:rFonts w:ascii="Calibri" w:hAnsi="Calibri"/>
          <w:b/>
          <w:i w:val="0"/>
          <w:color w:val="141A2E"/>
          <w:sz w:val="21"/>
        </w:rPr>
        <w:t xml:space="preserve">The one bet: </w:t>
      </w:r>
      <w:r>
        <w:rPr>
          <w:rFonts w:ascii="Calibri" w:hAnsi="Calibri"/>
          <w:b w:val="0"/>
          <w:i w:val="0"/>
          <w:color w:val="2A3345"/>
          <w:sz w:val="21"/>
        </w:rPr>
        <w:t>if we make evidence-to-decision synthesis trustworthy enough that a Brand Director will put their name on the output, we earn the right to become the memory — and then the operating system — for the entire brand team.</w:t>
      </w:r>
    </w:p>
    <w:p>
      <w:pPr>
        <w:keepNext/>
        <w:spacing w:before="400" w:after="60"/>
        <w:pBdr>
          <w:bottom w:val="single" w:sz="8" w:space="4" w:color="C9D6F2"/>
        </w:pBdr>
        <w:outlineLvl w:val="0"/>
      </w:pPr>
      <w:r>
        <w:rPr>
          <w:rFonts w:ascii="Calibri" w:hAnsi="Calibri"/>
          <w:b/>
          <w:i w:val="0"/>
          <w:color w:val="1D4ED8"/>
          <w:sz w:val="34"/>
        </w:rPr>
        <w:t xml:space="preserve">01   </w:t>
      </w:r>
      <w:r>
        <w:rPr>
          <w:rFonts w:ascii="Calibri" w:hAnsi="Calibri"/>
          <w:b/>
          <w:i w:val="0"/>
          <w:color w:val="152C6B"/>
          <w:sz w:val="34"/>
        </w:rPr>
        <w:t>User personas</w:t>
      </w:r>
    </w:p>
    <w:p>
      <w:pPr>
        <w:spacing w:before="0" w:after="120"/>
      </w:pPr>
      <w:r>
        <w:rPr>
          <w:rFonts w:ascii="Calibri" w:hAnsi="Calibri"/>
          <w:b w:val="0"/>
          <w:i w:val="0"/>
          <w:color w:val="2A3345"/>
          <w:sz w:val="21"/>
        </w:rPr>
        <w:t>We design for a team, not a seat. But a wedge needs one hero user, one economic buyer, and one gatekeeper. Everyone else is context we must respect without designing for first.</w:t>
      </w:r>
    </w:p>
    <w:p>
      <w:pPr>
        <w:keepNext/>
        <w:spacing w:before="240" w:after="60"/>
        <w:outlineLvl w:val="1"/>
      </w:pPr>
      <w:r>
        <w:rPr>
          <w:rFonts w:ascii="Calibri" w:hAnsi="Calibri"/>
          <w:b/>
          <w:i w:val="0"/>
          <w:color w:val="141A2E"/>
          <w:sz w:val="25"/>
        </w:rPr>
        <w:t>The five people around the table</w:t>
      </w:r>
    </w:p>
    <w:tbl>
      <w:tblPr>
        <w:tblW w:type="auto" w:w="0"/>
        <w:jc w:val="center"/>
        <w:tblLayout w:type="fixed"/>
        <w:tblLook w:firstColumn="1" w:firstRow="1" w:lastColumn="0" w:lastRow="0" w:noHBand="0" w:noVBand="1" w:val="04A0"/>
        <w:tblW w:w="10300" w:type="dxa"/>
        <w:tblLayout w:type="fixed"/>
      </w:tblPr>
      <w:tblGrid>
        <w:gridCol w:w="2300"/>
        <w:gridCol w:w="1900"/>
        <w:gridCol w:w="3200"/>
        <w:gridCol w:w="2900"/>
      </w:tblGrid>
      <w:tr>
        <w:tc>
          <w:tcPr>
            <w:tcW w:type="dxa" w:w="2300"/>
            <w:shd w:val="clear" w:color="auto" w:fill="1D4ED8"/>
            <w:tcBorders>
              <w:top w:val="single" w:sz="4" w:space="0" w:color="1D4ED8"/>
              <w:left w:val="single" w:sz="4" w:space="0" w:color="1D4ED8"/>
              <w:bottom w:val="single" w:sz="4" w:space="0" w:color="1D4ED8"/>
              <w:right w:val="single" w:sz="4" w:space="0" w:color="1D4ED8"/>
            </w:tcBorders>
            <w:tcMar>
              <w:top w:w="64" w:type="dxa"/>
              <w:bottom w:w="64" w:type="dxa"/>
              <w:left w:w="120" w:type="dxa"/>
              <w:right w:w="120" w:type="dxa"/>
            </w:tcMar>
            <w:vAlign w:val="center"/>
          </w:tcPr>
          <w:p>
            <w:pPr>
              <w:spacing w:after="0" w:line="240" w:lineRule="auto"/>
            </w:pPr>
            <w:r>
              <w:rPr>
                <w:rFonts w:ascii="Calibri" w:hAnsi="Calibri"/>
                <w:b/>
                <w:i w:val="0"/>
                <w:color w:val="FFFFFF"/>
                <w:sz w:val="19"/>
              </w:rPr>
              <w:t>Persona</w:t>
            </w:r>
          </w:p>
        </w:tc>
        <w:tc>
          <w:tcPr>
            <w:tcW w:type="dxa" w:w="1900"/>
            <w:shd w:val="clear" w:color="auto" w:fill="1D4ED8"/>
            <w:tcBorders>
              <w:top w:val="single" w:sz="4" w:space="0" w:color="1D4ED8"/>
              <w:left w:val="single" w:sz="4" w:space="0" w:color="1D4ED8"/>
              <w:bottom w:val="single" w:sz="4" w:space="0" w:color="1D4ED8"/>
              <w:right w:val="single" w:sz="4" w:space="0" w:color="1D4ED8"/>
            </w:tcBorders>
            <w:tcMar>
              <w:top w:w="64" w:type="dxa"/>
              <w:bottom w:w="64" w:type="dxa"/>
              <w:left w:w="120" w:type="dxa"/>
              <w:right w:w="120" w:type="dxa"/>
            </w:tcMar>
            <w:vAlign w:val="center"/>
          </w:tcPr>
          <w:p>
            <w:pPr>
              <w:spacing w:after="0" w:line="240" w:lineRule="auto"/>
            </w:pPr>
            <w:r>
              <w:rPr>
                <w:rFonts w:ascii="Calibri" w:hAnsi="Calibri"/>
                <w:b/>
                <w:i w:val="0"/>
                <w:color w:val="FFFFFF"/>
                <w:sz w:val="19"/>
              </w:rPr>
              <w:t>Role in the deal</w:t>
            </w:r>
          </w:p>
        </w:tc>
        <w:tc>
          <w:tcPr>
            <w:tcW w:type="dxa" w:w="3200"/>
            <w:shd w:val="clear" w:color="auto" w:fill="1D4ED8"/>
            <w:tcBorders>
              <w:top w:val="single" w:sz="4" w:space="0" w:color="1D4ED8"/>
              <w:left w:val="single" w:sz="4" w:space="0" w:color="1D4ED8"/>
              <w:bottom w:val="single" w:sz="4" w:space="0" w:color="1D4ED8"/>
              <w:right w:val="single" w:sz="4" w:space="0" w:color="1D4ED8"/>
            </w:tcBorders>
            <w:tcMar>
              <w:top w:w="64" w:type="dxa"/>
              <w:bottom w:w="64" w:type="dxa"/>
              <w:left w:w="120" w:type="dxa"/>
              <w:right w:w="120" w:type="dxa"/>
            </w:tcMar>
            <w:vAlign w:val="center"/>
          </w:tcPr>
          <w:p>
            <w:pPr>
              <w:spacing w:after="0" w:line="240" w:lineRule="auto"/>
            </w:pPr>
            <w:r>
              <w:rPr>
                <w:rFonts w:ascii="Calibri" w:hAnsi="Calibri"/>
                <w:b/>
                <w:i w:val="0"/>
                <w:color w:val="FFFFFF"/>
                <w:sz w:val="19"/>
              </w:rPr>
              <w:t>What they care about</w:t>
            </w:r>
          </w:p>
        </w:tc>
        <w:tc>
          <w:tcPr>
            <w:tcW w:type="dxa" w:w="2900"/>
            <w:shd w:val="clear" w:color="auto" w:fill="1D4ED8"/>
            <w:tcBorders>
              <w:top w:val="single" w:sz="4" w:space="0" w:color="1D4ED8"/>
              <w:left w:val="single" w:sz="4" w:space="0" w:color="1D4ED8"/>
              <w:bottom w:val="single" w:sz="4" w:space="0" w:color="1D4ED8"/>
              <w:right w:val="single" w:sz="4" w:space="0" w:color="1D4ED8"/>
            </w:tcBorders>
            <w:tcMar>
              <w:top w:w="64" w:type="dxa"/>
              <w:bottom w:w="64" w:type="dxa"/>
              <w:left w:w="120" w:type="dxa"/>
              <w:right w:w="120" w:type="dxa"/>
            </w:tcMar>
            <w:vAlign w:val="center"/>
          </w:tcPr>
          <w:p>
            <w:pPr>
              <w:spacing w:after="0" w:line="240" w:lineRule="auto"/>
            </w:pPr>
            <w:r>
              <w:rPr>
                <w:rFonts w:ascii="Calibri" w:hAnsi="Calibri"/>
                <w:b/>
                <w:i w:val="0"/>
                <w:color w:val="FFFFFF"/>
                <w:sz w:val="19"/>
              </w:rPr>
              <w:t>The decision they own</w:t>
            </w:r>
          </w:p>
        </w:tc>
      </w:tr>
      <w:tr>
        <w:tc>
          <w:tcPr>
            <w:tcW w:type="dxa" w:w="230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41A2E"/>
                <w:sz w:val="19"/>
              </w:rPr>
              <w:t>Brand Director / Brand Lead</w:t>
            </w:r>
          </w:p>
        </w:tc>
        <w:tc>
          <w:tcPr>
            <w:tcW w:type="dxa" w:w="190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Economic buyer + champion</w:t>
            </w:r>
          </w:p>
        </w:tc>
        <w:tc>
          <w:tcPr>
            <w:tcW w:type="dxa" w:w="320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Hitting the number; no surprises; being able to defend a bet to leadership and medical</w:t>
            </w:r>
          </w:p>
        </w:tc>
        <w:tc>
          <w:tcPr>
            <w:tcW w:type="dxa" w:w="290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Where to place the next commercial bet (positioning, spend, sequencing)</w:t>
            </w:r>
          </w:p>
        </w:tc>
      </w:tr>
      <w:tr>
        <w:tc>
          <w:tcPr>
            <w:tcW w:type="dxa" w:w="230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41A2E"/>
                <w:sz w:val="19"/>
              </w:rPr>
              <w:t>Insights &amp; Analytics Lead</w:t>
            </w:r>
          </w:p>
        </w:tc>
        <w:tc>
          <w:tcPr>
            <w:tcW w:type="dxa" w:w="190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Primary / power user (the hero)</w:t>
            </w:r>
          </w:p>
        </w:tc>
        <w:tc>
          <w:tcPr>
            <w:tcW w:type="dxa" w:w="320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Getting to a defensible answer fast; not being the bottleneck; rigor surviving contact with a deadline</w:t>
            </w:r>
          </w:p>
        </w:tc>
        <w:tc>
          <w:tcPr>
            <w:tcW w:type="dxa" w:w="290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What the evidence actually supports — and what it doesn’t</w:t>
            </w:r>
          </w:p>
        </w:tc>
      </w:tr>
      <w:tr>
        <w:tc>
          <w:tcPr>
            <w:tcW w:type="dxa" w:w="230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41A2E"/>
                <w:sz w:val="19"/>
              </w:rPr>
              <w:t>Commercial Excellence</w:t>
            </w:r>
          </w:p>
        </w:tc>
        <w:tc>
          <w:tcPr>
            <w:tcW w:type="dxa" w:w="190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Scaler / multi-brand buyer</w:t>
            </w:r>
          </w:p>
        </w:tc>
        <w:tc>
          <w:tcPr>
            <w:tcW w:type="dxa" w:w="320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Consistency and repeatability across brands; capability that outlives individuals</w:t>
            </w:r>
          </w:p>
        </w:tc>
        <w:tc>
          <w:tcPr>
            <w:tcW w:type="dxa" w:w="290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Which brands adopt which methods; where to standardize</w:t>
            </w:r>
          </w:p>
        </w:tc>
      </w:tr>
      <w:tr>
        <w:tc>
          <w:tcPr>
            <w:tcW w:type="dxa" w:w="230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41A2E"/>
                <w:sz w:val="19"/>
              </w:rPr>
              <w:t>MLR reviewer (Med/Legal/Reg)</w:t>
            </w:r>
          </w:p>
        </w:tc>
        <w:tc>
          <w:tcPr>
            <w:tcW w:type="dxa" w:w="190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Gatekeeper / trust validator</w:t>
            </w:r>
          </w:p>
        </w:tc>
        <w:tc>
          <w:tcPr>
            <w:tcW w:type="dxa" w:w="320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Substantiation, provenance, no off-label drift, locked claims reproduced verbatim</w:t>
            </w:r>
          </w:p>
        </w:tc>
        <w:tc>
          <w:tcPr>
            <w:tcW w:type="dxa" w:w="290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Whether a claim or output is safe to use externally</w:t>
            </w:r>
          </w:p>
        </w:tc>
      </w:tr>
      <w:tr>
        <w:tc>
          <w:tcPr>
            <w:tcW w:type="dxa" w:w="230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41A2E"/>
                <w:sz w:val="19"/>
              </w:rPr>
              <w:t>Agency &amp; field partners</w:t>
            </w:r>
          </w:p>
        </w:tc>
        <w:tc>
          <w:tcPr>
            <w:tcW w:type="dxa" w:w="190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Extended consumers</w:t>
            </w:r>
          </w:p>
        </w:tc>
        <w:tc>
          <w:tcPr>
            <w:tcW w:type="dxa" w:w="320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A single, current, approved source of brand truth to work from</w:t>
            </w:r>
          </w:p>
        </w:tc>
        <w:tc>
          <w:tcPr>
            <w:tcW w:type="dxa" w:w="290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How to execute — briefs, content, messaging</w:t>
            </w:r>
          </w:p>
        </w:tc>
      </w:tr>
    </w:tbl>
    <w:p>
      <w:pPr>
        <w:keepNext/>
        <w:spacing w:before="240" w:after="60"/>
        <w:outlineLvl w:val="1"/>
      </w:pPr>
      <w:r>
        <w:rPr>
          <w:rFonts w:ascii="Calibri" w:hAnsi="Calibri"/>
          <w:b/>
          <w:i w:val="0"/>
          <w:color w:val="1D4ED8"/>
          <w:sz w:val="25"/>
        </w:rPr>
        <w:t>Who we build the MVP for</w:t>
      </w:r>
    </w:p>
    <w:p>
      <w:pPr>
        <w:spacing w:before="0" w:after="120"/>
      </w:pPr>
      <w:r>
        <w:rPr>
          <w:rFonts w:ascii="Calibri" w:hAnsi="Calibri"/>
          <w:b/>
          <w:i w:val="0"/>
          <w:color w:val="141A2E"/>
          <w:sz w:val="21"/>
        </w:rPr>
        <w:t xml:space="preserve">Hero user — the Insights &amp; Analytics Lead. </w:t>
      </w:r>
      <w:r>
        <w:rPr>
          <w:rFonts w:ascii="Calibri" w:hAnsi="Calibri"/>
          <w:b w:val="0"/>
          <w:i w:val="0"/>
          <w:color w:val="2A3345"/>
          <w:sz w:val="21"/>
        </w:rPr>
        <w:t>They already do the synthesis by hand. They feel the pain most acutely and weekly. If we make them dramatically faster and more defensible, they become our internal evangelist. Design the whole first experience for this person.</w:t>
      </w:r>
    </w:p>
    <w:p>
      <w:pPr>
        <w:spacing w:before="0" w:after="120"/>
      </w:pPr>
      <w:r>
        <w:rPr>
          <w:rFonts w:ascii="Calibri" w:hAnsi="Calibri"/>
          <w:b/>
          <w:i w:val="0"/>
          <w:color w:val="141A2E"/>
          <w:sz w:val="21"/>
        </w:rPr>
        <w:t xml:space="preserve">Economic buyer — the Brand Director. </w:t>
      </w:r>
      <w:r>
        <w:rPr>
          <w:rFonts w:ascii="Calibri" w:hAnsi="Calibri"/>
          <w:b w:val="0"/>
          <w:i w:val="0"/>
          <w:color w:val="2A3345"/>
          <w:sz w:val="21"/>
        </w:rPr>
        <w:t>They don’t want a tool; they want to walk into a leadership review unassailable. We win them not with features but with one outcome: “I can answer any question about my brand in minutes, and I can prove it.”</w:t>
      </w:r>
    </w:p>
    <w:p>
      <w:pPr>
        <w:spacing w:before="0" w:after="120"/>
      </w:pPr>
      <w:r>
        <w:rPr>
          <w:rFonts w:ascii="Calibri" w:hAnsi="Calibri"/>
          <w:b/>
          <w:i w:val="0"/>
          <w:color w:val="141A2E"/>
          <w:sz w:val="21"/>
        </w:rPr>
        <w:t xml:space="preserve">Gatekeeper — MLR. </w:t>
      </w:r>
      <w:r>
        <w:rPr>
          <w:rFonts w:ascii="Calibri" w:hAnsi="Calibri"/>
          <w:b w:val="0"/>
          <w:i w:val="0"/>
          <w:color w:val="2A3345"/>
          <w:sz w:val="21"/>
        </w:rPr>
        <w:t>MLR cannot be an afterthought. In pharma, the reviewer who can say “no” is as important as the buyer who says “yes.” We treat trust, citation, and locked-claim fidelity as first-class so MLR becomes an ally, not a blocker.</w:t>
      </w:r>
    </w:p>
    <w:p>
      <w:pPr>
        <w:spacing w:before="120" w:after="120" w:line="269" w:lineRule="auto"/>
        <w:ind w:left="86"/>
        <w:shd w:val="clear" w:color="auto" w:fill="FDF3E0"/>
        <w:pBdr>
          <w:left w:val="single" w:sz="20" w:space="8" w:color="B45A09"/>
        </w:pBdr>
      </w:pPr>
      <w:r>
        <w:rPr>
          <w:rFonts w:ascii="Calibri" w:hAnsi="Calibri"/>
          <w:b/>
          <w:i w:val="0"/>
          <w:color w:val="B45A09"/>
          <w:sz w:val="20"/>
        </w:rPr>
        <w:t xml:space="preserve">Design consequence:   </w:t>
      </w:r>
      <w:r>
        <w:rPr>
          <w:rFonts w:ascii="Calibri" w:hAnsi="Calibri"/>
          <w:b w:val="0"/>
          <w:i w:val="0"/>
          <w:color w:val="141A2E"/>
          <w:sz w:val="20"/>
        </w:rPr>
        <w:t>One hero, one buyer, one gatekeeper. Commercial Excellence and agencies are real revenue later, but designing for them now would pull us toward dashboards and breadth — exactly the trap that kills wedges.</w:t>
      </w:r>
    </w:p>
    <w:p>
      <w:pPr>
        <w:keepNext/>
        <w:spacing w:before="400" w:after="60"/>
        <w:pBdr>
          <w:bottom w:val="single" w:sz="8" w:space="4" w:color="C9D6F2"/>
        </w:pBdr>
        <w:outlineLvl w:val="0"/>
      </w:pPr>
      <w:r>
        <w:rPr>
          <w:rFonts w:ascii="Calibri" w:hAnsi="Calibri"/>
          <w:b/>
          <w:i w:val="0"/>
          <w:color w:val="1D4ED8"/>
          <w:sz w:val="34"/>
        </w:rPr>
        <w:t xml:space="preserve">02   </w:t>
      </w:r>
      <w:r>
        <w:rPr>
          <w:rFonts w:ascii="Calibri" w:hAnsi="Calibri"/>
          <w:b/>
          <w:i w:val="0"/>
          <w:color w:val="152C6B"/>
          <w:sz w:val="34"/>
        </w:rPr>
        <w:t>Jobs to be done</w:t>
      </w:r>
    </w:p>
    <w:p>
      <w:pPr>
        <w:spacing w:before="0" w:after="120"/>
      </w:pPr>
      <w:r>
        <w:rPr>
          <w:rFonts w:ascii="Calibri" w:hAnsi="Calibri"/>
          <w:b w:val="0"/>
          <w:i w:val="0"/>
          <w:color w:val="2A3345"/>
          <w:sz w:val="21"/>
        </w:rPr>
        <w:t>Users don’t hire software; they hire an outcome to make a recurring struggle go away. Ranked by urgency × business value, these are the jobs a brand team would hire us for. The MVP does one exceptionally; the rest are the expansion path.</w:t>
      </w:r>
    </w:p>
    <w:tbl>
      <w:tblPr>
        <w:tblW w:type="auto" w:w="0"/>
        <w:jc w:val="center"/>
        <w:tblLayout w:type="fixed"/>
        <w:tblLook w:firstColumn="1" w:firstRow="1" w:lastColumn="0" w:lastRow="0" w:noHBand="0" w:noVBand="1" w:val="04A0"/>
        <w:tblW w:w="9750" w:type="dxa"/>
        <w:tblLayout w:type="fixed"/>
      </w:tblPr>
      <w:tblGrid>
        <w:gridCol w:w="500"/>
        <w:gridCol w:w="4550"/>
        <w:gridCol w:w="1450"/>
        <w:gridCol w:w="1050"/>
        <w:gridCol w:w="1050"/>
        <w:gridCol w:w="1150"/>
      </w:tblGrid>
      <w:tr>
        <w:tc>
          <w:tcPr>
            <w:tcW w:type="dxa" w:w="500"/>
            <w:shd w:val="clear" w:color="auto" w:fill="1D4ED8"/>
            <w:tcBorders>
              <w:top w:val="single" w:sz="4" w:space="0" w:color="1D4ED8"/>
              <w:left w:val="single" w:sz="4" w:space="0" w:color="1D4ED8"/>
              <w:bottom w:val="single" w:sz="4" w:space="0" w:color="1D4ED8"/>
              <w:right w:val="single" w:sz="4" w:space="0" w:color="1D4ED8"/>
            </w:tcBorders>
            <w:tcMar>
              <w:top w:w="64" w:type="dxa"/>
              <w:bottom w:w="64" w:type="dxa"/>
              <w:left w:w="120" w:type="dxa"/>
              <w:right w:w="120" w:type="dxa"/>
            </w:tcMar>
            <w:vAlign w:val="center"/>
          </w:tcPr>
          <w:p>
            <w:pPr>
              <w:spacing w:after="0" w:line="240" w:lineRule="auto"/>
            </w:pPr>
            <w:r>
              <w:rPr>
                <w:rFonts w:ascii="Calibri" w:hAnsi="Calibri"/>
                <w:b/>
                <w:i w:val="0"/>
                <w:color w:val="FFFFFF"/>
                <w:sz w:val="19"/>
              </w:rPr>
              <w:t>#</w:t>
            </w:r>
          </w:p>
        </w:tc>
        <w:tc>
          <w:tcPr>
            <w:tcW w:type="dxa" w:w="4550"/>
            <w:shd w:val="clear" w:color="auto" w:fill="1D4ED8"/>
            <w:tcBorders>
              <w:top w:val="single" w:sz="4" w:space="0" w:color="1D4ED8"/>
              <w:left w:val="single" w:sz="4" w:space="0" w:color="1D4ED8"/>
              <w:bottom w:val="single" w:sz="4" w:space="0" w:color="1D4ED8"/>
              <w:right w:val="single" w:sz="4" w:space="0" w:color="1D4ED8"/>
            </w:tcBorders>
            <w:tcMar>
              <w:top w:w="64" w:type="dxa"/>
              <w:bottom w:w="64" w:type="dxa"/>
              <w:left w:w="120" w:type="dxa"/>
              <w:right w:w="120" w:type="dxa"/>
            </w:tcMar>
            <w:vAlign w:val="center"/>
          </w:tcPr>
          <w:p>
            <w:pPr>
              <w:spacing w:after="0" w:line="240" w:lineRule="auto"/>
            </w:pPr>
            <w:r>
              <w:rPr>
                <w:rFonts w:ascii="Calibri" w:hAnsi="Calibri"/>
                <w:b/>
                <w:i w:val="0"/>
                <w:color w:val="FFFFFF"/>
                <w:sz w:val="19"/>
              </w:rPr>
              <w:t>Job (“When… I want… so I can…”)</w:t>
            </w:r>
          </w:p>
        </w:tc>
        <w:tc>
          <w:tcPr>
            <w:tcW w:type="dxa" w:w="1450"/>
            <w:shd w:val="clear" w:color="auto" w:fill="1D4ED8"/>
            <w:tcBorders>
              <w:top w:val="single" w:sz="4" w:space="0" w:color="1D4ED8"/>
              <w:left w:val="single" w:sz="4" w:space="0" w:color="1D4ED8"/>
              <w:bottom w:val="single" w:sz="4" w:space="0" w:color="1D4ED8"/>
              <w:right w:val="single" w:sz="4" w:space="0" w:color="1D4ED8"/>
            </w:tcBorders>
            <w:tcMar>
              <w:top w:w="64" w:type="dxa"/>
              <w:bottom w:w="64" w:type="dxa"/>
              <w:left w:w="120" w:type="dxa"/>
              <w:right w:w="120" w:type="dxa"/>
            </w:tcMar>
            <w:vAlign w:val="center"/>
          </w:tcPr>
          <w:p>
            <w:pPr>
              <w:spacing w:after="0" w:line="240" w:lineRule="auto"/>
            </w:pPr>
            <w:r>
              <w:rPr>
                <w:rFonts w:ascii="Calibri" w:hAnsi="Calibri"/>
                <w:b/>
                <w:i w:val="0"/>
                <w:color w:val="FFFFFF"/>
                <w:sz w:val="19"/>
              </w:rPr>
              <w:t>Cadence</w:t>
            </w:r>
          </w:p>
        </w:tc>
        <w:tc>
          <w:tcPr>
            <w:tcW w:type="dxa" w:w="1050"/>
            <w:shd w:val="clear" w:color="auto" w:fill="1D4ED8"/>
            <w:tcBorders>
              <w:top w:val="single" w:sz="4" w:space="0" w:color="1D4ED8"/>
              <w:left w:val="single" w:sz="4" w:space="0" w:color="1D4ED8"/>
              <w:bottom w:val="single" w:sz="4" w:space="0" w:color="1D4ED8"/>
              <w:right w:val="single" w:sz="4" w:space="0" w:color="1D4ED8"/>
            </w:tcBorders>
            <w:tcMar>
              <w:top w:w="64" w:type="dxa"/>
              <w:bottom w:w="64" w:type="dxa"/>
              <w:left w:w="120" w:type="dxa"/>
              <w:right w:w="120" w:type="dxa"/>
            </w:tcMar>
            <w:vAlign w:val="center"/>
          </w:tcPr>
          <w:p>
            <w:pPr>
              <w:spacing w:after="0" w:line="240" w:lineRule="auto"/>
            </w:pPr>
            <w:r>
              <w:rPr>
                <w:rFonts w:ascii="Calibri" w:hAnsi="Calibri"/>
                <w:b/>
                <w:i w:val="0"/>
                <w:color w:val="FFFFFF"/>
                <w:sz w:val="19"/>
              </w:rPr>
              <w:t>Urgency</w:t>
            </w:r>
          </w:p>
        </w:tc>
        <w:tc>
          <w:tcPr>
            <w:tcW w:type="dxa" w:w="1050"/>
            <w:shd w:val="clear" w:color="auto" w:fill="1D4ED8"/>
            <w:tcBorders>
              <w:top w:val="single" w:sz="4" w:space="0" w:color="1D4ED8"/>
              <w:left w:val="single" w:sz="4" w:space="0" w:color="1D4ED8"/>
              <w:bottom w:val="single" w:sz="4" w:space="0" w:color="1D4ED8"/>
              <w:right w:val="single" w:sz="4" w:space="0" w:color="1D4ED8"/>
            </w:tcBorders>
            <w:tcMar>
              <w:top w:w="64" w:type="dxa"/>
              <w:bottom w:w="64" w:type="dxa"/>
              <w:left w:w="120" w:type="dxa"/>
              <w:right w:w="120" w:type="dxa"/>
            </w:tcMar>
            <w:vAlign w:val="center"/>
          </w:tcPr>
          <w:p>
            <w:pPr>
              <w:spacing w:after="0" w:line="240" w:lineRule="auto"/>
            </w:pPr>
            <w:r>
              <w:rPr>
                <w:rFonts w:ascii="Calibri" w:hAnsi="Calibri"/>
                <w:b/>
                <w:i w:val="0"/>
                <w:color w:val="FFFFFF"/>
                <w:sz w:val="19"/>
              </w:rPr>
              <w:t>Value</w:t>
            </w:r>
          </w:p>
        </w:tc>
        <w:tc>
          <w:tcPr>
            <w:tcW w:type="dxa" w:w="1150"/>
            <w:shd w:val="clear" w:color="auto" w:fill="1D4ED8"/>
            <w:tcBorders>
              <w:top w:val="single" w:sz="4" w:space="0" w:color="1D4ED8"/>
              <w:left w:val="single" w:sz="4" w:space="0" w:color="1D4ED8"/>
              <w:bottom w:val="single" w:sz="4" w:space="0" w:color="1D4ED8"/>
              <w:right w:val="single" w:sz="4" w:space="0" w:color="1D4ED8"/>
            </w:tcBorders>
            <w:tcMar>
              <w:top w:w="64" w:type="dxa"/>
              <w:bottom w:w="64" w:type="dxa"/>
              <w:left w:w="120" w:type="dxa"/>
              <w:right w:w="120" w:type="dxa"/>
            </w:tcMar>
            <w:vAlign w:val="center"/>
          </w:tcPr>
          <w:p>
            <w:pPr>
              <w:spacing w:after="0" w:line="240" w:lineRule="auto"/>
            </w:pPr>
            <w:r>
              <w:rPr>
                <w:rFonts w:ascii="Calibri" w:hAnsi="Calibri"/>
                <w:b/>
                <w:i w:val="0"/>
                <w:color w:val="FFFFFF"/>
                <w:sz w:val="19"/>
              </w:rPr>
              <w:t>MVP?</w:t>
            </w:r>
          </w:p>
        </w:tc>
      </w:tr>
      <w:tr>
        <w:tc>
          <w:tcPr>
            <w:tcW w:type="dxa" w:w="50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41A2E"/>
                <w:sz w:val="18"/>
              </w:rPr>
              <w:t>1</w:t>
            </w:r>
          </w:p>
        </w:tc>
        <w:tc>
          <w:tcPr>
            <w:tcW w:type="dxa" w:w="45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41A2E"/>
                <w:sz w:val="18"/>
              </w:rPr>
              <w:t>Answer a strategic question with something I can defend to leadership</w:t>
            </w:r>
          </w:p>
        </w:tc>
        <w:tc>
          <w:tcPr>
            <w:tcW w:type="dxa" w:w="14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8"/>
              </w:rPr>
              <w:t>Weekly / ad hoc</w:t>
            </w:r>
          </w:p>
        </w:tc>
        <w:tc>
          <w:tcPr>
            <w:tcW w:type="dxa" w:w="10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B42318"/>
                <w:sz w:val="18"/>
              </w:rPr>
              <w:t>High</w:t>
            </w:r>
          </w:p>
        </w:tc>
        <w:tc>
          <w:tcPr>
            <w:tcW w:type="dxa" w:w="10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15803D"/>
                <w:sz w:val="18"/>
              </w:rPr>
              <w:t>High</w:t>
            </w:r>
          </w:p>
        </w:tc>
        <w:tc>
          <w:tcPr>
            <w:tcW w:type="dxa" w:w="11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15803D"/>
                <w:sz w:val="18"/>
              </w:rPr>
              <w:t>Core</w:t>
            </w:r>
          </w:p>
        </w:tc>
      </w:tr>
      <w:tr>
        <w:tc>
          <w:tcPr>
            <w:tcW w:type="dxa" w:w="50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41A2E"/>
                <w:sz w:val="18"/>
              </w:rPr>
              <w:t>2</w:t>
            </w:r>
          </w:p>
        </w:tc>
        <w:tc>
          <w:tcPr>
            <w:tcW w:type="dxa" w:w="45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41A2E"/>
                <w:sz w:val="18"/>
              </w:rPr>
              <w:t>Know what changed this week across my evidence — and whether I should care</w:t>
            </w:r>
          </w:p>
        </w:tc>
        <w:tc>
          <w:tcPr>
            <w:tcW w:type="dxa" w:w="14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8"/>
              </w:rPr>
              <w:t>Weekly</w:t>
            </w:r>
          </w:p>
        </w:tc>
        <w:tc>
          <w:tcPr>
            <w:tcW w:type="dxa" w:w="10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B42318"/>
                <w:sz w:val="18"/>
              </w:rPr>
              <w:t>High</w:t>
            </w:r>
          </w:p>
        </w:tc>
        <w:tc>
          <w:tcPr>
            <w:tcW w:type="dxa" w:w="10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15803D"/>
                <w:sz w:val="18"/>
              </w:rPr>
              <w:t>High</w:t>
            </w:r>
          </w:p>
        </w:tc>
        <w:tc>
          <w:tcPr>
            <w:tcW w:type="dxa" w:w="11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B45A09"/>
                <w:sz w:val="18"/>
              </w:rPr>
              <w:t>Fast-follow</w:t>
            </w:r>
          </w:p>
        </w:tc>
      </w:tr>
      <w:tr>
        <w:tc>
          <w:tcPr>
            <w:tcW w:type="dxa" w:w="50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41A2E"/>
                <w:sz w:val="18"/>
              </w:rPr>
              <w:t>3</w:t>
            </w:r>
          </w:p>
        </w:tc>
        <w:tc>
          <w:tcPr>
            <w:tcW w:type="dxa" w:w="45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41A2E"/>
                <w:sz w:val="18"/>
              </w:rPr>
              <w:t>Prepare the brand plan / business review without a two-week fire drill</w:t>
            </w:r>
          </w:p>
        </w:tc>
        <w:tc>
          <w:tcPr>
            <w:tcW w:type="dxa" w:w="14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8"/>
              </w:rPr>
              <w:t>Quarterly</w:t>
            </w:r>
          </w:p>
        </w:tc>
        <w:tc>
          <w:tcPr>
            <w:tcW w:type="dxa" w:w="10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B45A09"/>
                <w:sz w:val="18"/>
              </w:rPr>
              <w:t>Med</w:t>
            </w:r>
          </w:p>
        </w:tc>
        <w:tc>
          <w:tcPr>
            <w:tcW w:type="dxa" w:w="10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15803D"/>
                <w:sz w:val="18"/>
              </w:rPr>
              <w:t>High</w:t>
            </w:r>
          </w:p>
        </w:tc>
        <w:tc>
          <w:tcPr>
            <w:tcW w:type="dxa" w:w="11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606B82"/>
                <w:sz w:val="18"/>
              </w:rPr>
              <w:t>Later</w:t>
            </w:r>
          </w:p>
        </w:tc>
      </w:tr>
      <w:tr>
        <w:tc>
          <w:tcPr>
            <w:tcW w:type="dxa" w:w="50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41A2E"/>
                <w:sz w:val="18"/>
              </w:rPr>
              <w:t>4</w:t>
            </w:r>
          </w:p>
        </w:tc>
        <w:tc>
          <w:tcPr>
            <w:tcW w:type="dxa" w:w="45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41A2E"/>
                <w:sz w:val="18"/>
              </w:rPr>
              <w:t>Find the exact evidence behind a claim or number</w:t>
            </w:r>
          </w:p>
        </w:tc>
        <w:tc>
          <w:tcPr>
            <w:tcW w:type="dxa" w:w="14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8"/>
              </w:rPr>
              <w:t>Daily</w:t>
            </w:r>
          </w:p>
        </w:tc>
        <w:tc>
          <w:tcPr>
            <w:tcW w:type="dxa" w:w="10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B45A09"/>
                <w:sz w:val="18"/>
              </w:rPr>
              <w:t>Med</w:t>
            </w:r>
          </w:p>
        </w:tc>
        <w:tc>
          <w:tcPr>
            <w:tcW w:type="dxa" w:w="10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B45A09"/>
                <w:sz w:val="18"/>
              </w:rPr>
              <w:t>Med</w:t>
            </w:r>
          </w:p>
        </w:tc>
        <w:tc>
          <w:tcPr>
            <w:tcW w:type="dxa" w:w="11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1D4ED8"/>
                <w:sz w:val="18"/>
              </w:rPr>
              <w:t>Enabler</w:t>
            </w:r>
          </w:p>
        </w:tc>
      </w:tr>
      <w:tr>
        <w:tc>
          <w:tcPr>
            <w:tcW w:type="dxa" w:w="50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41A2E"/>
                <w:sz w:val="18"/>
              </w:rPr>
              <w:t>5</w:t>
            </w:r>
          </w:p>
        </w:tc>
        <w:tc>
          <w:tcPr>
            <w:tcW w:type="dxa" w:w="45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41A2E"/>
                <w:sz w:val="18"/>
              </w:rPr>
              <w:t>Onboard to everything already known about the brand</w:t>
            </w:r>
          </w:p>
        </w:tc>
        <w:tc>
          <w:tcPr>
            <w:tcW w:type="dxa" w:w="14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8"/>
              </w:rPr>
              <w:t>On change</w:t>
            </w:r>
          </w:p>
        </w:tc>
        <w:tc>
          <w:tcPr>
            <w:tcW w:type="dxa" w:w="10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B45A09"/>
                <w:sz w:val="18"/>
              </w:rPr>
              <w:t>Med</w:t>
            </w:r>
          </w:p>
        </w:tc>
        <w:tc>
          <w:tcPr>
            <w:tcW w:type="dxa" w:w="10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15803D"/>
                <w:sz w:val="18"/>
              </w:rPr>
              <w:t>High</w:t>
            </w:r>
          </w:p>
        </w:tc>
        <w:tc>
          <w:tcPr>
            <w:tcW w:type="dxa" w:w="11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606B82"/>
                <w:sz w:val="18"/>
              </w:rPr>
              <w:t>Later</w:t>
            </w:r>
          </w:p>
        </w:tc>
      </w:tr>
      <w:tr>
        <w:tc>
          <w:tcPr>
            <w:tcW w:type="dxa" w:w="50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41A2E"/>
                <w:sz w:val="18"/>
              </w:rPr>
              <w:t>6</w:t>
            </w:r>
          </w:p>
        </w:tc>
        <w:tc>
          <w:tcPr>
            <w:tcW w:type="dxa" w:w="45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41A2E"/>
                <w:sz w:val="18"/>
              </w:rPr>
              <w:t>Ground agency briefs &amp; content in approved, current truth</w:t>
            </w:r>
          </w:p>
        </w:tc>
        <w:tc>
          <w:tcPr>
            <w:tcW w:type="dxa" w:w="14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8"/>
              </w:rPr>
              <w:t>Ongoing</w:t>
            </w:r>
          </w:p>
        </w:tc>
        <w:tc>
          <w:tcPr>
            <w:tcW w:type="dxa" w:w="10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606B82"/>
                <w:sz w:val="18"/>
              </w:rPr>
              <w:t>Low</w:t>
            </w:r>
          </w:p>
        </w:tc>
        <w:tc>
          <w:tcPr>
            <w:tcW w:type="dxa" w:w="10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15803D"/>
                <w:sz w:val="18"/>
              </w:rPr>
              <w:t>High</w:t>
            </w:r>
          </w:p>
        </w:tc>
        <w:tc>
          <w:tcPr>
            <w:tcW w:type="dxa" w:w="11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606B82"/>
                <w:sz w:val="18"/>
              </w:rPr>
              <w:t>Later</w:t>
            </w:r>
          </w:p>
        </w:tc>
      </w:tr>
    </w:tbl>
    <w:p>
      <w:pPr>
        <w:spacing w:before="80" w:after="120"/>
      </w:pPr>
      <w:r>
        <w:rPr>
          <w:rFonts w:ascii="Calibri" w:hAnsi="Calibri"/>
          <w:b/>
          <w:i w:val="0"/>
          <w:color w:val="141A2E"/>
          <w:sz w:val="21"/>
        </w:rPr>
        <w:t xml:space="preserve">The insight: </w:t>
      </w:r>
      <w:r>
        <w:rPr>
          <w:rFonts w:ascii="Calibri" w:hAnsi="Calibri"/>
          <w:b w:val="0"/>
          <w:i w:val="0"/>
          <w:color w:val="2A3345"/>
          <w:sz w:val="21"/>
        </w:rPr>
        <w:t>jobs #1 and #2 are the same underlying capability (synthesis) delivered on two triggers — pulled (“I have a question”) and pushed (“tell me what changed”). Job #4 (cited retrieval) is the enabling substrate. Everything else is expansion built on the same engine and the same accumulating Brand Brain.</w:t>
      </w:r>
    </w:p>
    <w:p>
      <w:pPr>
        <w:spacing w:before="120" w:after="120" w:line="269" w:lineRule="auto"/>
        <w:ind w:left="86"/>
        <w:shd w:val="clear" w:color="auto" w:fill="EEF3FF"/>
        <w:pBdr>
          <w:left w:val="single" w:sz="20" w:space="8" w:color="1D4ED8"/>
        </w:pBdr>
      </w:pPr>
      <w:r>
        <w:rPr>
          <w:rFonts w:ascii="Calibri" w:hAnsi="Calibri"/>
          <w:b/>
          <w:i w:val="0"/>
          <w:color w:val="1D4ED8"/>
          <w:sz w:val="20"/>
        </w:rPr>
        <w:t xml:space="preserve">Why not lead with #4 (search)?   </w:t>
      </w:r>
      <w:r>
        <w:rPr>
          <w:rFonts w:ascii="Calibri" w:hAnsi="Calibri"/>
          <w:b w:val="0"/>
          <w:i w:val="0"/>
          <w:color w:val="141A2E"/>
          <w:sz w:val="20"/>
        </w:rPr>
        <w:t>Cited retrieval is necessary but not a business. “Search across my documents” is precisely what Copilot will bundle for free. We use retrieval as the foundation and sell the layer above it — synthesis and judgment — which is where the defensible value and the willingness to pay actually live.</w:t>
      </w:r>
    </w:p>
    <w:p>
      <w:pPr>
        <w:keepNext/>
        <w:spacing w:before="400" w:after="60"/>
        <w:pBdr>
          <w:bottom w:val="single" w:sz="8" w:space="4" w:color="C9D6F2"/>
        </w:pBdr>
        <w:outlineLvl w:val="0"/>
      </w:pPr>
      <w:r>
        <w:rPr>
          <w:rFonts w:ascii="Calibri" w:hAnsi="Calibri"/>
          <w:b/>
          <w:i w:val="0"/>
          <w:color w:val="1D4ED8"/>
          <w:sz w:val="34"/>
        </w:rPr>
        <w:t xml:space="preserve">03   </w:t>
      </w:r>
      <w:r>
        <w:rPr>
          <w:rFonts w:ascii="Calibri" w:hAnsi="Calibri"/>
          <w:b/>
          <w:i w:val="0"/>
          <w:color w:val="152C6B"/>
          <w:sz w:val="34"/>
        </w:rPr>
        <w:t>MVP recommendation — the wedge</w:t>
      </w:r>
    </w:p>
    <w:p>
      <w:pPr>
        <w:keepNext/>
        <w:spacing w:before="240" w:after="60"/>
        <w:outlineLvl w:val="1"/>
      </w:pPr>
      <w:r>
        <w:rPr>
          <w:rFonts w:ascii="Calibri" w:hAnsi="Calibri"/>
          <w:b/>
          <w:i w:val="0"/>
          <w:color w:val="1D4ED8"/>
          <w:sz w:val="25"/>
        </w:rPr>
        <w:t>The wedge: the Insight Synthesizer</w:t>
      </w:r>
    </w:p>
    <w:p>
      <w:pPr>
        <w:spacing w:before="0" w:after="120"/>
      </w:pPr>
      <w:r>
        <w:rPr>
          <w:rFonts w:ascii="Calibri" w:hAnsi="Calibri"/>
          <w:b w:val="0"/>
          <w:i w:val="0"/>
          <w:color w:val="2A3345"/>
          <w:sz w:val="21"/>
        </w:rPr>
        <w:t>One product. One job. A Brand Director or Insights Lead asks a strategic question — or a new research delivery lands — and the Insight Synthesizer reads across every relevant study, wave, method, and supplier in the brand’s estate and returns a leadership-ready answer in minutes: a headline story, the findings studies agree on, the contradictions they don’t resolve, the gaps in the evidence, a recommended next action, and a confidence level — with every statement traceable to an exact slide, page, or transcript timecode.</w:t>
      </w:r>
    </w:p>
    <w:p>
      <w:pPr>
        <w:spacing w:before="0" w:after="120"/>
      </w:pPr>
      <w:r>
        <w:rPr>
          <w:rFonts w:ascii="Calibri" w:hAnsi="Calibri"/>
          <w:b w:val="0"/>
          <w:i w:val="0"/>
          <w:color w:val="2A3345"/>
          <w:sz w:val="21"/>
        </w:rPr>
        <w:t>It is deliberately not a chatbot and not a dashboard. It is a decision instrument that behaves like a rigorous analyst who shows their work.</w:t>
      </w:r>
    </w:p>
    <w:p>
      <w:pPr>
        <w:keepNext/>
        <w:spacing w:before="240" w:after="60"/>
        <w:outlineLvl w:val="1"/>
      </w:pPr>
      <w:r>
        <w:rPr>
          <w:rFonts w:ascii="Calibri" w:hAnsi="Calibri"/>
          <w:b/>
          <w:i w:val="0"/>
          <w:color w:val="141A2E"/>
          <w:sz w:val="25"/>
        </w:rPr>
        <w:t>Why this wedge</w:t>
      </w:r>
    </w:p>
    <w:p>
      <w:pPr>
        <w:spacing w:before="0" w:after="120"/>
      </w:pPr>
      <w:r>
        <w:rPr>
          <w:rFonts w:ascii="Calibri" w:hAnsi="Calibri"/>
          <w:b/>
          <w:i w:val="0"/>
          <w:color w:val="141A2E"/>
          <w:sz w:val="21"/>
        </w:rPr>
        <w:t xml:space="preserve">It attacks the most expensive recurring task, not the most visible one. </w:t>
      </w:r>
      <w:r>
        <w:rPr>
          <w:rFonts w:ascii="Calibri" w:hAnsi="Calibri"/>
          <w:b w:val="0"/>
          <w:i w:val="0"/>
          <w:color w:val="2A3345"/>
          <w:sz w:val="21"/>
        </w:rPr>
        <w:t>Synthesis is what senior insights people are actually paid for and what they least enjoy doing by hand. Automating it saves days per question and, more importantly, makes the output defensible.</w:t>
      </w:r>
    </w:p>
    <w:p>
      <w:pPr>
        <w:spacing w:before="0" w:after="120"/>
      </w:pPr>
      <w:r>
        <w:rPr>
          <w:rFonts w:ascii="Calibri" w:hAnsi="Calibri"/>
          <w:b/>
          <w:i w:val="0"/>
          <w:color w:val="141A2E"/>
          <w:sz w:val="21"/>
        </w:rPr>
        <w:t xml:space="preserve">It produces something a person will attach their name to. </w:t>
      </w:r>
      <w:r>
        <w:rPr>
          <w:rFonts w:ascii="Calibri" w:hAnsi="Calibri"/>
          <w:b w:val="0"/>
          <w:i w:val="0"/>
          <w:color w:val="2A3345"/>
          <w:sz w:val="21"/>
        </w:rPr>
        <w:t>The unit of value is not an answer — it is a defensible answer. That is a much higher bar than “helpful,” and clearing it is exactly what general tools can’t.</w:t>
      </w:r>
    </w:p>
    <w:p>
      <w:pPr>
        <w:spacing w:before="0" w:after="120"/>
      </w:pPr>
      <w:r>
        <w:rPr>
          <w:rFonts w:ascii="Calibri" w:hAnsi="Calibri"/>
          <w:b/>
          <w:i w:val="0"/>
          <w:color w:val="141A2E"/>
          <w:sz w:val="21"/>
        </w:rPr>
        <w:t xml:space="preserve">It builds the moat as a byproduct. </w:t>
      </w:r>
      <w:r>
        <w:rPr>
          <w:rFonts w:ascii="Calibri" w:hAnsi="Calibri"/>
          <w:b w:val="0"/>
          <w:i w:val="0"/>
          <w:color w:val="2A3345"/>
          <w:sz w:val="21"/>
        </w:rPr>
        <w:t>Every run curates the Brand Brain. The wedge and the vision are the same motion; we don’t have to choose between traction and defensibility.</w:t>
      </w:r>
    </w:p>
    <w:p>
      <w:pPr>
        <w:keepNext/>
        <w:spacing w:before="240" w:after="60"/>
        <w:outlineLvl w:val="1"/>
      </w:pPr>
      <w:r>
        <w:rPr>
          <w:rFonts w:ascii="Calibri" w:hAnsi="Calibri"/>
          <w:b/>
          <w:i w:val="0"/>
          <w:color w:val="141A2E"/>
          <w:sz w:val="25"/>
        </w:rPr>
        <w:t>Why now</w:t>
      </w:r>
    </w:p>
    <w:p>
      <w:pPr>
        <w:pStyle w:val="ListBullet"/>
        <w:spacing w:after="60" w:line="264" w:lineRule="auto"/>
        <w:ind w:left="432"/>
      </w:pPr>
      <w:r>
        <w:rPr>
          <w:rFonts w:ascii="Calibri" w:hAnsi="Calibri"/>
          <w:b/>
          <w:i w:val="0"/>
          <w:color w:val="141A2E"/>
          <w:sz w:val="21"/>
        </w:rPr>
        <w:t xml:space="preserve">Capability crossed the threshold. </w:t>
      </w:r>
      <w:r>
        <w:rPr>
          <w:rFonts w:ascii="Calibri" w:hAnsi="Calibri"/>
          <w:b w:val="0"/>
          <w:i w:val="0"/>
          <w:color w:val="2A3345"/>
          <w:sz w:val="21"/>
        </w:rPr>
        <w:t>Long-context models can finally reason across hundreds of pages with citations; two years ago this demo wasn’t possible.</w:t>
      </w:r>
    </w:p>
    <w:p>
      <w:pPr>
        <w:pStyle w:val="ListBullet"/>
        <w:spacing w:after="60" w:line="264" w:lineRule="auto"/>
        <w:ind w:left="432"/>
      </w:pPr>
      <w:r>
        <w:rPr>
          <w:rFonts w:ascii="Calibri" w:hAnsi="Calibri"/>
          <w:b/>
          <w:i w:val="0"/>
          <w:color w:val="141A2E"/>
          <w:sz w:val="21"/>
        </w:rPr>
        <w:t xml:space="preserve">Trust is the new bottleneck, not capability. </w:t>
      </w:r>
      <w:r>
        <w:rPr>
          <w:rFonts w:ascii="Calibri" w:hAnsi="Calibri"/>
          <w:b w:val="0"/>
          <w:i w:val="0"/>
          <w:color w:val="2A3345"/>
          <w:sz w:val="21"/>
        </w:rPr>
        <w:t>Every brand team has now watched a general LLM confidently invent a statistic. That fear is our opening — the market wants AI it can verify.</w:t>
      </w:r>
    </w:p>
    <w:p>
      <w:pPr>
        <w:pStyle w:val="ListBullet"/>
        <w:spacing w:after="60" w:line="264" w:lineRule="auto"/>
        <w:ind w:left="432"/>
      </w:pPr>
      <w:r>
        <w:rPr>
          <w:rFonts w:ascii="Calibri" w:hAnsi="Calibri"/>
          <w:b/>
          <w:i w:val="0"/>
          <w:color w:val="141A2E"/>
          <w:sz w:val="21"/>
        </w:rPr>
        <w:t xml:space="preserve">Pharma budgets are shifting to AI, cautiously. </w:t>
      </w:r>
      <w:r>
        <w:rPr>
          <w:rFonts w:ascii="Calibri" w:hAnsi="Calibri"/>
          <w:b w:val="0"/>
          <w:i w:val="0"/>
          <w:color w:val="2A3345"/>
          <w:sz w:val="21"/>
        </w:rPr>
        <w:t>There is money and a mandate to adopt, paired with acute anxiety about compliance. A trust-first, pharma-native product is exactly the risk-adjusted bet a brand team can say yes to.</w:t>
      </w:r>
    </w:p>
    <w:p>
      <w:pPr>
        <w:keepNext/>
        <w:spacing w:before="240" w:after="60"/>
        <w:outlineLvl w:val="1"/>
      </w:pPr>
      <w:r>
        <w:rPr>
          <w:rFonts w:ascii="Calibri" w:hAnsi="Calibri"/>
          <w:b/>
          <w:i w:val="0"/>
          <w:color w:val="141A2E"/>
          <w:sz w:val="25"/>
        </w:rPr>
        <w:t>Why customers will pay</w:t>
      </w:r>
    </w:p>
    <w:p>
      <w:pPr>
        <w:spacing w:before="0" w:after="120"/>
      </w:pPr>
      <w:r>
        <w:rPr>
          <w:rFonts w:ascii="Calibri" w:hAnsi="Calibri"/>
          <w:b w:val="0"/>
          <w:i w:val="0"/>
          <w:color w:val="2A3345"/>
          <w:sz w:val="21"/>
        </w:rPr>
        <w:t>Willingness to pay tracks defensibility and consequence, and both are high here. A single mispositioned brand bet costs millions; weeks of a senior insights team’s time is expensive; and team turnover currently erases institutional memory entirely. We are priced against the cost of a wrong or slow decision, not against a software-tool budget.</w:t>
      </w:r>
    </w:p>
    <w:p>
      <w:pPr>
        <w:keepNext/>
        <w:spacing w:before="240" w:after="60"/>
        <w:outlineLvl w:val="1"/>
      </w:pPr>
      <w:r>
        <w:rPr>
          <w:rFonts w:ascii="Calibri" w:hAnsi="Calibri"/>
          <w:b/>
          <w:i w:val="0"/>
          <w:color w:val="1D4ED8"/>
          <w:sz w:val="25"/>
        </w:rPr>
        <w:t>Why Copilot or ChatGPT can’t easily replace it</w:t>
      </w:r>
    </w:p>
    <w:tbl>
      <w:tblPr>
        <w:tblW w:type="auto" w:w="0"/>
        <w:jc w:val="center"/>
        <w:tblLayout w:type="fixed"/>
        <w:tblLook w:firstColumn="1" w:firstRow="1" w:lastColumn="0" w:lastRow="0" w:noHBand="0" w:noVBand="1" w:val="04A0"/>
        <w:tblW w:w="10300" w:type="dxa"/>
        <w:tblLayout w:type="fixed"/>
      </w:tblPr>
      <w:tblGrid>
        <w:gridCol w:w="3050"/>
        <w:gridCol w:w="3550"/>
        <w:gridCol w:w="3700"/>
      </w:tblGrid>
      <w:tr>
        <w:tc>
          <w:tcPr>
            <w:tcW w:type="dxa" w:w="3050"/>
            <w:shd w:val="clear" w:color="auto" w:fill="1D4ED8"/>
            <w:tcBorders>
              <w:top w:val="single" w:sz="4" w:space="0" w:color="1D4ED8"/>
              <w:left w:val="single" w:sz="4" w:space="0" w:color="1D4ED8"/>
              <w:bottom w:val="single" w:sz="4" w:space="0" w:color="1D4ED8"/>
              <w:right w:val="single" w:sz="4" w:space="0" w:color="1D4ED8"/>
            </w:tcBorders>
            <w:tcMar>
              <w:top w:w="64" w:type="dxa"/>
              <w:bottom w:w="64" w:type="dxa"/>
              <w:left w:w="120" w:type="dxa"/>
              <w:right w:w="120" w:type="dxa"/>
            </w:tcMar>
            <w:vAlign w:val="center"/>
          </w:tcPr>
          <w:p>
            <w:pPr>
              <w:spacing w:after="0" w:line="240" w:lineRule="auto"/>
            </w:pPr>
            <w:r>
              <w:rPr>
                <w:rFonts w:ascii="Calibri" w:hAnsi="Calibri"/>
                <w:b/>
                <w:i w:val="0"/>
                <w:color w:val="FFFFFF"/>
                <w:sz w:val="19"/>
              </w:rPr>
              <w:t>Their default behavior</w:t>
            </w:r>
          </w:p>
        </w:tc>
        <w:tc>
          <w:tcPr>
            <w:tcW w:type="dxa" w:w="3550"/>
            <w:shd w:val="clear" w:color="auto" w:fill="1D4ED8"/>
            <w:tcBorders>
              <w:top w:val="single" w:sz="4" w:space="0" w:color="1D4ED8"/>
              <w:left w:val="single" w:sz="4" w:space="0" w:color="1D4ED8"/>
              <w:bottom w:val="single" w:sz="4" w:space="0" w:color="1D4ED8"/>
              <w:right w:val="single" w:sz="4" w:space="0" w:color="1D4ED8"/>
            </w:tcBorders>
            <w:tcMar>
              <w:top w:w="64" w:type="dxa"/>
              <w:bottom w:w="64" w:type="dxa"/>
              <w:left w:w="120" w:type="dxa"/>
              <w:right w:w="120" w:type="dxa"/>
            </w:tcMar>
            <w:vAlign w:val="center"/>
          </w:tcPr>
          <w:p>
            <w:pPr>
              <w:spacing w:after="0" w:line="240" w:lineRule="auto"/>
            </w:pPr>
            <w:r>
              <w:rPr>
                <w:rFonts w:ascii="Calibri" w:hAnsi="Calibri"/>
                <w:b/>
                <w:i w:val="0"/>
                <w:color w:val="FFFFFF"/>
                <w:sz w:val="19"/>
              </w:rPr>
              <w:t>Why it fails in pharma</w:t>
            </w:r>
          </w:p>
        </w:tc>
        <w:tc>
          <w:tcPr>
            <w:tcW w:type="dxa" w:w="3700"/>
            <w:shd w:val="clear" w:color="auto" w:fill="1D4ED8"/>
            <w:tcBorders>
              <w:top w:val="single" w:sz="4" w:space="0" w:color="1D4ED8"/>
              <w:left w:val="single" w:sz="4" w:space="0" w:color="1D4ED8"/>
              <w:bottom w:val="single" w:sz="4" w:space="0" w:color="1D4ED8"/>
              <w:right w:val="single" w:sz="4" w:space="0" w:color="1D4ED8"/>
            </w:tcBorders>
            <w:tcMar>
              <w:top w:w="64" w:type="dxa"/>
              <w:bottom w:w="64" w:type="dxa"/>
              <w:left w:w="120" w:type="dxa"/>
              <w:right w:w="120" w:type="dxa"/>
            </w:tcMar>
            <w:vAlign w:val="center"/>
          </w:tcPr>
          <w:p>
            <w:pPr>
              <w:spacing w:after="0" w:line="240" w:lineRule="auto"/>
            </w:pPr>
            <w:r>
              <w:rPr>
                <w:rFonts w:ascii="Calibri" w:hAnsi="Calibri"/>
                <w:b/>
                <w:i w:val="0"/>
                <w:color w:val="FFFFFF"/>
                <w:sz w:val="19"/>
              </w:rPr>
              <w:t>What we do instead</w:t>
            </w:r>
          </w:p>
        </w:tc>
      </w:tr>
      <w:tr>
        <w:tc>
          <w:tcPr>
            <w:tcW w:type="dxa" w:w="30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41A2E"/>
                <w:sz w:val="19"/>
              </w:rPr>
              <w:t>Sound confident; smooth over conflict</w:t>
            </w:r>
          </w:p>
        </w:tc>
        <w:tc>
          <w:tcPr>
            <w:tcW w:type="dxa" w:w="35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Averaging quant vs. qual hides the exact tension a strategy must resolve</w:t>
            </w:r>
          </w:p>
        </w:tc>
        <w:tc>
          <w:tcPr>
            <w:tcW w:type="dxa" w:w="370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Preserve contradictions as first-class objects; never average</w:t>
            </w:r>
          </w:p>
        </w:tc>
      </w:tr>
      <w:tr>
        <w:tc>
          <w:tcPr>
            <w:tcW w:type="dxa" w:w="30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41A2E"/>
                <w:sz w:val="19"/>
              </w:rPr>
              <w:t>Answer from a blended context</w:t>
            </w:r>
          </w:p>
        </w:tc>
        <w:tc>
          <w:tcPr>
            <w:tcW w:type="dxa" w:w="35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No governance, provenance, or brand isolation; regulatory non-starter</w:t>
            </w:r>
          </w:p>
        </w:tc>
        <w:tc>
          <w:tcPr>
            <w:tcW w:type="dxa" w:w="370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Governed estate, brand-isolated, audit-logged, MLR-aware</w:t>
            </w:r>
          </w:p>
        </w:tc>
      </w:tr>
      <w:tr>
        <w:tc>
          <w:tcPr>
            <w:tcW w:type="dxa" w:w="30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41A2E"/>
                <w:sz w:val="19"/>
              </w:rPr>
              <w:t>Paraphrase freely</w:t>
            </w:r>
          </w:p>
        </w:tc>
        <w:tc>
          <w:tcPr>
            <w:tcW w:type="dxa" w:w="35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MLR-locked claims must appear verbatim or they’re unusable</w:t>
            </w:r>
          </w:p>
        </w:tc>
        <w:tc>
          <w:tcPr>
            <w:tcW w:type="dxa" w:w="370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Reproduce locked claims exactly; flag any drift for review</w:t>
            </w:r>
          </w:p>
        </w:tc>
      </w:tr>
      <w:tr>
        <w:tc>
          <w:tcPr>
            <w:tcW w:type="dxa" w:w="30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41A2E"/>
                <w:sz w:val="19"/>
              </w:rPr>
              <w:t>Cite loosely, if at all</w:t>
            </w:r>
          </w:p>
        </w:tc>
        <w:tc>
          <w:tcPr>
            <w:tcW w:type="dxa" w:w="35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“Trust me” is unacceptable when the answer goes to leadership</w:t>
            </w:r>
          </w:p>
        </w:tc>
        <w:tc>
          <w:tcPr>
            <w:tcW w:type="dxa" w:w="370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Atomic citations to slide/page/timecode; click to verify</w:t>
            </w:r>
          </w:p>
        </w:tc>
      </w:tr>
      <w:tr>
        <w:tc>
          <w:tcPr>
            <w:tcW w:type="dxa" w:w="30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41A2E"/>
                <w:sz w:val="19"/>
              </w:rPr>
              <w:t>Forget between sessions</w:t>
            </w:r>
          </w:p>
        </w:tc>
        <w:tc>
          <w:tcPr>
            <w:tcW w:type="dxa" w:w="35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No compounding memory of the brand’s learned truth</w:t>
            </w:r>
          </w:p>
        </w:tc>
        <w:tc>
          <w:tcPr>
            <w:tcW w:type="dxa" w:w="370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The Brand Brain accumulates and compounds per brand</w:t>
            </w:r>
          </w:p>
        </w:tc>
      </w:tr>
    </w:tbl>
    <w:p>
      <w:pPr>
        <w:spacing w:before="80" w:after="120"/>
      </w:pPr>
      <w:r>
        <w:rPr>
          <w:rFonts w:ascii="Calibri" w:hAnsi="Calibri"/>
          <w:b/>
          <w:i w:val="0"/>
          <w:color w:val="141A2E"/>
          <w:sz w:val="21"/>
        </w:rPr>
        <w:t xml:space="preserve">The honest version: </w:t>
      </w:r>
      <w:r>
        <w:rPr>
          <w:rFonts w:ascii="Calibri" w:hAnsi="Calibri"/>
          <w:b w:val="0"/>
          <w:i w:val="0"/>
          <w:color w:val="2A3345"/>
          <w:sz w:val="21"/>
        </w:rPr>
        <w:t>a horizontal tool can produce a passable summary. It cannot produce a defensible one, and it cannot own the brand’s memory. Our moat is not the model; it is the trust layer, the domain data model, and the accumulating governed asset around it.</w:t>
      </w:r>
    </w:p>
    <w:p>
      <w:pPr>
        <w:keepNext/>
        <w:spacing w:before="240" w:after="60"/>
        <w:outlineLvl w:val="1"/>
      </w:pPr>
      <w:r>
        <w:rPr>
          <w:rFonts w:ascii="Calibri" w:hAnsi="Calibri"/>
          <w:b/>
          <w:i w:val="0"/>
          <w:color w:val="141A2E"/>
          <w:sz w:val="25"/>
        </w:rPr>
        <w:t>How it expands into a platform</w:t>
      </w:r>
    </w:p>
    <w:p>
      <w:pPr>
        <w:spacing w:before="0" w:after="120"/>
      </w:pPr>
      <w:r>
        <w:rPr>
          <w:rFonts w:ascii="Calibri" w:hAnsi="Calibri"/>
          <w:b w:val="0"/>
          <w:i w:val="0"/>
          <w:color w:val="2A3345"/>
          <w:sz w:val="21"/>
        </w:rPr>
        <w:t>Search feeds Synthesis. Synthesis curates the Brand Brain. The Brand Brain is read by every future agent — the weekly brief, the brand-plan generator, the competitive monitor, the content-grounding engine. The wedge is the narrow end of a funnel whose wide end is the operating system. We earn each expansion with proven value, not with a bigger initial ask.</w:t>
      </w:r>
    </w:p>
    <w:p>
      <w:pPr>
        <w:keepNext/>
        <w:spacing w:before="240" w:after="60"/>
        <w:outlineLvl w:val="1"/>
      </w:pPr>
      <w:r>
        <w:rPr>
          <w:rFonts w:ascii="Calibri" w:hAnsi="Calibri"/>
          <w:b/>
          <w:i w:val="0"/>
          <w:color w:val="1D4ED8"/>
          <w:sz w:val="25"/>
        </w:rPr>
        <w:t>The ideal first customer</w:t>
      </w:r>
    </w:p>
    <w:p>
      <w:pPr>
        <w:spacing w:before="0" w:after="120"/>
      </w:pPr>
      <w:r>
        <w:rPr>
          <w:rFonts w:ascii="Calibri" w:hAnsi="Calibri"/>
          <w:b w:val="0"/>
          <w:i w:val="0"/>
          <w:color w:val="2A3345"/>
          <w:sz w:val="21"/>
        </w:rPr>
        <w:t>A single in-market brand — not a whole enterprise — with four traits: (1) a live, high-stakes strategic threat (a new competitive modality, an approaching loss of exclusivity, an eroding share position) that makes “what does the evidence say?” an urgent weekly question; (2) a rich but messy research estate spanning quant and qual; (3) a dedicated, under-resourced Insights Lead who is the current human bottleneck; and (4) a Brand Director under pressure to defend the brand to leadership. Mid-size pharma or a specific franchise inside big pharma is the sweet spot — enough complexity to hurt, few enough stakeholders to move fast.</w:t>
      </w:r>
    </w:p>
    <w:p>
      <w:pPr>
        <w:spacing w:before="120" w:after="120" w:line="269" w:lineRule="auto"/>
        <w:ind w:left="86"/>
        <w:shd w:val="clear" w:color="auto" w:fill="FDF3E0"/>
        <w:pBdr>
          <w:left w:val="single" w:sz="20" w:space="8" w:color="B45A09"/>
        </w:pBdr>
      </w:pPr>
      <w:r>
        <w:rPr>
          <w:rFonts w:ascii="Calibri" w:hAnsi="Calibri"/>
          <w:b/>
          <w:i w:val="0"/>
          <w:color w:val="B45A09"/>
          <w:sz w:val="20"/>
        </w:rPr>
        <w:t xml:space="preserve">The design-partner test:   </w:t>
      </w:r>
      <w:r>
        <w:rPr>
          <w:rFonts w:ascii="Calibri" w:hAnsi="Calibri"/>
          <w:b w:val="0"/>
          <w:i w:val="0"/>
          <w:color w:val="141A2E"/>
          <w:sz w:val="20"/>
        </w:rPr>
        <w:t>If a brand team can’t name the strategic question that’s stressing them this quarter, they are not our first customer. We want the team on fire — not the team browsing.</w:t>
      </w:r>
    </w:p>
    <w:p>
      <w:pPr>
        <w:keepNext/>
        <w:spacing w:before="400" w:after="60"/>
        <w:pBdr>
          <w:bottom w:val="single" w:sz="8" w:space="4" w:color="C9D6F2"/>
        </w:pBdr>
        <w:outlineLvl w:val="0"/>
      </w:pPr>
      <w:r>
        <w:rPr>
          <w:rFonts w:ascii="Calibri" w:hAnsi="Calibri"/>
          <w:b/>
          <w:i w:val="0"/>
          <w:color w:val="1D4ED8"/>
          <w:sz w:val="34"/>
        </w:rPr>
        <w:t xml:space="preserve">04   </w:t>
      </w:r>
      <w:r>
        <w:rPr>
          <w:rFonts w:ascii="Calibri" w:hAnsi="Calibri"/>
          <w:b/>
          <w:i w:val="0"/>
          <w:color w:val="152C6B"/>
          <w:sz w:val="34"/>
        </w:rPr>
        <w:t>User journey — from documents to a decision</w:t>
      </w:r>
    </w:p>
    <w:p>
      <w:pPr>
        <w:spacing w:before="0" w:after="120"/>
      </w:pPr>
      <w:r>
        <w:rPr>
          <w:rFonts w:ascii="Calibri" w:hAnsi="Calibri"/>
          <w:b w:val="0"/>
          <w:i w:val="0"/>
          <w:color w:val="2A3345"/>
          <w:sz w:val="21"/>
        </w:rPr>
        <w:t>The whole experience is engineered to answer five questions on every screen: What changed? Why? Why should I care? What should I do next? Why should I trust this? Below is the end-to-end flow.</w:t>
      </w:r>
    </w:p>
    <w:p>
      <w:pPr>
        <w:keepNext/>
        <w:spacing w:before="160" w:after="40"/>
      </w:pPr>
      <w:r>
        <w:rPr>
          <w:rFonts w:ascii="Calibri" w:hAnsi="Calibri"/>
          <w:b/>
          <w:i w:val="0"/>
          <w:color w:val="1D4ED8"/>
          <w:sz w:val="22"/>
        </w:rPr>
        <w:t>Step 1 — Connect the estate (once)</w:t>
      </w:r>
    </w:p>
    <w:p>
      <w:pPr>
        <w:spacing w:before="0" w:after="120"/>
      </w:pPr>
      <w:r>
        <w:rPr>
          <w:rFonts w:ascii="Calibri" w:hAnsi="Calibri"/>
          <w:b w:val="0"/>
          <w:i w:val="0"/>
          <w:color w:val="2A3345"/>
          <w:sz w:val="21"/>
        </w:rPr>
        <w:t>The user points us at where research already lives — a shared drive, a supplier delivery folder, or a simple drag-and-drop. As files arrive, the AI proposes metadata (brand, study type, supplier, wave, market); a human confirms it at a single review gate. Nothing enters the estate unreviewed. This is deliberately unglamorous: governance at the front door is what earns MLR’s trust downstream.</w:t>
      </w:r>
    </w:p>
    <w:p>
      <w:pPr>
        <w:keepNext/>
        <w:spacing w:before="160" w:after="40"/>
      </w:pPr>
      <w:r>
        <w:rPr>
          <w:rFonts w:ascii="Calibri" w:hAnsi="Calibri"/>
          <w:b/>
          <w:i w:val="0"/>
          <w:color w:val="1D4ED8"/>
          <w:sz w:val="22"/>
        </w:rPr>
        <w:t>Step 2 — Ask, or be told</w:t>
      </w:r>
    </w:p>
    <w:p>
      <w:pPr>
        <w:spacing w:before="0" w:after="120"/>
      </w:pPr>
      <w:r>
        <w:rPr>
          <w:rFonts w:ascii="Calibri" w:hAnsi="Calibri"/>
          <w:b w:val="0"/>
          <w:i w:val="0"/>
          <w:color w:val="2A3345"/>
          <w:sz w:val="21"/>
        </w:rPr>
        <w:t>Two entry points, one engine. The user either types a strategic question in plain language, or opens a new delivery that just landed. The system suggests the right analytical workflow (e.g., cross-study synthesis) but runs nothing yet.</w:t>
      </w:r>
    </w:p>
    <w:p>
      <w:pPr>
        <w:keepNext/>
        <w:spacing w:before="160" w:after="40"/>
      </w:pPr>
      <w:r>
        <w:rPr>
          <w:rFonts w:ascii="Calibri" w:hAnsi="Calibri"/>
          <w:b/>
          <w:i w:val="0"/>
          <w:color w:val="1D4ED8"/>
          <w:sz w:val="22"/>
        </w:rPr>
        <w:t>Step 3 — Confirm scope (the system thinks before it speaks)</w:t>
      </w:r>
    </w:p>
    <w:p>
      <w:pPr>
        <w:spacing w:before="0" w:after="120"/>
      </w:pPr>
      <w:r>
        <w:rPr>
          <w:rFonts w:ascii="Calibri" w:hAnsi="Calibri"/>
          <w:b w:val="0"/>
          <w:i w:val="0"/>
          <w:color w:val="2A3345"/>
          <w:sz w:val="21"/>
        </w:rPr>
        <w:t>Before any run, the product shows exactly what it will read and why — which studies, waves, and sources — and asks the user to confirm. This single step does three things: it prevents garbage-in surprises, it makes the run auditable, and it signals that the system is careful. Nothing runs until the user confirms; every run is logged.</w:t>
      </w:r>
    </w:p>
    <w:p>
      <w:pPr>
        <w:keepNext/>
        <w:spacing w:before="160" w:after="40"/>
      </w:pPr>
      <w:r>
        <w:rPr>
          <w:rFonts w:ascii="Calibri" w:hAnsi="Calibri"/>
          <w:b/>
          <w:i w:val="0"/>
          <w:color w:val="1D4ED8"/>
          <w:sz w:val="22"/>
        </w:rPr>
        <w:t>Step 4 — The synthesis runs (visibly)</w:t>
      </w:r>
    </w:p>
    <w:p>
      <w:pPr>
        <w:spacing w:before="0" w:after="120"/>
      </w:pPr>
      <w:r>
        <w:rPr>
          <w:rFonts w:ascii="Calibri" w:hAnsi="Calibri"/>
          <w:b w:val="0"/>
          <w:i w:val="0"/>
          <w:color w:val="2A3345"/>
          <w:sz w:val="21"/>
        </w:rPr>
        <w:t>A short, honest progress sequence shows the work: loading sources, aligning metrics across waves, cross-referencing quant with qual, detecting agreements and contradictions, assembling the output. The point is not theatre — it is to make the reasoning legible and to set the expectation that this is analysis, not autocomplete.</w:t>
      </w:r>
    </w:p>
    <w:p>
      <w:pPr>
        <w:keepNext/>
        <w:spacing w:before="160" w:after="40"/>
      </w:pPr>
      <w:r>
        <w:rPr>
          <w:rFonts w:ascii="Calibri" w:hAnsi="Calibri"/>
          <w:b/>
          <w:i w:val="0"/>
          <w:color w:val="1D4ED8"/>
          <w:sz w:val="22"/>
        </w:rPr>
        <w:t>Step 5 — Read the answer (the output anatomy)</w:t>
      </w:r>
    </w:p>
    <w:p>
      <w:pPr>
        <w:spacing w:before="0" w:after="120"/>
      </w:pPr>
      <w:r>
        <w:rPr>
          <w:rFonts w:ascii="Calibri" w:hAnsi="Calibri"/>
          <w:b w:val="0"/>
          <w:i w:val="0"/>
          <w:color w:val="2A3345"/>
          <w:sz w:val="21"/>
        </w:rPr>
        <w:t>The result is structured so an executive understands it in ten seconds and an analyst can drill for an hour. Every output contains, in order:</w:t>
      </w:r>
    </w:p>
    <w:p>
      <w:pPr>
        <w:pStyle w:val="ListBullet"/>
        <w:spacing w:after="60" w:line="264" w:lineRule="auto"/>
        <w:ind w:left="432"/>
      </w:pPr>
      <w:r>
        <w:rPr>
          <w:rFonts w:ascii="Calibri" w:hAnsi="Calibri"/>
          <w:b/>
          <w:i w:val="0"/>
          <w:color w:val="141A2E"/>
          <w:sz w:val="21"/>
        </w:rPr>
        <w:t xml:space="preserve">Brand story summary — </w:t>
      </w:r>
      <w:r>
        <w:rPr>
          <w:rFonts w:ascii="Calibri" w:hAnsi="Calibri"/>
          <w:b w:val="0"/>
          <w:i w:val="0"/>
          <w:color w:val="2A3345"/>
          <w:sz w:val="21"/>
        </w:rPr>
        <w:t>the leadership-ready headline (e.g., “switch risk is rising across three waves, but the studies disagree on why”), with a confidence level.</w:t>
      </w:r>
    </w:p>
    <w:p>
      <w:pPr>
        <w:pStyle w:val="ListBullet"/>
        <w:spacing w:after="60" w:line="264" w:lineRule="auto"/>
        <w:ind w:left="432"/>
      </w:pPr>
      <w:r>
        <w:rPr>
          <w:rFonts w:ascii="Calibri" w:hAnsi="Calibri"/>
          <w:b/>
          <w:i w:val="0"/>
          <w:color w:val="141A2E"/>
          <w:sz w:val="21"/>
        </w:rPr>
        <w:t xml:space="preserve">What multiple studies agree on — </w:t>
      </w:r>
      <w:r>
        <w:rPr>
          <w:rFonts w:ascii="Calibri" w:hAnsi="Calibri"/>
          <w:b w:val="0"/>
          <w:i w:val="0"/>
          <w:color w:val="2A3345"/>
          <w:sz w:val="21"/>
        </w:rPr>
        <w:t>the findings that hold across methods and suppliers. High-confidence ground truth.</w:t>
      </w:r>
    </w:p>
    <w:p>
      <w:pPr>
        <w:pStyle w:val="ListBullet"/>
        <w:spacing w:after="60" w:line="264" w:lineRule="auto"/>
        <w:ind w:left="432"/>
      </w:pPr>
      <w:r>
        <w:rPr>
          <w:rFonts w:ascii="Calibri" w:hAnsi="Calibri"/>
          <w:b/>
          <w:i w:val="0"/>
          <w:color w:val="141A2E"/>
          <w:sz w:val="21"/>
        </w:rPr>
        <w:t xml:space="preserve">Mixed signals — </w:t>
      </w:r>
      <w:r>
        <w:rPr>
          <w:rFonts w:ascii="Calibri" w:hAnsi="Calibri"/>
          <w:b w:val="0"/>
          <w:i w:val="0"/>
          <w:color w:val="2A3345"/>
          <w:sz w:val="21"/>
        </w:rPr>
        <w:t>the contradictions, preserved side by side with their sources (e.g., quant says the top driver is convenience; qual says the real trigger is a tolerability concern). We show the tension; we do not resolve it artificially.</w:t>
      </w:r>
    </w:p>
    <w:p>
      <w:pPr>
        <w:pStyle w:val="ListBullet"/>
        <w:spacing w:after="60" w:line="264" w:lineRule="auto"/>
        <w:ind w:left="432"/>
      </w:pPr>
      <w:r>
        <w:rPr>
          <w:rFonts w:ascii="Calibri" w:hAnsi="Calibri"/>
          <w:b/>
          <w:i w:val="0"/>
          <w:color w:val="141A2E"/>
          <w:sz w:val="21"/>
        </w:rPr>
        <w:t xml:space="preserve">Open questions — </w:t>
      </w:r>
      <w:r>
        <w:rPr>
          <w:rFonts w:ascii="Calibri" w:hAnsi="Calibri"/>
          <w:b w:val="0"/>
          <w:i w:val="0"/>
          <w:color w:val="2A3345"/>
          <w:sz w:val="21"/>
        </w:rPr>
        <w:t>what the evidence cannot answer, with a one-click “draft a question for the next study.”</w:t>
      </w:r>
    </w:p>
    <w:p>
      <w:pPr>
        <w:pStyle w:val="ListBullet"/>
        <w:spacing w:after="60" w:line="264" w:lineRule="auto"/>
        <w:ind w:left="432"/>
      </w:pPr>
      <w:r>
        <w:rPr>
          <w:rFonts w:ascii="Calibri" w:hAnsi="Calibri"/>
          <w:b/>
          <w:i w:val="0"/>
          <w:color w:val="141A2E"/>
          <w:sz w:val="21"/>
        </w:rPr>
        <w:t xml:space="preserve">Metrics that changed — </w:t>
      </w:r>
      <w:r>
        <w:rPr>
          <w:rFonts w:ascii="Calibri" w:hAnsi="Calibri"/>
          <w:b w:val="0"/>
          <w:i w:val="0"/>
          <w:color w:val="2A3345"/>
          <w:sz w:val="21"/>
        </w:rPr>
        <w:t>the wave-over-wave movements that matter, read from source tables, not charts.</w:t>
      </w:r>
    </w:p>
    <w:p>
      <w:pPr>
        <w:pStyle w:val="ListBullet"/>
        <w:spacing w:after="60" w:line="264" w:lineRule="auto"/>
        <w:ind w:left="432"/>
      </w:pPr>
      <w:r>
        <w:rPr>
          <w:rFonts w:ascii="Calibri" w:hAnsi="Calibri"/>
          <w:b/>
          <w:i w:val="0"/>
          <w:color w:val="141A2E"/>
          <w:sz w:val="21"/>
        </w:rPr>
        <w:t xml:space="preserve">Recommended action + citations — </w:t>
      </w:r>
      <w:r>
        <w:rPr>
          <w:rFonts w:ascii="Calibri" w:hAnsi="Calibri"/>
          <w:b w:val="0"/>
          <w:i w:val="0"/>
          <w:color w:val="2A3345"/>
          <w:sz w:val="21"/>
        </w:rPr>
        <w:t>a clearly labeled AI recommendation, plus every source, each clickable to the exact slide, page, or timecode.</w:t>
      </w:r>
    </w:p>
    <w:p>
      <w:pPr>
        <w:keepNext/>
        <w:spacing w:before="160" w:after="40"/>
      </w:pPr>
      <w:r>
        <w:rPr>
          <w:rFonts w:ascii="Calibri" w:hAnsi="Calibri"/>
          <w:b/>
          <w:i w:val="0"/>
          <w:color w:val="1D4ED8"/>
          <w:sz w:val="22"/>
        </w:rPr>
        <w:t>Step 6 — Verify (trust in one click)</w:t>
      </w:r>
    </w:p>
    <w:p>
      <w:pPr>
        <w:spacing w:before="0" w:after="120"/>
      </w:pPr>
      <w:r>
        <w:rPr>
          <w:rFonts w:ascii="Calibri" w:hAnsi="Calibri"/>
          <w:b w:val="0"/>
          <w:i w:val="0"/>
          <w:color w:val="2A3345"/>
          <w:sz w:val="21"/>
        </w:rPr>
        <w:t>Any statement can be clicked to open its source at the exact location. The output visibly separates FACT (what a source says), INSIGHT (a pattern across sources), INTERPRETATION (what it may mean), and RECOMMENDATION (what the AI advises). The user always knows whether they are reading the research or the AI’s conclusion.</w:t>
      </w:r>
    </w:p>
    <w:p>
      <w:pPr>
        <w:keepNext/>
        <w:spacing w:before="160" w:after="40"/>
      </w:pPr>
      <w:r>
        <w:rPr>
          <w:rFonts w:ascii="Calibri" w:hAnsi="Calibri"/>
          <w:b/>
          <w:i w:val="0"/>
          <w:color w:val="1D4ED8"/>
          <w:sz w:val="22"/>
        </w:rPr>
        <w:t>Step 7 — Act, and let the brain compound</w:t>
      </w:r>
    </w:p>
    <w:p>
      <w:pPr>
        <w:spacing w:before="0" w:after="120"/>
      </w:pPr>
      <w:r>
        <w:rPr>
          <w:rFonts w:ascii="Calibri" w:hAnsi="Calibri"/>
          <w:b w:val="0"/>
          <w:i w:val="0"/>
          <w:color w:val="2A3345"/>
          <w:sz w:val="21"/>
        </w:rPr>
        <w:t>From the output the user can do three high-value things without leaving the flow: (a) propose the finding to the Brand Brain, where it enters a review queue and is published only after a human approves the red/green diff and machine checks pass; (b) draft a leadership-ready insight brief grounded in the synthesis and the Brand Brain’s approved, verbatim claims; or (c) draft the next research question to close a gap. Every action is logged.</w:t>
      </w:r>
    </w:p>
    <w:p>
      <w:pPr>
        <w:keepNext/>
        <w:spacing w:before="160" w:after="40"/>
      </w:pPr>
      <w:r>
        <w:rPr>
          <w:rFonts w:ascii="Calibri" w:hAnsi="Calibri"/>
          <w:b/>
          <w:i w:val="0"/>
          <w:color w:val="1D4ED8"/>
          <w:sz w:val="22"/>
        </w:rPr>
        <w:t>Step 8 — The weekly return (the habit)</w:t>
      </w:r>
    </w:p>
    <w:p>
      <w:pPr>
        <w:spacing w:before="0" w:after="120"/>
      </w:pPr>
      <w:r>
        <w:rPr>
          <w:rFonts w:ascii="Calibri" w:hAnsi="Calibri"/>
          <w:b w:val="0"/>
          <w:i w:val="0"/>
          <w:color w:val="2A3345"/>
          <w:sz w:val="21"/>
        </w:rPr>
        <w:t>Because the estate keeps ingesting, the product produces a weekly Brand Pulse: “here is what changed, here is why it matters, here is what needs your review.” This is the retention loop — the reason the user comes back without being asked, and the reason the Brand Brain stays alive rather than going stale.</w:t>
      </w:r>
    </w:p>
    <w:p>
      <w:pPr>
        <w:spacing w:before="120" w:after="120" w:line="269" w:lineRule="auto"/>
        <w:ind w:left="86"/>
        <w:shd w:val="clear" w:color="auto" w:fill="E7F6ED"/>
        <w:pBdr>
          <w:left w:val="single" w:sz="20" w:space="8" w:color="15803D"/>
        </w:pBdr>
      </w:pPr>
      <w:r>
        <w:rPr>
          <w:rFonts w:ascii="Calibri" w:hAnsi="Calibri"/>
          <w:b/>
          <w:i w:val="0"/>
          <w:color w:val="15803D"/>
          <w:sz w:val="20"/>
        </w:rPr>
        <w:t xml:space="preserve">The emotional arc:   </w:t>
      </w:r>
      <w:r>
        <w:rPr>
          <w:rFonts w:ascii="Calibri" w:hAnsi="Calibri"/>
          <w:b w:val="0"/>
          <w:i w:val="0"/>
          <w:color w:val="141A2E"/>
          <w:sz w:val="20"/>
        </w:rPr>
        <w:t>The journey is designed to reduce anxiety, not add a tool. It moves the user from “I have a pile of research and a scary question” to “I have a defensible answer with my name on it” — in one sitting.</w:t>
      </w:r>
    </w:p>
    <w:p>
      <w:pPr>
        <w:keepNext/>
        <w:spacing w:before="400" w:after="60"/>
        <w:pBdr>
          <w:bottom w:val="single" w:sz="8" w:space="4" w:color="C9D6F2"/>
        </w:pBdr>
        <w:outlineLvl w:val="0"/>
      </w:pPr>
      <w:r>
        <w:rPr>
          <w:rFonts w:ascii="Calibri" w:hAnsi="Calibri"/>
          <w:b/>
          <w:i w:val="0"/>
          <w:color w:val="1D4ED8"/>
          <w:sz w:val="34"/>
        </w:rPr>
        <w:t xml:space="preserve">05   </w:t>
      </w:r>
      <w:r>
        <w:rPr>
          <w:rFonts w:ascii="Calibri" w:hAnsi="Calibri"/>
          <w:b/>
          <w:i w:val="0"/>
          <w:color w:val="152C6B"/>
          <w:sz w:val="34"/>
        </w:rPr>
        <w:t>Information architecture</w:t>
      </w:r>
    </w:p>
    <w:p>
      <w:pPr>
        <w:spacing w:before="0" w:after="120"/>
      </w:pPr>
      <w:r>
        <w:rPr>
          <w:rFonts w:ascii="Calibri" w:hAnsi="Calibri"/>
          <w:b w:val="0"/>
          <w:i w:val="0"/>
          <w:color w:val="2A3345"/>
          <w:sz w:val="21"/>
        </w:rPr>
        <w:t>The navigation encodes the product philosophy: a short path from question to trusted answer, with the memory always one click away and everything else hidden until it earns its place. Executive cognition means fewer doors, each obvious.</w:t>
      </w:r>
    </w:p>
    <w:p>
      <w:pPr>
        <w:keepNext/>
        <w:spacing w:before="240" w:after="60"/>
        <w:outlineLvl w:val="1"/>
      </w:pPr>
      <w:r>
        <w:rPr>
          <w:rFonts w:ascii="Calibri" w:hAnsi="Calibri"/>
          <w:b/>
          <w:i w:val="0"/>
          <w:color w:val="141A2E"/>
          <w:sz w:val="25"/>
        </w:rPr>
        <w:t>The sidebar (MVP)</w:t>
      </w:r>
    </w:p>
    <w:tbl>
      <w:tblPr>
        <w:tblW w:type="auto" w:w="0"/>
        <w:jc w:val="center"/>
        <w:tblLayout w:type="fixed"/>
        <w:tblLook w:firstColumn="1" w:firstRow="1" w:lastColumn="0" w:lastRow="0" w:noHBand="0" w:noVBand="1" w:val="04A0"/>
        <w:tblW w:w="9300" w:type="dxa"/>
        <w:tblLayout w:type="fixed"/>
      </w:tblPr>
      <w:tblGrid>
        <w:gridCol w:w="1900"/>
        <w:gridCol w:w="4050"/>
        <w:gridCol w:w="3350"/>
      </w:tblGrid>
      <w:tr>
        <w:tc>
          <w:tcPr>
            <w:tcW w:type="dxa" w:w="1900"/>
            <w:shd w:val="clear" w:color="auto" w:fill="1D4ED8"/>
            <w:tcBorders>
              <w:top w:val="single" w:sz="4" w:space="0" w:color="1D4ED8"/>
              <w:left w:val="single" w:sz="4" w:space="0" w:color="1D4ED8"/>
              <w:bottom w:val="single" w:sz="4" w:space="0" w:color="1D4ED8"/>
              <w:right w:val="single" w:sz="4" w:space="0" w:color="1D4ED8"/>
            </w:tcBorders>
            <w:tcMar>
              <w:top w:w="64" w:type="dxa"/>
              <w:bottom w:w="64" w:type="dxa"/>
              <w:left w:w="120" w:type="dxa"/>
              <w:right w:w="120" w:type="dxa"/>
            </w:tcMar>
            <w:vAlign w:val="center"/>
          </w:tcPr>
          <w:p>
            <w:pPr>
              <w:spacing w:after="0" w:line="240" w:lineRule="auto"/>
            </w:pPr>
            <w:r>
              <w:rPr>
                <w:rFonts w:ascii="Calibri" w:hAnsi="Calibri"/>
                <w:b/>
                <w:i w:val="0"/>
                <w:color w:val="FFFFFF"/>
                <w:sz w:val="19"/>
              </w:rPr>
              <w:t>Item</w:t>
            </w:r>
          </w:p>
        </w:tc>
        <w:tc>
          <w:tcPr>
            <w:tcW w:type="dxa" w:w="4050"/>
            <w:shd w:val="clear" w:color="auto" w:fill="1D4ED8"/>
            <w:tcBorders>
              <w:top w:val="single" w:sz="4" w:space="0" w:color="1D4ED8"/>
              <w:left w:val="single" w:sz="4" w:space="0" w:color="1D4ED8"/>
              <w:bottom w:val="single" w:sz="4" w:space="0" w:color="1D4ED8"/>
              <w:right w:val="single" w:sz="4" w:space="0" w:color="1D4ED8"/>
            </w:tcBorders>
            <w:tcMar>
              <w:top w:w="64" w:type="dxa"/>
              <w:bottom w:w="64" w:type="dxa"/>
              <w:left w:w="120" w:type="dxa"/>
              <w:right w:w="120" w:type="dxa"/>
            </w:tcMar>
            <w:vAlign w:val="center"/>
          </w:tcPr>
          <w:p>
            <w:pPr>
              <w:spacing w:after="0" w:line="240" w:lineRule="auto"/>
            </w:pPr>
            <w:r>
              <w:rPr>
                <w:rFonts w:ascii="Calibri" w:hAnsi="Calibri"/>
                <w:b/>
                <w:i w:val="0"/>
                <w:color w:val="FFFFFF"/>
                <w:sz w:val="19"/>
              </w:rPr>
              <w:t>What it is</w:t>
            </w:r>
          </w:p>
        </w:tc>
        <w:tc>
          <w:tcPr>
            <w:tcW w:type="dxa" w:w="3350"/>
            <w:shd w:val="clear" w:color="auto" w:fill="1D4ED8"/>
            <w:tcBorders>
              <w:top w:val="single" w:sz="4" w:space="0" w:color="1D4ED8"/>
              <w:left w:val="single" w:sz="4" w:space="0" w:color="1D4ED8"/>
              <w:bottom w:val="single" w:sz="4" w:space="0" w:color="1D4ED8"/>
              <w:right w:val="single" w:sz="4" w:space="0" w:color="1D4ED8"/>
            </w:tcBorders>
            <w:tcMar>
              <w:top w:w="64" w:type="dxa"/>
              <w:bottom w:w="64" w:type="dxa"/>
              <w:left w:w="120" w:type="dxa"/>
              <w:right w:w="120" w:type="dxa"/>
            </w:tcMar>
            <w:vAlign w:val="center"/>
          </w:tcPr>
          <w:p>
            <w:pPr>
              <w:spacing w:after="0" w:line="240" w:lineRule="auto"/>
            </w:pPr>
            <w:r>
              <w:rPr>
                <w:rFonts w:ascii="Calibri" w:hAnsi="Calibri"/>
                <w:b/>
                <w:i w:val="0"/>
                <w:color w:val="FFFFFF"/>
                <w:sz w:val="19"/>
              </w:rPr>
              <w:t>Why it’s here</w:t>
            </w:r>
          </w:p>
        </w:tc>
      </w:tr>
      <w:tr>
        <w:tc>
          <w:tcPr>
            <w:tcW w:type="dxa" w:w="190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D4ED8"/>
                <w:sz w:val="19"/>
              </w:rPr>
              <w:t>Ask</w:t>
            </w:r>
          </w:p>
        </w:tc>
        <w:tc>
          <w:tcPr>
            <w:tcW w:type="dxa" w:w="40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The Insight Synthesizer — the front door</w:t>
            </w:r>
          </w:p>
        </w:tc>
        <w:tc>
          <w:tcPr>
            <w:tcW w:type="dxa" w:w="33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This is the job; it should be the first and biggest thing</w:t>
            </w:r>
          </w:p>
        </w:tc>
      </w:tr>
      <w:tr>
        <w:tc>
          <w:tcPr>
            <w:tcW w:type="dxa" w:w="190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D4ED8"/>
                <w:sz w:val="19"/>
              </w:rPr>
              <w:t>Brand Pulse</w:t>
            </w:r>
          </w:p>
        </w:tc>
        <w:tc>
          <w:tcPr>
            <w:tcW w:type="dxa" w:w="40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The weekly “what changed &amp; why it matters” brief</w:t>
            </w:r>
          </w:p>
        </w:tc>
        <w:tc>
          <w:tcPr>
            <w:tcW w:type="dxa" w:w="33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The retention loop and the reason to return unprompted</w:t>
            </w:r>
          </w:p>
        </w:tc>
      </w:tr>
      <w:tr>
        <w:tc>
          <w:tcPr>
            <w:tcW w:type="dxa" w:w="190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D4ED8"/>
                <w:sz w:val="19"/>
              </w:rPr>
              <w:t>Library</w:t>
            </w:r>
          </w:p>
        </w:tc>
        <w:tc>
          <w:tcPr>
            <w:tcW w:type="dxa" w:w="40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The governed estate + Connected Sources</w:t>
            </w:r>
          </w:p>
        </w:tc>
        <w:tc>
          <w:tcPr>
            <w:tcW w:type="dxa" w:w="33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Where trust begins; the substrate everything reads</w:t>
            </w:r>
          </w:p>
        </w:tc>
      </w:tr>
      <w:tr>
        <w:tc>
          <w:tcPr>
            <w:tcW w:type="dxa" w:w="190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D4ED8"/>
                <w:sz w:val="19"/>
              </w:rPr>
              <w:t>Brand Brain</w:t>
            </w:r>
          </w:p>
        </w:tc>
        <w:tc>
          <w:tcPr>
            <w:tcW w:type="dxa" w:w="40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Curated, cited, review-gated brand memory</w:t>
            </w:r>
          </w:p>
        </w:tc>
        <w:tc>
          <w:tcPr>
            <w:tcW w:type="dxa" w:w="33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The compounding asset; proof the product gets smarter</w:t>
            </w:r>
          </w:p>
        </w:tc>
      </w:tr>
    </w:tbl>
    <w:p>
      <w:pPr>
        <w:keepNext/>
        <w:spacing w:before="240" w:after="60"/>
        <w:outlineLvl w:val="1"/>
      </w:pPr>
      <w:r>
        <w:rPr>
          <w:rFonts w:ascii="Calibri" w:hAnsi="Calibri"/>
          <w:b/>
          <w:i w:val="0"/>
          <w:color w:val="141A2E"/>
          <w:sz w:val="25"/>
        </w:rPr>
        <w:t>Grouped, but secondary</w:t>
      </w:r>
    </w:p>
    <w:p>
      <w:pPr>
        <w:spacing w:before="0" w:after="120"/>
      </w:pPr>
      <w:r>
        <w:rPr>
          <w:rFonts w:ascii="Calibri" w:hAnsi="Calibri"/>
          <w:b w:val="0"/>
          <w:i w:val="0"/>
          <w:color w:val="2A3345"/>
          <w:sz w:val="21"/>
        </w:rPr>
        <w:t>Cited retrieval (Insight Search) and chat Q&amp;A (Knowledge Navigator) exist as supporting surfaces reachable from within a flow — you search inside the Library, you ask a follow-up inside an answer — rather than as competing top-level destinations. They enable the wedge; they don’t headline it.</w:t>
      </w:r>
    </w:p>
    <w:p>
      <w:pPr>
        <w:keepNext/>
        <w:spacing w:before="240" w:after="60"/>
        <w:outlineLvl w:val="1"/>
      </w:pPr>
      <w:r>
        <w:rPr>
          <w:rFonts w:ascii="Calibri" w:hAnsi="Calibri"/>
          <w:b/>
          <w:i w:val="0"/>
          <w:color w:val="1D4ED8"/>
          <w:sz w:val="25"/>
        </w:rPr>
        <w:t>What stays hidden (on purpose)</w:t>
      </w:r>
    </w:p>
    <w:p>
      <w:pPr>
        <w:spacing w:before="0" w:after="120"/>
      </w:pPr>
      <w:r>
        <w:rPr>
          <w:rFonts w:ascii="Calibri" w:hAnsi="Calibri"/>
          <w:b w:val="0"/>
          <w:i w:val="0"/>
          <w:color w:val="2A3345"/>
          <w:sz w:val="21"/>
        </w:rPr>
        <w:t>Connector configuration, model settings, user administration, and raw metric dashboards are deliberately not in the primary navigation. Two reasons: every control we expose is a decision we force on an executive who wants an answer, not a console; and a dashboard full of metrics is the anti-pattern this product exists to replace. Admin lives in settings; power lives in the flow.</w:t>
      </w:r>
    </w:p>
    <w:p>
      <w:pPr>
        <w:spacing w:before="120" w:after="120" w:line="269" w:lineRule="auto"/>
        <w:ind w:left="86"/>
        <w:shd w:val="clear" w:color="auto" w:fill="EEF3FF"/>
        <w:pBdr>
          <w:left w:val="single" w:sz="20" w:space="8" w:color="1D4ED8"/>
        </w:pBdr>
      </w:pPr>
      <w:r>
        <w:rPr>
          <w:rFonts w:ascii="Calibri" w:hAnsi="Calibri"/>
          <w:b/>
          <w:i w:val="0"/>
          <w:color w:val="1D4ED8"/>
          <w:sz w:val="20"/>
        </w:rPr>
        <w:t xml:space="preserve">The rule we hold:   </w:t>
      </w:r>
      <w:r>
        <w:rPr>
          <w:rFonts w:ascii="Calibri" w:hAnsi="Calibri"/>
          <w:b w:val="0"/>
          <w:i w:val="0"/>
          <w:color w:val="141A2E"/>
          <w:sz w:val="20"/>
        </w:rPr>
        <w:t>If a screen can’t be understood in ten seconds, it doesn’t ship in the MVP. Depth is available on demand (click a citation, expand the evidence) but never the default.</w:t>
      </w:r>
    </w:p>
    <w:p>
      <w:pPr>
        <w:keepNext/>
        <w:spacing w:before="400" w:after="60"/>
        <w:pBdr>
          <w:bottom w:val="single" w:sz="8" w:space="4" w:color="C9D6F2"/>
        </w:pBdr>
        <w:outlineLvl w:val="0"/>
      </w:pPr>
      <w:r>
        <w:rPr>
          <w:rFonts w:ascii="Calibri" w:hAnsi="Calibri"/>
          <w:b/>
          <w:i w:val="0"/>
          <w:color w:val="1D4ED8"/>
          <w:sz w:val="34"/>
        </w:rPr>
        <w:t xml:space="preserve">06   </w:t>
      </w:r>
      <w:r>
        <w:rPr>
          <w:rFonts w:ascii="Calibri" w:hAnsi="Calibri"/>
          <w:b/>
          <w:i w:val="0"/>
          <w:color w:val="152C6B"/>
          <w:sz w:val="34"/>
        </w:rPr>
        <w:t>AI capabilities — the minimum viable set</w:t>
      </w:r>
    </w:p>
    <w:p>
      <w:pPr>
        <w:spacing w:before="0" w:after="120"/>
      </w:pPr>
      <w:r>
        <w:rPr>
          <w:rFonts w:ascii="Calibri" w:hAnsi="Calibri"/>
          <w:b w:val="0"/>
          <w:i w:val="0"/>
          <w:color w:val="2A3345"/>
          <w:sz w:val="21"/>
        </w:rPr>
        <w:t>We ship the fewest capabilities that make the wedge undeniable, and we resist the rest. Each capability below exists to serve a specific job; anything that doesn’t is a distraction dressed as progress.</w:t>
      </w:r>
    </w:p>
    <w:tbl>
      <w:tblPr>
        <w:tblW w:type="auto" w:w="0"/>
        <w:jc w:val="center"/>
        <w:tblLayout w:type="fixed"/>
        <w:tblLook w:firstColumn="1" w:firstRow="1" w:lastColumn="0" w:lastRow="0" w:noHBand="0" w:noVBand="1" w:val="04A0"/>
        <w:tblW w:w="9300" w:type="dxa"/>
        <w:tblLayout w:type="fixed"/>
      </w:tblPr>
      <w:tblGrid>
        <w:gridCol w:w="2950"/>
        <w:gridCol w:w="4700"/>
        <w:gridCol w:w="1650"/>
      </w:tblGrid>
      <w:tr>
        <w:tc>
          <w:tcPr>
            <w:tcW w:type="dxa" w:w="2950"/>
            <w:shd w:val="clear" w:color="auto" w:fill="1D4ED8"/>
            <w:tcBorders>
              <w:top w:val="single" w:sz="4" w:space="0" w:color="1D4ED8"/>
              <w:left w:val="single" w:sz="4" w:space="0" w:color="1D4ED8"/>
              <w:bottom w:val="single" w:sz="4" w:space="0" w:color="1D4ED8"/>
              <w:right w:val="single" w:sz="4" w:space="0" w:color="1D4ED8"/>
            </w:tcBorders>
            <w:tcMar>
              <w:top w:w="64" w:type="dxa"/>
              <w:bottom w:w="64" w:type="dxa"/>
              <w:left w:w="120" w:type="dxa"/>
              <w:right w:w="120" w:type="dxa"/>
            </w:tcMar>
            <w:vAlign w:val="center"/>
          </w:tcPr>
          <w:p>
            <w:pPr>
              <w:spacing w:after="0" w:line="240" w:lineRule="auto"/>
            </w:pPr>
            <w:r>
              <w:rPr>
                <w:rFonts w:ascii="Calibri" w:hAnsi="Calibri"/>
                <w:b/>
                <w:i w:val="0"/>
                <w:color w:val="FFFFFF"/>
                <w:sz w:val="19"/>
              </w:rPr>
              <w:t>Capability</w:t>
            </w:r>
          </w:p>
        </w:tc>
        <w:tc>
          <w:tcPr>
            <w:tcW w:type="dxa" w:w="4700"/>
            <w:shd w:val="clear" w:color="auto" w:fill="1D4ED8"/>
            <w:tcBorders>
              <w:top w:val="single" w:sz="4" w:space="0" w:color="1D4ED8"/>
              <w:left w:val="single" w:sz="4" w:space="0" w:color="1D4ED8"/>
              <w:bottom w:val="single" w:sz="4" w:space="0" w:color="1D4ED8"/>
              <w:right w:val="single" w:sz="4" w:space="0" w:color="1D4ED8"/>
            </w:tcBorders>
            <w:tcMar>
              <w:top w:w="64" w:type="dxa"/>
              <w:bottom w:w="64" w:type="dxa"/>
              <w:left w:w="120" w:type="dxa"/>
              <w:right w:w="120" w:type="dxa"/>
            </w:tcMar>
            <w:vAlign w:val="center"/>
          </w:tcPr>
          <w:p>
            <w:pPr>
              <w:spacing w:after="0" w:line="240" w:lineRule="auto"/>
            </w:pPr>
            <w:r>
              <w:rPr>
                <w:rFonts w:ascii="Calibri" w:hAnsi="Calibri"/>
                <w:b/>
                <w:i w:val="0"/>
                <w:color w:val="FFFFFF"/>
                <w:sz w:val="19"/>
              </w:rPr>
              <w:t>Why it exists</w:t>
            </w:r>
          </w:p>
        </w:tc>
        <w:tc>
          <w:tcPr>
            <w:tcW w:type="dxa" w:w="1650"/>
            <w:shd w:val="clear" w:color="auto" w:fill="1D4ED8"/>
            <w:tcBorders>
              <w:top w:val="single" w:sz="4" w:space="0" w:color="1D4ED8"/>
              <w:left w:val="single" w:sz="4" w:space="0" w:color="1D4ED8"/>
              <w:bottom w:val="single" w:sz="4" w:space="0" w:color="1D4ED8"/>
              <w:right w:val="single" w:sz="4" w:space="0" w:color="1D4ED8"/>
            </w:tcBorders>
            <w:tcMar>
              <w:top w:w="64" w:type="dxa"/>
              <w:bottom w:w="64" w:type="dxa"/>
              <w:left w:w="120" w:type="dxa"/>
              <w:right w:w="120" w:type="dxa"/>
            </w:tcMar>
            <w:vAlign w:val="center"/>
          </w:tcPr>
          <w:p>
            <w:pPr>
              <w:spacing w:after="0" w:line="240" w:lineRule="auto"/>
            </w:pPr>
            <w:r>
              <w:rPr>
                <w:rFonts w:ascii="Calibri" w:hAnsi="Calibri"/>
                <w:b/>
                <w:i w:val="0"/>
                <w:color w:val="FFFFFF"/>
                <w:sz w:val="19"/>
              </w:rPr>
              <w:t>Serves job</w:t>
            </w:r>
          </w:p>
        </w:tc>
      </w:tr>
      <w:tr>
        <w:tc>
          <w:tcPr>
            <w:tcW w:type="dxa" w:w="29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41A2E"/>
                <w:sz w:val="19"/>
              </w:rPr>
              <w:t>1. Cited retrieval</w:t>
            </w:r>
          </w:p>
        </w:tc>
        <w:tc>
          <w:tcPr>
            <w:tcW w:type="dxa" w:w="470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Find the exact slide/page/quote and stamp it with a source; the substrate for trust</w:t>
            </w:r>
          </w:p>
        </w:tc>
        <w:tc>
          <w:tcPr>
            <w:tcW w:type="dxa" w:w="16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#4 (enabler)</w:t>
            </w:r>
          </w:p>
        </w:tc>
      </w:tr>
      <w:tr>
        <w:tc>
          <w:tcPr>
            <w:tcW w:type="dxa" w:w="29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41A2E"/>
                <w:sz w:val="19"/>
              </w:rPr>
              <w:t>2. Cross-study synthesis</w:t>
            </w:r>
          </w:p>
        </w:tc>
        <w:tc>
          <w:tcPr>
            <w:tcW w:type="dxa" w:w="470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Reason across studies, preserve contradictions, name gaps — the core value</w:t>
            </w:r>
          </w:p>
        </w:tc>
        <w:tc>
          <w:tcPr>
            <w:tcW w:type="dxa" w:w="16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#1 (core)</w:t>
            </w:r>
          </w:p>
        </w:tc>
      </w:tr>
      <w:tr>
        <w:tc>
          <w:tcPr>
            <w:tcW w:type="dxa" w:w="29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41A2E"/>
                <w:sz w:val="19"/>
              </w:rPr>
              <w:t>3. Trust layer</w:t>
            </w:r>
          </w:p>
        </w:tc>
        <w:tc>
          <w:tcPr>
            <w:tcW w:type="dxa" w:w="470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Confidence, evidence-for/against, FACT-vs-conclusion separation — non-optional</w:t>
            </w:r>
          </w:p>
        </w:tc>
        <w:tc>
          <w:tcPr>
            <w:tcW w:type="dxa" w:w="16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All</w:t>
            </w:r>
          </w:p>
        </w:tc>
      </w:tr>
      <w:tr>
        <w:tc>
          <w:tcPr>
            <w:tcW w:type="dxa" w:w="29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41A2E"/>
                <w:sz w:val="19"/>
              </w:rPr>
              <w:t>4. Brand Brain (memory)</w:t>
            </w:r>
          </w:p>
        </w:tc>
        <w:tc>
          <w:tcPr>
            <w:tcW w:type="dxa" w:w="470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Curate approved findings into governed, compounding memory read by all outputs</w:t>
            </w:r>
          </w:p>
        </w:tc>
        <w:tc>
          <w:tcPr>
            <w:tcW w:type="dxa" w:w="16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#5 / moat</w:t>
            </w:r>
          </w:p>
        </w:tc>
      </w:tr>
      <w:tr>
        <w:tc>
          <w:tcPr>
            <w:tcW w:type="dxa" w:w="29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41A2E"/>
                <w:sz w:val="19"/>
              </w:rPr>
              <w:t>5. Monitoring &amp; the weekly brief</w:t>
            </w:r>
          </w:p>
        </w:tc>
        <w:tc>
          <w:tcPr>
            <w:tcW w:type="dxa" w:w="470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Detect what changed and surface it; the habit loop</w:t>
            </w:r>
          </w:p>
        </w:tc>
        <w:tc>
          <w:tcPr>
            <w:tcW w:type="dxa" w:w="16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9"/>
              </w:rPr>
              <w:t>#2 (retention)</w:t>
            </w:r>
          </w:p>
        </w:tc>
      </w:tr>
    </w:tbl>
    <w:p>
      <w:pPr>
        <w:keepNext/>
        <w:spacing w:before="240" w:after="60"/>
        <w:outlineLvl w:val="1"/>
      </w:pPr>
      <w:r>
        <w:rPr>
          <w:rFonts w:ascii="Calibri" w:hAnsi="Calibri"/>
          <w:b/>
          <w:i w:val="0"/>
          <w:color w:val="1D4ED8"/>
          <w:sz w:val="25"/>
        </w:rPr>
        <w:t>Deliberately deferred</w:t>
      </w:r>
    </w:p>
    <w:p>
      <w:pPr>
        <w:spacing w:before="0" w:after="120"/>
      </w:pPr>
      <w:r>
        <w:rPr>
          <w:rFonts w:ascii="Calibri" w:hAnsi="Calibri"/>
          <w:b/>
          <w:i w:val="0"/>
          <w:color w:val="141A2E"/>
          <w:sz w:val="21"/>
        </w:rPr>
        <w:t xml:space="preserve">Autonomous recommendation engine. </w:t>
      </w:r>
      <w:r>
        <w:rPr>
          <w:rFonts w:ascii="Calibri" w:hAnsi="Calibri"/>
          <w:b w:val="0"/>
          <w:i w:val="0"/>
          <w:color w:val="2A3345"/>
          <w:sz w:val="21"/>
        </w:rPr>
        <w:t>We give a recommended action inside a synthesis, always human-reviewed. We do not ship an autonomous agent that makes commercial recommendations on its own — in this domain that is both unsafe and unsellable until trust is fully earned.</w:t>
      </w:r>
    </w:p>
    <w:p>
      <w:pPr>
        <w:spacing w:before="0" w:after="120"/>
      </w:pPr>
      <w:r>
        <w:rPr>
          <w:rFonts w:ascii="Calibri" w:hAnsi="Calibri"/>
          <w:b/>
          <w:i w:val="0"/>
          <w:color w:val="141A2E"/>
          <w:sz w:val="21"/>
        </w:rPr>
        <w:t xml:space="preserve">Content / brief generation at scale. </w:t>
      </w:r>
      <w:r>
        <w:rPr>
          <w:rFonts w:ascii="Calibri" w:hAnsi="Calibri"/>
          <w:b w:val="0"/>
          <w:i w:val="0"/>
          <w:color w:val="2A3345"/>
          <w:sz w:val="21"/>
        </w:rPr>
        <w:t>One grounded brief from a synthesis, yes. A general content factory, later — it’s an activation play that only makes sense once the Brand Brain is rich and trusted.</w:t>
      </w:r>
    </w:p>
    <w:p>
      <w:pPr>
        <w:spacing w:before="0" w:after="120"/>
      </w:pPr>
      <w:r>
        <w:rPr>
          <w:rFonts w:ascii="Calibri" w:hAnsi="Calibri"/>
          <w:b/>
          <w:i w:val="0"/>
          <w:color w:val="141A2E"/>
          <w:sz w:val="21"/>
        </w:rPr>
        <w:t xml:space="preserve">Forecasting and predictive analytics. </w:t>
      </w:r>
      <w:r>
        <w:rPr>
          <w:rFonts w:ascii="Calibri" w:hAnsi="Calibri"/>
          <w:b w:val="0"/>
          <w:i w:val="0"/>
          <w:color w:val="2A3345"/>
          <w:sz w:val="21"/>
        </w:rPr>
        <w:t>Tempting and adjacent, but it pulls us toward being a data-science tool and away from being the trusted memory. Deferred.</w:t>
      </w:r>
    </w:p>
    <w:p>
      <w:pPr>
        <w:spacing w:before="120" w:after="120" w:line="269" w:lineRule="auto"/>
        <w:ind w:left="86"/>
        <w:shd w:val="clear" w:color="auto" w:fill="FDF3E0"/>
        <w:pBdr>
          <w:left w:val="single" w:sz="20" w:space="8" w:color="B45A09"/>
        </w:pBdr>
      </w:pPr>
      <w:r>
        <w:rPr>
          <w:rFonts w:ascii="Calibri" w:hAnsi="Calibri"/>
          <w:b/>
          <w:i w:val="0"/>
          <w:color w:val="B45A09"/>
          <w:sz w:val="20"/>
        </w:rPr>
        <w:t xml:space="preserve">The discipline:   </w:t>
      </w:r>
      <w:r>
        <w:rPr>
          <w:rFonts w:ascii="Calibri" w:hAnsi="Calibri"/>
          <w:b w:val="0"/>
          <w:i w:val="0"/>
          <w:color w:val="141A2E"/>
          <w:sz w:val="20"/>
        </w:rPr>
        <w:t>The temptation in AI products is to add capabilities because we can. Every capability we add before the wedge is proven dilutes the one thing we must nail: a synthesis a Brand Director will stake their name on.</w:t>
      </w:r>
    </w:p>
    <w:p>
      <w:pPr>
        <w:keepNext/>
        <w:spacing w:before="400" w:after="60"/>
        <w:pBdr>
          <w:bottom w:val="single" w:sz="8" w:space="4" w:color="C9D6F2"/>
        </w:pBdr>
        <w:outlineLvl w:val="0"/>
      </w:pPr>
      <w:r>
        <w:rPr>
          <w:rFonts w:ascii="Calibri" w:hAnsi="Calibri"/>
          <w:b/>
          <w:i w:val="0"/>
          <w:color w:val="1D4ED8"/>
          <w:sz w:val="34"/>
        </w:rPr>
        <w:t xml:space="preserve">07   </w:t>
      </w:r>
      <w:r>
        <w:rPr>
          <w:rFonts w:ascii="Calibri" w:hAnsi="Calibri"/>
          <w:b/>
          <w:i w:val="0"/>
          <w:color w:val="152C6B"/>
          <w:sz w:val="34"/>
        </w:rPr>
        <w:t>Trust architecture</w:t>
      </w:r>
    </w:p>
    <w:p>
      <w:pPr>
        <w:spacing w:before="0" w:after="120"/>
      </w:pPr>
      <w:r>
        <w:rPr>
          <w:rFonts w:ascii="Calibri" w:hAnsi="Calibri"/>
          <w:b w:val="0"/>
          <w:i w:val="0"/>
          <w:color w:val="2A3345"/>
          <w:sz w:val="21"/>
        </w:rPr>
        <w:t>Trust is not a feature bolted on at the end; it is the reason this company can exist. In pharma, an unverifiable answer has negative value — it creates work and risk. The architecture below is how we make every output verifiable, honest about uncertainty, and safe to put in front of leadership and MLR.</w:t>
      </w:r>
    </w:p>
    <w:p>
      <w:pPr>
        <w:keepNext/>
        <w:spacing w:before="240" w:after="60"/>
        <w:outlineLvl w:val="1"/>
      </w:pPr>
      <w:r>
        <w:rPr>
          <w:rFonts w:ascii="Calibri" w:hAnsi="Calibri"/>
          <w:b/>
          <w:i w:val="0"/>
          <w:color w:val="141A2E"/>
          <w:sz w:val="25"/>
        </w:rPr>
        <w:t>1 · How users verify output — citations</w:t>
      </w:r>
    </w:p>
    <w:p>
      <w:pPr>
        <w:spacing w:before="0" w:after="120"/>
      </w:pPr>
      <w:r>
        <w:rPr>
          <w:rFonts w:ascii="Calibri" w:hAnsi="Calibri"/>
          <w:b w:val="0"/>
          <w:i w:val="0"/>
          <w:color w:val="2A3345"/>
          <w:sz w:val="21"/>
        </w:rPr>
        <w:t>Every factual statement carries an atomic citation: not “per the ATU tracker,” but the exact slide, page, or transcript timecode, clickable to open the source at that location. We distinguish a direct quote from a paraphrase, and we visibly separate the four layers of any claim:</w:t>
      </w:r>
    </w:p>
    <w:p>
      <w:pPr>
        <w:pStyle w:val="ListBullet"/>
        <w:spacing w:after="60" w:line="264" w:lineRule="auto"/>
        <w:ind w:left="432"/>
      </w:pPr>
      <w:r>
        <w:rPr>
          <w:rFonts w:ascii="Calibri" w:hAnsi="Calibri"/>
          <w:b/>
          <w:i w:val="0"/>
          <w:color w:val="141A2E"/>
          <w:sz w:val="21"/>
        </w:rPr>
        <w:t xml:space="preserve">FACT — </w:t>
      </w:r>
      <w:r>
        <w:rPr>
          <w:rFonts w:ascii="Calibri" w:hAnsi="Calibri"/>
          <w:b w:val="0"/>
          <w:i w:val="0"/>
          <w:color w:val="2A3345"/>
          <w:sz w:val="21"/>
        </w:rPr>
        <w:t>what a specific source states.</w:t>
      </w:r>
    </w:p>
    <w:p>
      <w:pPr>
        <w:pStyle w:val="ListBullet"/>
        <w:spacing w:after="60" w:line="264" w:lineRule="auto"/>
        <w:ind w:left="432"/>
      </w:pPr>
      <w:r>
        <w:rPr>
          <w:rFonts w:ascii="Calibri" w:hAnsi="Calibri"/>
          <w:b/>
          <w:i w:val="0"/>
          <w:color w:val="141A2E"/>
          <w:sz w:val="21"/>
        </w:rPr>
        <w:t xml:space="preserve">INSIGHT — </w:t>
      </w:r>
      <w:r>
        <w:rPr>
          <w:rFonts w:ascii="Calibri" w:hAnsi="Calibri"/>
          <w:b w:val="0"/>
          <w:i w:val="0"/>
          <w:color w:val="2A3345"/>
          <w:sz w:val="21"/>
        </w:rPr>
        <w:t>a pattern observed across multiple sources.</w:t>
      </w:r>
    </w:p>
    <w:p>
      <w:pPr>
        <w:pStyle w:val="ListBullet"/>
        <w:spacing w:after="60" w:line="264" w:lineRule="auto"/>
        <w:ind w:left="432"/>
      </w:pPr>
      <w:r>
        <w:rPr>
          <w:rFonts w:ascii="Calibri" w:hAnsi="Calibri"/>
          <w:b/>
          <w:i w:val="0"/>
          <w:color w:val="141A2E"/>
          <w:sz w:val="21"/>
        </w:rPr>
        <w:t xml:space="preserve">INTERPRETATION — </w:t>
      </w:r>
      <w:r>
        <w:rPr>
          <w:rFonts w:ascii="Calibri" w:hAnsi="Calibri"/>
          <w:b w:val="0"/>
          <w:i w:val="0"/>
          <w:color w:val="2A3345"/>
          <w:sz w:val="21"/>
        </w:rPr>
        <w:t>what that pattern may mean.</w:t>
      </w:r>
    </w:p>
    <w:p>
      <w:pPr>
        <w:pStyle w:val="ListBullet"/>
        <w:spacing w:after="60" w:line="264" w:lineRule="auto"/>
        <w:ind w:left="432"/>
      </w:pPr>
      <w:r>
        <w:rPr>
          <w:rFonts w:ascii="Calibri" w:hAnsi="Calibri"/>
          <w:b/>
          <w:i w:val="0"/>
          <w:color w:val="141A2E"/>
          <w:sz w:val="21"/>
        </w:rPr>
        <w:t xml:space="preserve">RECOMMENDATION — </w:t>
      </w:r>
      <w:r>
        <w:rPr>
          <w:rFonts w:ascii="Calibri" w:hAnsi="Calibri"/>
          <w:b w:val="0"/>
          <w:i w:val="0"/>
          <w:color w:val="2A3345"/>
          <w:sz w:val="21"/>
        </w:rPr>
        <w:t>what the AI advises doing about it.</w:t>
      </w:r>
    </w:p>
    <w:p>
      <w:pPr>
        <w:spacing w:before="40" w:after="120"/>
      </w:pPr>
      <w:r>
        <w:rPr>
          <w:rFonts w:ascii="Calibri" w:hAnsi="Calibri"/>
          <w:b w:val="0"/>
          <w:i w:val="0"/>
          <w:color w:val="2A3345"/>
          <w:sz w:val="21"/>
        </w:rPr>
        <w:t>The user always knows whether they are reading the research or the AI’s conclusion. “What the research says” and “what the AI concludes” are never allowed to blur.</w:t>
      </w:r>
    </w:p>
    <w:p>
      <w:pPr>
        <w:keepNext/>
        <w:spacing w:before="240" w:after="60"/>
        <w:outlineLvl w:val="1"/>
      </w:pPr>
      <w:r>
        <w:rPr>
          <w:rFonts w:ascii="Calibri" w:hAnsi="Calibri"/>
          <w:b/>
          <w:i w:val="0"/>
          <w:color w:val="141A2E"/>
          <w:sz w:val="25"/>
        </w:rPr>
        <w:t>2 · How confidence is calculated</w:t>
      </w:r>
    </w:p>
    <w:p>
      <w:pPr>
        <w:spacing w:before="0" w:after="120"/>
      </w:pPr>
      <w:r>
        <w:rPr>
          <w:rFonts w:ascii="Calibri" w:hAnsi="Calibri"/>
          <w:b w:val="0"/>
          <w:i w:val="0"/>
          <w:color w:val="2A3345"/>
          <w:sz w:val="21"/>
        </w:rPr>
        <w:t>Confidence is shown as a band (not false decimal precision) and is always explainable on hover. It is a function of four inputs: volume of supporting evidence; source quality and recency; method triangulation (does quant agree with qual?); and internal consistency (how much contradictory evidence exists). Crucially, confidence is capped, not inflated — a single recent study never reads as certainty, and the system will say “low confidence, single source” rather than manufacture conviction.</w:t>
      </w:r>
    </w:p>
    <w:p>
      <w:pPr>
        <w:spacing w:before="120" w:after="120" w:line="269" w:lineRule="auto"/>
        <w:ind w:left="86"/>
        <w:shd w:val="clear" w:color="auto" w:fill="EEF3FF"/>
        <w:pBdr>
          <w:left w:val="single" w:sz="20" w:space="8" w:color="1D4ED8"/>
        </w:pBdr>
      </w:pPr>
      <w:r>
        <w:rPr>
          <w:rFonts w:ascii="Calibri" w:hAnsi="Calibri"/>
          <w:b/>
          <w:i w:val="0"/>
          <w:color w:val="1D4ED8"/>
          <w:sz w:val="20"/>
        </w:rPr>
        <w:t xml:space="preserve">Non-negotiable:   </w:t>
      </w:r>
      <w:r>
        <w:rPr>
          <w:rFonts w:ascii="Calibri" w:hAnsi="Calibri"/>
          <w:b w:val="0"/>
          <w:i w:val="0"/>
          <w:color w:val="141A2E"/>
          <w:sz w:val="20"/>
        </w:rPr>
        <w:t>The system never hallucinates certainty. When evidence is thin, the honest output is “we don’t know, and here’s the study that would tell us.” A product that reduces anxiety must first be trusted to admit what it can’t see.</w:t>
      </w:r>
    </w:p>
    <w:p>
      <w:pPr>
        <w:keepNext/>
        <w:spacing w:before="240" w:after="60"/>
        <w:outlineLvl w:val="1"/>
      </w:pPr>
      <w:r>
        <w:rPr>
          <w:rFonts w:ascii="Calibri" w:hAnsi="Calibri"/>
          <w:b/>
          <w:i w:val="0"/>
          <w:color w:val="141A2E"/>
          <w:sz w:val="25"/>
        </w:rPr>
        <w:t>3 · How contradictory evidence is surfaced</w:t>
      </w:r>
    </w:p>
    <w:p>
      <w:pPr>
        <w:spacing w:before="0" w:after="120"/>
      </w:pPr>
      <w:r>
        <w:rPr>
          <w:rFonts w:ascii="Calibri" w:hAnsi="Calibri"/>
          <w:b w:val="0"/>
          <w:i w:val="0"/>
          <w:color w:val="2A3345"/>
          <w:sz w:val="21"/>
        </w:rPr>
        <w:t>Contradictions are preserved as first-class objects — a “mixed signal” card that presents both positions side by side with their sources and a plain-language note on why the tension matters. We never average conflicting findings into a single misleading number. In a strategy context the contradiction is often the most valuable output: it is precisely the thing a decision must resolve, and the thing a general tool smooths away.</w:t>
      </w:r>
    </w:p>
    <w:p>
      <w:pPr>
        <w:keepNext/>
        <w:spacing w:before="240" w:after="60"/>
        <w:outlineLvl w:val="1"/>
      </w:pPr>
      <w:r>
        <w:rPr>
          <w:rFonts w:ascii="Calibri" w:hAnsi="Calibri"/>
          <w:b/>
          <w:i w:val="0"/>
          <w:color w:val="141A2E"/>
          <w:sz w:val="25"/>
        </w:rPr>
        <w:t>4 · How missing information is handled</w:t>
      </w:r>
    </w:p>
    <w:p>
      <w:pPr>
        <w:spacing w:before="0" w:after="120"/>
      </w:pPr>
      <w:r>
        <w:rPr>
          <w:rFonts w:ascii="Calibri" w:hAnsi="Calibri"/>
          <w:b w:val="0"/>
          <w:i w:val="0"/>
          <w:color w:val="2A3345"/>
          <w:sz w:val="21"/>
        </w:rPr>
        <w:t>Every synthesis includes an explicit “what we don’t know” section and flags thin or stale areas of the estate. Rather than leaving a gap as an awkward silence, the product turns it into an action: a drafted research question, ready to hand to a supplier. Gaps become the roadmap for the next study instead of a hidden risk.</w:t>
      </w:r>
    </w:p>
    <w:p>
      <w:pPr>
        <w:keepNext/>
        <w:spacing w:before="240" w:after="60"/>
        <w:outlineLvl w:val="1"/>
      </w:pPr>
      <w:r>
        <w:rPr>
          <w:rFonts w:ascii="Calibri" w:hAnsi="Calibri"/>
          <w:b/>
          <w:i w:val="0"/>
          <w:color w:val="1D4ED8"/>
          <w:sz w:val="25"/>
        </w:rPr>
        <w:t>5 · Governance that makes MLR an ally</w:t>
      </w:r>
    </w:p>
    <w:p>
      <w:pPr>
        <w:spacing w:before="0" w:after="120"/>
      </w:pPr>
      <w:r>
        <w:rPr>
          <w:rFonts w:ascii="Calibri" w:hAnsi="Calibri"/>
          <w:b w:val="0"/>
          <w:i w:val="0"/>
          <w:color w:val="2A3345"/>
          <w:sz w:val="21"/>
        </w:rPr>
        <w:t>Trust at the individual-answer level is matched by governance at the system level. The Brand Brain is draft-first and review-gated: AI proposes, a human approves a red/green diff, and machine checks (locked-claim guards, citation-preservation) must pass before anything publishes. Knowledge is brand-isolated so no evidence crosses brands. MLR-locked claims are reproduced verbatim and guarded against edits. Every run and every review is written to an immutable audit trail. This is what lets a regulated enterprise say yes.</w:t>
      </w:r>
    </w:p>
    <w:p>
      <w:pPr>
        <w:keepNext/>
        <w:spacing w:before="400" w:after="60"/>
        <w:pBdr>
          <w:bottom w:val="single" w:sz="8" w:space="4" w:color="C9D6F2"/>
        </w:pBdr>
        <w:outlineLvl w:val="0"/>
      </w:pPr>
      <w:r>
        <w:rPr>
          <w:rFonts w:ascii="Calibri" w:hAnsi="Calibri"/>
          <w:b/>
          <w:i w:val="0"/>
          <w:color w:val="1D4ED8"/>
          <w:sz w:val="34"/>
        </w:rPr>
        <w:t xml:space="preserve">08   </w:t>
      </w:r>
      <w:r>
        <w:rPr>
          <w:rFonts w:ascii="Calibri" w:hAnsi="Calibri"/>
          <w:b/>
          <w:i w:val="0"/>
          <w:color w:val="152C6B"/>
          <w:sz w:val="34"/>
        </w:rPr>
        <w:t>Expansion roadmap</w:t>
      </w:r>
    </w:p>
    <w:p>
      <w:pPr>
        <w:spacing w:before="0" w:after="120"/>
      </w:pPr>
      <w:r>
        <w:rPr>
          <w:rFonts w:ascii="Calibri" w:hAnsi="Calibri"/>
          <w:b w:val="0"/>
          <w:i w:val="0"/>
          <w:color w:val="2A3345"/>
          <w:sz w:val="21"/>
        </w:rPr>
        <w:t>Each horizon earns the next with proven value, and each new surface reads from the same Brand Brain — so the product compounds rather than sprawls. The buyer widens from one champion to the enterprise as trust accumulates.</w:t>
      </w:r>
    </w:p>
    <w:tbl>
      <w:tblPr>
        <w:tblW w:type="auto" w:w="0"/>
        <w:jc w:val="center"/>
        <w:tblLayout w:type="fixed"/>
        <w:tblLook w:firstColumn="1" w:firstRow="1" w:lastColumn="0" w:lastRow="0" w:noHBand="0" w:noVBand="1" w:val="04A0"/>
        <w:tblW w:w="10300" w:type="dxa"/>
        <w:tblLayout w:type="fixed"/>
      </w:tblPr>
      <w:tblGrid>
        <w:gridCol w:w="1250"/>
        <w:gridCol w:w="4150"/>
        <w:gridCol w:w="2450"/>
        <w:gridCol w:w="2450"/>
      </w:tblGrid>
      <w:tr>
        <w:tc>
          <w:tcPr>
            <w:tcW w:type="dxa" w:w="1250"/>
            <w:shd w:val="clear" w:color="auto" w:fill="1D4ED8"/>
            <w:tcBorders>
              <w:top w:val="single" w:sz="4" w:space="0" w:color="1D4ED8"/>
              <w:left w:val="single" w:sz="4" w:space="0" w:color="1D4ED8"/>
              <w:bottom w:val="single" w:sz="4" w:space="0" w:color="1D4ED8"/>
              <w:right w:val="single" w:sz="4" w:space="0" w:color="1D4ED8"/>
            </w:tcBorders>
            <w:tcMar>
              <w:top w:w="64" w:type="dxa"/>
              <w:bottom w:w="64" w:type="dxa"/>
              <w:left w:w="120" w:type="dxa"/>
              <w:right w:w="120" w:type="dxa"/>
            </w:tcMar>
            <w:vAlign w:val="center"/>
          </w:tcPr>
          <w:p>
            <w:pPr>
              <w:spacing w:after="0" w:line="240" w:lineRule="auto"/>
            </w:pPr>
            <w:r>
              <w:rPr>
                <w:rFonts w:ascii="Calibri" w:hAnsi="Calibri"/>
                <w:b/>
                <w:i w:val="0"/>
                <w:color w:val="FFFFFF"/>
                <w:sz w:val="19"/>
              </w:rPr>
              <w:t>Horizon</w:t>
            </w:r>
          </w:p>
        </w:tc>
        <w:tc>
          <w:tcPr>
            <w:tcW w:type="dxa" w:w="4150"/>
            <w:shd w:val="clear" w:color="auto" w:fill="1D4ED8"/>
            <w:tcBorders>
              <w:top w:val="single" w:sz="4" w:space="0" w:color="1D4ED8"/>
              <w:left w:val="single" w:sz="4" w:space="0" w:color="1D4ED8"/>
              <w:bottom w:val="single" w:sz="4" w:space="0" w:color="1D4ED8"/>
              <w:right w:val="single" w:sz="4" w:space="0" w:color="1D4ED8"/>
            </w:tcBorders>
            <w:tcMar>
              <w:top w:w="64" w:type="dxa"/>
              <w:bottom w:w="64" w:type="dxa"/>
              <w:left w:w="120" w:type="dxa"/>
              <w:right w:w="120" w:type="dxa"/>
            </w:tcMar>
            <w:vAlign w:val="center"/>
          </w:tcPr>
          <w:p>
            <w:pPr>
              <w:spacing w:after="0" w:line="240" w:lineRule="auto"/>
            </w:pPr>
            <w:r>
              <w:rPr>
                <w:rFonts w:ascii="Calibri" w:hAnsi="Calibri"/>
                <w:b/>
                <w:i w:val="0"/>
                <w:color w:val="FFFFFF"/>
                <w:sz w:val="19"/>
              </w:rPr>
              <w:t>What ships</w:t>
            </w:r>
          </w:p>
        </w:tc>
        <w:tc>
          <w:tcPr>
            <w:tcW w:type="dxa" w:w="2450"/>
            <w:shd w:val="clear" w:color="auto" w:fill="1D4ED8"/>
            <w:tcBorders>
              <w:top w:val="single" w:sz="4" w:space="0" w:color="1D4ED8"/>
              <w:left w:val="single" w:sz="4" w:space="0" w:color="1D4ED8"/>
              <w:bottom w:val="single" w:sz="4" w:space="0" w:color="1D4ED8"/>
              <w:right w:val="single" w:sz="4" w:space="0" w:color="1D4ED8"/>
            </w:tcBorders>
            <w:tcMar>
              <w:top w:w="64" w:type="dxa"/>
              <w:bottom w:w="64" w:type="dxa"/>
              <w:left w:w="120" w:type="dxa"/>
              <w:right w:w="120" w:type="dxa"/>
            </w:tcMar>
            <w:vAlign w:val="center"/>
          </w:tcPr>
          <w:p>
            <w:pPr>
              <w:spacing w:after="0" w:line="240" w:lineRule="auto"/>
            </w:pPr>
            <w:r>
              <w:rPr>
                <w:rFonts w:ascii="Calibri" w:hAnsi="Calibri"/>
                <w:b/>
                <w:i w:val="0"/>
                <w:color w:val="FFFFFF"/>
                <w:sz w:val="19"/>
              </w:rPr>
              <w:t>User goal</w:t>
            </w:r>
          </w:p>
        </w:tc>
        <w:tc>
          <w:tcPr>
            <w:tcW w:type="dxa" w:w="2450"/>
            <w:shd w:val="clear" w:color="auto" w:fill="1D4ED8"/>
            <w:tcBorders>
              <w:top w:val="single" w:sz="4" w:space="0" w:color="1D4ED8"/>
              <w:left w:val="single" w:sz="4" w:space="0" w:color="1D4ED8"/>
              <w:bottom w:val="single" w:sz="4" w:space="0" w:color="1D4ED8"/>
              <w:right w:val="single" w:sz="4" w:space="0" w:color="1D4ED8"/>
            </w:tcBorders>
            <w:tcMar>
              <w:top w:w="64" w:type="dxa"/>
              <w:bottom w:w="64" w:type="dxa"/>
              <w:left w:w="120" w:type="dxa"/>
              <w:right w:w="120" w:type="dxa"/>
            </w:tcMar>
            <w:vAlign w:val="center"/>
          </w:tcPr>
          <w:p>
            <w:pPr>
              <w:spacing w:after="0" w:line="240" w:lineRule="auto"/>
            </w:pPr>
            <w:r>
              <w:rPr>
                <w:rFonts w:ascii="Calibri" w:hAnsi="Calibri"/>
                <w:b/>
                <w:i w:val="0"/>
                <w:color w:val="FFFFFF"/>
                <w:sz w:val="19"/>
              </w:rPr>
              <w:t>Business goal</w:t>
            </w:r>
          </w:p>
        </w:tc>
      </w:tr>
      <w:tr>
        <w:tc>
          <w:tcPr>
            <w:tcW w:type="dxa" w:w="12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D4ED8"/>
                <w:sz w:val="18"/>
              </w:rPr>
              <w:t>Month 1</w:t>
            </w:r>
          </w:p>
        </w:tc>
        <w:tc>
          <w:tcPr>
            <w:tcW w:type="dxa" w:w="41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8"/>
              </w:rPr>
              <w:t>Insight Synthesizer + atomic citations, on one design-partner brand’s estate</w:t>
            </w:r>
          </w:p>
        </w:tc>
        <w:tc>
          <w:tcPr>
            <w:tcW w:type="dxa" w:w="24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8"/>
              </w:rPr>
              <w:t>One “I couldn’t have done that in two days” moment</w:t>
            </w:r>
          </w:p>
        </w:tc>
        <w:tc>
          <w:tcPr>
            <w:tcW w:type="dxa" w:w="24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8"/>
              </w:rPr>
              <w:t>Prove the wedge; earn a reference story</w:t>
            </w:r>
          </w:p>
        </w:tc>
      </w:tr>
      <w:tr>
        <w:tc>
          <w:tcPr>
            <w:tcW w:type="dxa" w:w="12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D4ED8"/>
                <w:sz w:val="18"/>
              </w:rPr>
              <w:t>Month 3</w:t>
            </w:r>
          </w:p>
        </w:tc>
        <w:tc>
          <w:tcPr>
            <w:tcW w:type="dxa" w:w="41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8"/>
              </w:rPr>
              <w:t>Weekly Brand Pulse; Brand Brain begins accumulating; 3–5 design-partner brands</w:t>
            </w:r>
          </w:p>
        </w:tc>
        <w:tc>
          <w:tcPr>
            <w:tcW w:type="dxa" w:w="24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8"/>
              </w:rPr>
              <w:t>Come back every week without being asked</w:t>
            </w:r>
          </w:p>
        </w:tc>
        <w:tc>
          <w:tcPr>
            <w:tcW w:type="dxa" w:w="24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8"/>
              </w:rPr>
              <w:t>Retention signal; first willingness-to-pay</w:t>
            </w:r>
          </w:p>
        </w:tc>
      </w:tr>
      <w:tr>
        <w:tc>
          <w:tcPr>
            <w:tcW w:type="dxa" w:w="12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D4ED8"/>
                <w:sz w:val="18"/>
              </w:rPr>
              <w:t>Month 6</w:t>
            </w:r>
          </w:p>
        </w:tc>
        <w:tc>
          <w:tcPr>
            <w:tcW w:type="dxa" w:w="41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8"/>
              </w:rPr>
              <w:t>Connected Sources (auto-ingest), Knowledge Navigator, MLR-evidence mode</w:t>
            </w:r>
          </w:p>
        </w:tc>
        <w:tc>
          <w:tcPr>
            <w:tcW w:type="dxa" w:w="24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8"/>
              </w:rPr>
              <w:t>Trust it enough to route outputs to MLR</w:t>
            </w:r>
          </w:p>
        </w:tc>
        <w:tc>
          <w:tcPr>
            <w:tcW w:type="dxa" w:w="24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8"/>
              </w:rPr>
              <w:t>First paid contracts; MLR as ally, not blocker</w:t>
            </w:r>
          </w:p>
        </w:tc>
      </w:tr>
      <w:tr>
        <w:tc>
          <w:tcPr>
            <w:tcW w:type="dxa" w:w="12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D4ED8"/>
                <w:sz w:val="18"/>
              </w:rPr>
              <w:t>Year 1</w:t>
            </w:r>
          </w:p>
        </w:tc>
        <w:tc>
          <w:tcPr>
            <w:tcW w:type="dxa" w:w="41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8"/>
              </w:rPr>
              <w:t>Multi-brand portfolio, competitive monitoring, grounded brief generation</w:t>
            </w:r>
          </w:p>
        </w:tc>
        <w:tc>
          <w:tcPr>
            <w:tcW w:type="dxa" w:w="24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8"/>
              </w:rPr>
              <w:t>Standardize the method across the franchise</w:t>
            </w:r>
          </w:p>
        </w:tc>
        <w:tc>
          <w:tcPr>
            <w:tcW w:type="dxa" w:w="2450"/>
            <w:shd w:val="clear" w:color="auto" w:fill="F5F7FB"/>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8"/>
              </w:rPr>
              <w:t>Commercial Excellence as buyer; land-and-expand</w:t>
            </w:r>
          </w:p>
        </w:tc>
      </w:tr>
      <w:tr>
        <w:tc>
          <w:tcPr>
            <w:tcW w:type="dxa" w:w="12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i w:val="0"/>
                <w:color w:val="1D4ED8"/>
                <w:sz w:val="18"/>
              </w:rPr>
              <w:t>Year 3</w:t>
            </w:r>
          </w:p>
        </w:tc>
        <w:tc>
          <w:tcPr>
            <w:tcW w:type="dxa" w:w="41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8"/>
              </w:rPr>
              <w:t>The OS: every brand has a living Brain; agents for access, medical, forecasting</w:t>
            </w:r>
          </w:p>
        </w:tc>
        <w:tc>
          <w:tcPr>
            <w:tcW w:type="dxa" w:w="24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8"/>
              </w:rPr>
              <w:t>One source of brand truth feeding every decision</w:t>
            </w:r>
          </w:p>
        </w:tc>
        <w:tc>
          <w:tcPr>
            <w:tcW w:type="dxa" w:w="2450"/>
            <w:shd w:val="clear" w:color="auto" w:fill="FFFFFF"/>
            <w:tcBorders>
              <w:top w:val="single" w:sz="4" w:space="0" w:color="D8DEEA"/>
              <w:left w:val="single" w:sz="4" w:space="0" w:color="D8DEEA"/>
              <w:bottom w:val="single" w:sz="4" w:space="0" w:color="D8DEEA"/>
              <w:right w:val="single" w:sz="4" w:space="0" w:color="D8DEEA"/>
            </w:tcBorders>
            <w:tcMar>
              <w:top w:w="64" w:type="dxa"/>
              <w:bottom w:w="64" w:type="dxa"/>
              <w:left w:w="120" w:type="dxa"/>
              <w:right w:w="120" w:type="dxa"/>
            </w:tcMar>
            <w:vAlign w:val="top"/>
          </w:tcPr>
          <w:p>
            <w:pPr>
              <w:spacing w:after="0" w:line="254" w:lineRule="auto"/>
            </w:pPr>
            <w:r>
              <w:rPr>
                <w:rFonts w:ascii="Calibri" w:hAnsi="Calibri"/>
                <w:b w:val="0"/>
                <w:i w:val="0"/>
                <w:color w:val="2A3345"/>
                <w:sz w:val="18"/>
              </w:rPr>
              <w:t>System of record; enterprise-wide network effects</w:t>
            </w:r>
          </w:p>
        </w:tc>
      </w:tr>
    </w:tbl>
    <w:p>
      <w:pPr>
        <w:spacing w:before="80" w:after="120"/>
      </w:pPr>
      <w:r>
        <w:rPr>
          <w:rFonts w:ascii="Calibri" w:hAnsi="Calibri"/>
          <w:b/>
          <w:i w:val="0"/>
          <w:color w:val="141A2E"/>
          <w:sz w:val="21"/>
        </w:rPr>
        <w:t xml:space="preserve">The shape of the bet: </w:t>
      </w:r>
      <w:r>
        <w:rPr>
          <w:rFonts w:ascii="Calibri" w:hAnsi="Calibri"/>
          <w:b w:val="0"/>
          <w:i w:val="0"/>
          <w:color w:val="2A3345"/>
          <w:sz w:val="21"/>
        </w:rPr>
        <w:t>narrow and deep first (one brand, one job, undeniable), then wide (more brands, more surfaces) only after the value is proven. We become the operating system by being the memory; we become the memory by being the most trusted answer.</w:t>
      </w:r>
    </w:p>
    <w:p>
      <w:pPr>
        <w:spacing w:before="120" w:after="120" w:line="269" w:lineRule="auto"/>
        <w:ind w:left="86"/>
        <w:shd w:val="clear" w:color="auto" w:fill="FDF3E0"/>
        <w:pBdr>
          <w:left w:val="single" w:sz="20" w:space="8" w:color="B45A09"/>
        </w:pBdr>
      </w:pPr>
      <w:r>
        <w:rPr>
          <w:rFonts w:ascii="Calibri" w:hAnsi="Calibri"/>
          <w:b/>
          <w:i w:val="0"/>
          <w:color w:val="B45A09"/>
          <w:sz w:val="20"/>
        </w:rPr>
        <w:t xml:space="preserve">What we will not do to grow:   </w:t>
      </w:r>
      <w:r>
        <w:rPr>
          <w:rFonts w:ascii="Calibri" w:hAnsi="Calibri"/>
          <w:b w:val="0"/>
          <w:i w:val="0"/>
          <w:color w:val="141A2E"/>
          <w:sz w:val="20"/>
        </w:rPr>
        <w:t>We will not chase adjacent buyers (sales ops, market access) or ship breadth before the wedge retains. Premature expansion is how vertical AI companies dissolve into shallow horizontal ones.</w:t>
      </w:r>
    </w:p>
    <w:p>
      <w:pPr>
        <w:keepNext/>
        <w:spacing w:before="400" w:after="60"/>
        <w:pBdr>
          <w:bottom w:val="single" w:sz="8" w:space="4" w:color="C9D6F2"/>
        </w:pBdr>
        <w:outlineLvl w:val="0"/>
      </w:pPr>
      <w:r>
        <w:rPr>
          <w:rFonts w:ascii="Calibri" w:hAnsi="Calibri"/>
          <w:b/>
          <w:i w:val="0"/>
          <w:color w:val="1D4ED8"/>
          <w:sz w:val="34"/>
        </w:rPr>
        <w:t xml:space="preserve">09   </w:t>
      </w:r>
      <w:r>
        <w:rPr>
          <w:rFonts w:ascii="Calibri" w:hAnsi="Calibri"/>
          <w:b/>
          <w:i w:val="0"/>
          <w:color w:val="152C6B"/>
          <w:sz w:val="34"/>
        </w:rPr>
        <w:t>YC evaluation — brutally honest</w:t>
      </w:r>
    </w:p>
    <w:p>
      <w:pPr>
        <w:spacing w:before="0" w:after="120"/>
      </w:pPr>
      <w:r>
        <w:rPr>
          <w:rFonts w:ascii="Calibri" w:hAnsi="Calibri"/>
          <w:b w:val="0"/>
          <w:i w:val="0"/>
          <w:color w:val="2A3345"/>
          <w:sz w:val="21"/>
        </w:rPr>
        <w:t>Assessed the way a partner would in a ten-minute conversation: not “is this cool,” but “is this a painkiller, is it defensible, and can these founders get to a billion-dollar outcome before the money or the market runs out.”</w:t>
      </w:r>
    </w:p>
    <w:p>
      <w:pPr>
        <w:keepNext/>
        <w:spacing w:before="240" w:after="60"/>
        <w:outlineLvl w:val="1"/>
      </w:pPr>
      <w:r>
        <w:rPr>
          <w:rFonts w:ascii="Calibri" w:hAnsi="Calibri"/>
          <w:b/>
          <w:i w:val="0"/>
          <w:color w:val="15803D"/>
          <w:sz w:val="25"/>
        </w:rPr>
        <w:t>Biggest strengths</w:t>
      </w:r>
    </w:p>
    <w:p>
      <w:pPr>
        <w:pStyle w:val="ListBullet"/>
        <w:spacing w:after="60" w:line="264" w:lineRule="auto"/>
        <w:ind w:left="432"/>
      </w:pPr>
      <w:r>
        <w:rPr>
          <w:rFonts w:ascii="Calibri" w:hAnsi="Calibri"/>
          <w:b/>
          <w:i w:val="0"/>
          <w:color w:val="141A2E"/>
          <w:sz w:val="21"/>
        </w:rPr>
        <w:t xml:space="preserve">A real, recurring, expensive job. </w:t>
      </w:r>
      <w:r>
        <w:rPr>
          <w:rFonts w:ascii="Calibri" w:hAnsi="Calibri"/>
          <w:b w:val="0"/>
          <w:i w:val="0"/>
          <w:color w:val="2A3345"/>
          <w:sz w:val="21"/>
        </w:rPr>
        <w:t>Not invented demand — senior people do this by hand today, weekly, under pressure.</w:t>
      </w:r>
    </w:p>
    <w:p>
      <w:pPr>
        <w:pStyle w:val="ListBullet"/>
        <w:spacing w:after="60" w:line="264" w:lineRule="auto"/>
        <w:ind w:left="432"/>
      </w:pPr>
      <w:r>
        <w:rPr>
          <w:rFonts w:ascii="Calibri" w:hAnsi="Calibri"/>
          <w:b/>
          <w:i w:val="0"/>
          <w:color w:val="141A2E"/>
          <w:sz w:val="21"/>
        </w:rPr>
        <w:t xml:space="preserve">Compounding proprietary asset. </w:t>
      </w:r>
      <w:r>
        <w:rPr>
          <w:rFonts w:ascii="Calibri" w:hAnsi="Calibri"/>
          <w:b w:val="0"/>
          <w:i w:val="0"/>
          <w:color w:val="2A3345"/>
          <w:sz w:val="21"/>
        </w:rPr>
        <w:t>The Brand Brain gets more valuable with use and can’t be bought off the shelf — the rare kind of moat that grows while you sleep.</w:t>
      </w:r>
    </w:p>
    <w:p>
      <w:pPr>
        <w:pStyle w:val="ListBullet"/>
        <w:spacing w:after="60" w:line="264" w:lineRule="auto"/>
        <w:ind w:left="432"/>
      </w:pPr>
      <w:r>
        <w:rPr>
          <w:rFonts w:ascii="Calibri" w:hAnsi="Calibri"/>
          <w:b/>
          <w:i w:val="0"/>
          <w:color w:val="141A2E"/>
          <w:sz w:val="21"/>
        </w:rPr>
        <w:t xml:space="preserve">Trust as differentiation. </w:t>
      </w:r>
      <w:r>
        <w:rPr>
          <w:rFonts w:ascii="Calibri" w:hAnsi="Calibri"/>
          <w:b w:val="0"/>
          <w:i w:val="0"/>
          <w:color w:val="2A3345"/>
          <w:sz w:val="21"/>
        </w:rPr>
        <w:t>The exact behavior that makes general AI dangerous here (confident averaging) is what we invert. That’s a durable wedge against Copilot.</w:t>
      </w:r>
    </w:p>
    <w:p>
      <w:pPr>
        <w:pStyle w:val="ListBullet"/>
        <w:spacing w:after="60" w:line="264" w:lineRule="auto"/>
        <w:ind w:left="432"/>
      </w:pPr>
      <w:r>
        <w:rPr>
          <w:rFonts w:ascii="Calibri" w:hAnsi="Calibri"/>
          <w:b/>
          <w:i w:val="0"/>
          <w:color w:val="141A2E"/>
          <w:sz w:val="21"/>
        </w:rPr>
        <w:t xml:space="preserve">Clean wedge-to-platform story. </w:t>
      </w:r>
      <w:r>
        <w:rPr>
          <w:rFonts w:ascii="Calibri" w:hAnsi="Calibri"/>
          <w:b w:val="0"/>
          <w:i w:val="0"/>
          <w:color w:val="2A3345"/>
          <w:sz w:val="21"/>
        </w:rPr>
        <w:t>The MVP builds the moat as a byproduct; traction and defensibility are the same motion.</w:t>
      </w:r>
    </w:p>
    <w:p>
      <w:pPr>
        <w:pStyle w:val="ListBullet"/>
        <w:spacing w:after="60" w:line="264" w:lineRule="auto"/>
        <w:ind w:left="432"/>
      </w:pPr>
      <w:r>
        <w:rPr>
          <w:rFonts w:ascii="Calibri" w:hAnsi="Calibri"/>
          <w:b/>
          <w:i w:val="0"/>
          <w:color w:val="141A2E"/>
          <w:sz w:val="21"/>
        </w:rPr>
        <w:t xml:space="preserve">Demo-able in one sitting. </w:t>
      </w:r>
      <w:r>
        <w:rPr>
          <w:rFonts w:ascii="Calibri" w:hAnsi="Calibri"/>
          <w:b w:val="0"/>
          <w:i w:val="0"/>
          <w:color w:val="2A3345"/>
          <w:sz w:val="21"/>
        </w:rPr>
        <w:t>The value is visceral and fast — critical for both sales and a YC demo.</w:t>
      </w:r>
    </w:p>
    <w:p>
      <w:pPr>
        <w:keepNext/>
        <w:spacing w:before="240" w:after="60"/>
        <w:outlineLvl w:val="1"/>
      </w:pPr>
      <w:r>
        <w:rPr>
          <w:rFonts w:ascii="Calibri" w:hAnsi="Calibri"/>
          <w:b/>
          <w:i w:val="0"/>
          <w:color w:val="B42318"/>
          <w:sz w:val="25"/>
        </w:rPr>
        <w:t>Biggest weaknesses</w:t>
      </w:r>
    </w:p>
    <w:p>
      <w:pPr>
        <w:pStyle w:val="ListBullet"/>
        <w:spacing w:after="60" w:line="264" w:lineRule="auto"/>
        <w:ind w:left="432"/>
      </w:pPr>
      <w:r>
        <w:rPr>
          <w:rFonts w:ascii="Calibri" w:hAnsi="Calibri"/>
          <w:b/>
          <w:i w:val="0"/>
          <w:color w:val="141A2E"/>
          <w:sz w:val="21"/>
        </w:rPr>
        <w:t xml:space="preserve">Enterprise pharma sales are slow. </w:t>
      </w:r>
      <w:r>
        <w:rPr>
          <w:rFonts w:ascii="Calibri" w:hAnsi="Calibri"/>
          <w:b w:val="0"/>
          <w:i w:val="0"/>
          <w:color w:val="2A3345"/>
          <w:sz w:val="21"/>
        </w:rPr>
        <w:t>Procurement, security review, and legal can turn a yes into a 6–12 month close. Cash and momentum risk.</w:t>
      </w:r>
    </w:p>
    <w:p>
      <w:pPr>
        <w:pStyle w:val="ListBullet"/>
        <w:spacing w:after="60" w:line="264" w:lineRule="auto"/>
        <w:ind w:left="432"/>
      </w:pPr>
      <w:r>
        <w:rPr>
          <w:rFonts w:ascii="Calibri" w:hAnsi="Calibri"/>
          <w:b/>
          <w:i w:val="0"/>
          <w:color w:val="141A2E"/>
          <w:sz w:val="21"/>
        </w:rPr>
        <w:t xml:space="preserve">Data access is a real hurdle. </w:t>
      </w:r>
      <w:r>
        <w:rPr>
          <w:rFonts w:ascii="Calibri" w:hAnsi="Calibri"/>
          <w:b w:val="0"/>
          <w:i w:val="0"/>
          <w:color w:val="2A3345"/>
          <w:sz w:val="21"/>
        </w:rPr>
        <w:t>The best evidence is scattered, sensitive, and gated. Getting to a rich estate on day one is non-trivial.</w:t>
      </w:r>
    </w:p>
    <w:p>
      <w:pPr>
        <w:pStyle w:val="ListBullet"/>
        <w:spacing w:after="60" w:line="264" w:lineRule="auto"/>
        <w:ind w:left="432"/>
      </w:pPr>
      <w:r>
        <w:rPr>
          <w:rFonts w:ascii="Calibri" w:hAnsi="Calibri"/>
          <w:b/>
          <w:i w:val="0"/>
          <w:color w:val="141A2E"/>
          <w:sz w:val="21"/>
        </w:rPr>
        <w:t xml:space="preserve">“Better decisions” is hard to prove ROI on. </w:t>
      </w:r>
      <w:r>
        <w:rPr>
          <w:rFonts w:ascii="Calibri" w:hAnsi="Calibri"/>
          <w:b w:val="0"/>
          <w:i w:val="0"/>
          <w:color w:val="2A3345"/>
          <w:sz w:val="21"/>
        </w:rPr>
        <w:t>We save time (measurable) but sell judgment (not). We must find a crisp, quantified proxy for value.</w:t>
      </w:r>
    </w:p>
    <w:p>
      <w:pPr>
        <w:pStyle w:val="ListBullet"/>
        <w:spacing w:after="60" w:line="264" w:lineRule="auto"/>
        <w:ind w:left="432"/>
      </w:pPr>
      <w:r>
        <w:rPr>
          <w:rFonts w:ascii="Calibri" w:hAnsi="Calibri"/>
          <w:b/>
          <w:i w:val="0"/>
          <w:color w:val="141A2E"/>
          <w:sz w:val="21"/>
        </w:rPr>
        <w:t xml:space="preserve">Adjacent incumbents. </w:t>
      </w:r>
      <w:r>
        <w:rPr>
          <w:rFonts w:ascii="Calibri" w:hAnsi="Calibri"/>
          <w:b w:val="0"/>
          <w:i w:val="0"/>
          <w:color w:val="2A3345"/>
          <w:sz w:val="21"/>
        </w:rPr>
        <w:t>Veeva owns the pharma-content/CRM stack; ZS and IQVIA own the services relationship. None does this well today, but all could lean in.</w:t>
      </w:r>
    </w:p>
    <w:p>
      <w:pPr>
        <w:pStyle w:val="ListBullet"/>
        <w:spacing w:after="60" w:line="264" w:lineRule="auto"/>
        <w:ind w:left="432"/>
      </w:pPr>
      <w:r>
        <w:rPr>
          <w:rFonts w:ascii="Calibri" w:hAnsi="Calibri"/>
          <w:b/>
          <w:i w:val="0"/>
          <w:color w:val="141A2E"/>
          <w:sz w:val="21"/>
        </w:rPr>
        <w:t xml:space="preserve">Cold-start per brand. </w:t>
      </w:r>
      <w:r>
        <w:rPr>
          <w:rFonts w:ascii="Calibri" w:hAnsi="Calibri"/>
          <w:b w:val="0"/>
          <w:i w:val="0"/>
          <w:color w:val="2A3345"/>
          <w:sz w:val="21"/>
        </w:rPr>
        <w:t>Value depends on the estate; a sparse brand feels underwhelming until it’s fed.</w:t>
      </w:r>
    </w:p>
    <w:p>
      <w:pPr>
        <w:keepNext/>
        <w:spacing w:before="240" w:after="60"/>
        <w:outlineLvl w:val="1"/>
      </w:pPr>
      <w:r>
        <w:rPr>
          <w:rFonts w:ascii="Calibri" w:hAnsi="Calibri"/>
          <w:b/>
          <w:i w:val="0"/>
          <w:color w:val="141A2E"/>
          <w:sz w:val="25"/>
        </w:rPr>
        <w:t>Most likely reason customers buy</w:t>
      </w:r>
    </w:p>
    <w:p>
      <w:pPr>
        <w:spacing w:before="0" w:after="120"/>
      </w:pPr>
      <w:r>
        <w:rPr>
          <w:rFonts w:ascii="Calibri" w:hAnsi="Calibri"/>
          <w:b w:val="0"/>
          <w:i w:val="0"/>
          <w:color w:val="2A3345"/>
          <w:sz w:val="21"/>
        </w:rPr>
        <w:t>“I can walk into any leadership review and answer any question about my brand in minutes — with evidence I can defend and my name on it.” It is defensibility and anxiety relief, sold to a person whose reputation is on the line, not a tool sold to a budget.</w:t>
      </w:r>
    </w:p>
    <w:p>
      <w:pPr>
        <w:keepNext/>
        <w:spacing w:before="240" w:after="60"/>
        <w:outlineLvl w:val="1"/>
      </w:pPr>
      <w:r>
        <w:rPr>
          <w:rFonts w:ascii="Calibri" w:hAnsi="Calibri"/>
          <w:b/>
          <w:i w:val="0"/>
          <w:color w:val="141A2E"/>
          <w:sz w:val="25"/>
        </w:rPr>
        <w:t>Most likely reason customers reject</w:t>
      </w:r>
    </w:p>
    <w:p>
      <w:pPr>
        <w:spacing w:before="0" w:after="120"/>
      </w:pPr>
      <w:r>
        <w:rPr>
          <w:rFonts w:ascii="Calibri" w:hAnsi="Calibri"/>
          <w:b w:val="0"/>
          <w:i w:val="0"/>
          <w:color w:val="2A3345"/>
          <w:sz w:val="21"/>
        </w:rPr>
        <w:t>Friction and fear: security/procurement/legal drag, skepticism that AI can be trusted in a regulated context, entrenched agency relationships, and an unclear budget owner (“is this Insights’ line item or Commercial Excellence’s?”). The most common death is not “no” — it is a pilot that never escapes IT review.</w:t>
      </w:r>
    </w:p>
    <w:p>
      <w:pPr>
        <w:keepNext/>
        <w:spacing w:before="240" w:after="60"/>
        <w:outlineLvl w:val="1"/>
      </w:pPr>
      <w:r>
        <w:rPr>
          <w:rFonts w:ascii="Calibri" w:hAnsi="Calibri"/>
          <w:b/>
          <w:i w:val="0"/>
          <w:color w:val="141A2E"/>
          <w:sz w:val="25"/>
        </w:rPr>
        <w:t>Biggest technical moat</w:t>
      </w:r>
    </w:p>
    <w:p>
      <w:pPr>
        <w:spacing w:before="0" w:after="120"/>
      </w:pPr>
      <w:r>
        <w:rPr>
          <w:rFonts w:ascii="Calibri" w:hAnsi="Calibri"/>
          <w:b w:val="0"/>
          <w:i w:val="0"/>
          <w:color w:val="2A3345"/>
          <w:sz w:val="21"/>
        </w:rPr>
        <w:t>Not the model — models commoditize. The moat is the trust-and-synthesis layer plus the domain data model: contradiction-preserving synthesis, atomic citation fidelity, locked-claim verbatim handling, confidence that refuses to inflate, and the evaluation harness that keeps quality high in a domain where a single confident error can end the relationship. Doing this reliably, at pharma’s error tolerance, is genuinely hard.</w:t>
      </w:r>
    </w:p>
    <w:p>
      <w:pPr>
        <w:keepNext/>
        <w:spacing w:before="240" w:after="60"/>
        <w:outlineLvl w:val="1"/>
      </w:pPr>
      <w:r>
        <w:rPr>
          <w:rFonts w:ascii="Calibri" w:hAnsi="Calibri"/>
          <w:b/>
          <w:i w:val="0"/>
          <w:color w:val="141A2E"/>
          <w:sz w:val="25"/>
        </w:rPr>
        <w:t>Biggest business moat</w:t>
      </w:r>
    </w:p>
    <w:p>
      <w:pPr>
        <w:spacing w:before="0" w:after="120"/>
      </w:pPr>
      <w:r>
        <w:rPr>
          <w:rFonts w:ascii="Calibri" w:hAnsi="Calibri"/>
          <w:b w:val="0"/>
          <w:i w:val="0"/>
          <w:color w:val="2A3345"/>
          <w:sz w:val="21"/>
        </w:rPr>
        <w:t>The accumulating, governed Brand Brain: proprietary knowledge that compounds per brand, high switching costs once it’s the system of record, compliance/brand-isolation posture that’s painful for a horizontal tool to match, and enterprise-wide footprint as brands multiply. Whoever becomes the memory becomes very hard to remove.</w:t>
      </w:r>
    </w:p>
    <w:p>
      <w:pPr>
        <w:keepNext/>
        <w:spacing w:before="240" w:after="60"/>
        <w:outlineLvl w:val="1"/>
      </w:pPr>
      <w:r>
        <w:rPr>
          <w:rFonts w:ascii="Calibri" w:hAnsi="Calibri"/>
          <w:b/>
          <w:i w:val="0"/>
          <w:color w:val="1D4ED8"/>
          <w:sz w:val="25"/>
        </w:rPr>
        <w:t>Probability of a billion-dollar outcome</w:t>
      </w:r>
    </w:p>
    <w:p>
      <w:pPr>
        <w:spacing w:before="120" w:after="120" w:line="269" w:lineRule="auto"/>
        <w:ind w:left="86"/>
        <w:shd w:val="clear" w:color="auto" w:fill="EEF3FF"/>
        <w:pBdr>
          <w:left w:val="single" w:sz="20" w:space="8" w:color="1D4ED8"/>
        </w:pBdr>
      </w:pPr>
      <w:r>
        <w:rPr>
          <w:rFonts w:ascii="Calibri" w:hAnsi="Calibri"/>
          <w:b/>
          <w:i w:val="0"/>
          <w:color w:val="1D4ED8"/>
          <w:sz w:val="20"/>
        </w:rPr>
        <w:t xml:space="preserve">Honest estimate: ~15%.   </w:t>
      </w:r>
      <w:r>
        <w:rPr>
          <w:rFonts w:ascii="Calibri" w:hAnsi="Calibri"/>
          <w:b w:val="0"/>
          <w:i w:val="0"/>
          <w:color w:val="141A2E"/>
          <w:sz w:val="20"/>
        </w:rPr>
        <w:t>The market is large enough (global pharma commercial and insights spend is enormous) and the wedge is genuine, so the ceiling is real. But the path is gated by slow enterprise sales, data access, and regulatory caution — the classic vertical-AI risks. The outcome hinges on two things almost entirely: landing one lighthouse logo whose reference unlocks the category, and solving distribution/trust fast enough to become the system of record before an incumbent copies the wedge. Bet on the team’s ability to sell into pharma and to hold the trust bar — not on the technology, which is necessary but not sufficient.</w:t>
      </w:r>
    </w:p>
    <w:p>
      <w:pPr>
        <w:keepNext/>
        <w:spacing w:before="400" w:after="60"/>
        <w:pBdr>
          <w:bottom w:val="single" w:sz="8" w:space="4" w:color="C9D6F2"/>
        </w:pBdr>
        <w:outlineLvl w:val="0"/>
      </w:pPr>
      <w:r>
        <w:rPr>
          <w:rFonts w:ascii="Calibri" w:hAnsi="Calibri"/>
          <w:b/>
          <w:i w:val="0"/>
          <w:color w:val="1D4ED8"/>
          <w:sz w:val="34"/>
        </w:rPr>
        <w:t xml:space="preserve">10   </w:t>
      </w:r>
      <w:r>
        <w:rPr>
          <w:rFonts w:ascii="Calibri" w:hAnsi="Calibri"/>
          <w:b/>
          <w:i w:val="0"/>
          <w:color w:val="152C6B"/>
          <w:sz w:val="34"/>
        </w:rPr>
        <w:t>Product decisions</w:t>
      </w:r>
    </w:p>
    <w:p>
      <w:pPr>
        <w:spacing w:before="0" w:after="120"/>
      </w:pPr>
      <w:r>
        <w:rPr>
          <w:rFonts w:ascii="Calibri" w:hAnsi="Calibri"/>
          <w:b w:val="0"/>
          <w:i w:val="0"/>
          <w:color w:val="2A3345"/>
          <w:sz w:val="21"/>
        </w:rPr>
        <w:t>The rationale behind every major call, in the format a founder should keep: why we chose it, what we rejected, the assumption underneath it, and the customer question that would prove us wrong fastest. We are optimizing for rapid learning, so each decision is explicitly falsifiable.</w:t>
      </w:r>
    </w:p>
    <w:p>
      <w:pPr>
        <w:keepNext/>
        <w:spacing w:before="220" w:after="60"/>
      </w:pPr>
      <w:r>
        <w:rPr>
          <w:rFonts w:ascii="Calibri" w:hAnsi="Calibri"/>
          <w:b/>
          <w:i w:val="0"/>
          <w:color w:val="1D4ED8"/>
          <w:sz w:val="23"/>
        </w:rPr>
        <w:t xml:space="preserve">Decision A  </w:t>
      </w:r>
      <w:r>
        <w:rPr>
          <w:rFonts w:ascii="Calibri" w:hAnsi="Calibri"/>
          <w:b/>
          <w:i w:val="0"/>
          <w:color w:val="141A2E"/>
          <w:sz w:val="23"/>
        </w:rPr>
        <w:t>Lead with synthesis, not search</w:t>
      </w:r>
    </w:p>
    <w:p>
      <w:pPr>
        <w:spacing w:before="0" w:after="60"/>
      </w:pPr>
      <w:r>
        <w:rPr>
          <w:rFonts w:ascii="Calibri" w:hAnsi="Calibri"/>
          <w:b/>
          <w:i w:val="0"/>
          <w:color w:val="141A2E"/>
          <w:sz w:val="21"/>
        </w:rPr>
        <w:t xml:space="preserve">Chosen because — </w:t>
      </w:r>
      <w:r>
        <w:rPr>
          <w:rFonts w:ascii="Calibri" w:hAnsi="Calibri"/>
          <w:b w:val="0"/>
          <w:i w:val="0"/>
          <w:color w:val="2A3345"/>
          <w:sz w:val="21"/>
        </w:rPr>
        <w:t>Synthesis is the expensive, defensible job; search is the commoditizable substrate. Selling judgment commands willingness to pay that “search my docs” never will.</w:t>
      </w:r>
    </w:p>
    <w:p>
      <w:pPr>
        <w:spacing w:before="0" w:after="60"/>
      </w:pPr>
      <w:r>
        <w:rPr>
          <w:rFonts w:ascii="Calibri" w:hAnsi="Calibri"/>
          <w:b/>
          <w:i w:val="0"/>
          <w:color w:val="141A2E"/>
          <w:sz w:val="21"/>
        </w:rPr>
        <w:t xml:space="preserve">Alternatives rejected — </w:t>
      </w:r>
      <w:r>
        <w:rPr>
          <w:rFonts w:ascii="Calibri" w:hAnsi="Calibri"/>
          <w:b w:val="0"/>
          <w:i w:val="0"/>
          <w:color w:val="2A3345"/>
          <w:sz w:val="21"/>
        </w:rPr>
        <w:t>A cited-search-first product (Perplexity-for-pharma); a chatbot over the estate.</w:t>
      </w:r>
    </w:p>
    <w:p>
      <w:pPr>
        <w:spacing w:before="0" w:after="60"/>
      </w:pPr>
      <w:r>
        <w:rPr>
          <w:rFonts w:ascii="Calibri" w:hAnsi="Calibri"/>
          <w:b/>
          <w:i w:val="0"/>
          <w:color w:val="141A2E"/>
          <w:sz w:val="21"/>
        </w:rPr>
        <w:t xml:space="preserve">Assumptions to validate — </w:t>
      </w:r>
      <w:r>
        <w:rPr>
          <w:rFonts w:ascii="Calibri" w:hAnsi="Calibri"/>
          <w:b w:val="0"/>
          <w:i w:val="0"/>
          <w:color w:val="2A3345"/>
          <w:sz w:val="21"/>
        </w:rPr>
        <w:t>That Brand Directors feel the synthesis pain acutely enough to pay, and that search alone would be seen as a Copilot feature.</w:t>
      </w:r>
    </w:p>
    <w:p>
      <w:pPr>
        <w:spacing w:after="40"/>
      </w:pPr>
      <w:r>
        <w:rPr>
          <w:rFonts w:ascii="Calibri" w:hAnsi="Calibri"/>
          <w:b/>
          <w:i w:val="0"/>
          <w:color w:val="0D746B"/>
          <w:sz w:val="20"/>
        </w:rPr>
        <w:t>Interview questions that would confirm or kill it:</w:t>
      </w:r>
    </w:p>
    <w:p>
      <w:pPr>
        <w:pStyle w:val="ListBullet"/>
        <w:spacing w:after="40" w:line="259" w:lineRule="auto"/>
        <w:ind w:left="432"/>
      </w:pPr>
      <w:r>
        <w:rPr>
          <w:rFonts w:ascii="Calibri" w:hAnsi="Calibri"/>
          <w:b w:val="0"/>
          <w:i/>
          <w:color w:val="2A3345"/>
          <w:sz w:val="20"/>
        </w:rPr>
        <w:t>Walk me through the last strategic question you had to answer. How long did it take and what did you have to touch?</w:t>
      </w:r>
    </w:p>
    <w:p>
      <w:pPr>
        <w:pStyle w:val="ListBullet"/>
        <w:spacing w:after="40" w:line="259" w:lineRule="auto"/>
        <w:ind w:left="432"/>
      </w:pPr>
      <w:r>
        <w:rPr>
          <w:rFonts w:ascii="Calibri" w:hAnsi="Calibri"/>
          <w:b w:val="0"/>
          <w:i/>
          <w:color w:val="2A3345"/>
          <w:sz w:val="20"/>
        </w:rPr>
        <w:t>When you use a general AI for this today, what specifically stops you from trusting the answer?</w:t>
      </w:r>
    </w:p>
    <w:p>
      <w:pPr>
        <w:pStyle w:val="ListBullet"/>
        <w:spacing w:after="40" w:line="259" w:lineRule="auto"/>
        <w:ind w:left="432"/>
      </w:pPr>
      <w:r>
        <w:rPr>
          <w:rFonts w:ascii="Calibri" w:hAnsi="Calibri"/>
          <w:b w:val="0"/>
          <w:i/>
          <w:color w:val="2A3345"/>
          <w:sz w:val="20"/>
        </w:rPr>
        <w:t>If a tool only searched your documents really well, would you pay for it? Why or why not?</w:t>
      </w:r>
    </w:p>
    <w:p>
      <w:pPr>
        <w:keepNext/>
        <w:spacing w:before="220" w:after="60"/>
      </w:pPr>
      <w:r>
        <w:rPr>
          <w:rFonts w:ascii="Calibri" w:hAnsi="Calibri"/>
          <w:b/>
          <w:i w:val="0"/>
          <w:color w:val="1D4ED8"/>
          <w:sz w:val="23"/>
        </w:rPr>
        <w:t xml:space="preserve">Decision B  </w:t>
      </w:r>
      <w:r>
        <w:rPr>
          <w:rFonts w:ascii="Calibri" w:hAnsi="Calibri"/>
          <w:b/>
          <w:i w:val="0"/>
          <w:color w:val="141A2E"/>
          <w:sz w:val="23"/>
        </w:rPr>
        <w:t>Trust is the core, not a finishing polish</w:t>
      </w:r>
    </w:p>
    <w:p>
      <w:pPr>
        <w:spacing w:before="0" w:after="60"/>
      </w:pPr>
      <w:r>
        <w:rPr>
          <w:rFonts w:ascii="Calibri" w:hAnsi="Calibri"/>
          <w:b/>
          <w:i w:val="0"/>
          <w:color w:val="141A2E"/>
          <w:sz w:val="21"/>
        </w:rPr>
        <w:t xml:space="preserve">Chosen because — </w:t>
      </w:r>
      <w:r>
        <w:rPr>
          <w:rFonts w:ascii="Calibri" w:hAnsi="Calibri"/>
          <w:b w:val="0"/>
          <w:i w:val="0"/>
          <w:color w:val="2A3345"/>
          <w:sz w:val="21"/>
        </w:rPr>
        <w:t>In a regulated domain an unverifiable answer has negative value. Contradiction-preservation, atomic citations, and honest confidence are the product, not decoration.</w:t>
      </w:r>
    </w:p>
    <w:p>
      <w:pPr>
        <w:spacing w:before="0" w:after="60"/>
      </w:pPr>
      <w:r>
        <w:rPr>
          <w:rFonts w:ascii="Calibri" w:hAnsi="Calibri"/>
          <w:b/>
          <w:i w:val="0"/>
          <w:color w:val="141A2E"/>
          <w:sz w:val="21"/>
        </w:rPr>
        <w:t xml:space="preserve">Alternatives rejected — </w:t>
      </w:r>
      <w:r>
        <w:rPr>
          <w:rFonts w:ascii="Calibri" w:hAnsi="Calibri"/>
          <w:b w:val="0"/>
          <w:i w:val="0"/>
          <w:color w:val="2A3345"/>
          <w:sz w:val="21"/>
        </w:rPr>
        <w:t>Ship a fast, confident summarizer and add citations later; hide uncertainty to look more capable.</w:t>
      </w:r>
    </w:p>
    <w:p>
      <w:pPr>
        <w:spacing w:before="0" w:after="60"/>
      </w:pPr>
      <w:r>
        <w:rPr>
          <w:rFonts w:ascii="Calibri" w:hAnsi="Calibri"/>
          <w:b/>
          <w:i w:val="0"/>
          <w:color w:val="141A2E"/>
          <w:sz w:val="21"/>
        </w:rPr>
        <w:t xml:space="preserve">Assumptions to validate — </w:t>
      </w:r>
      <w:r>
        <w:rPr>
          <w:rFonts w:ascii="Calibri" w:hAnsi="Calibri"/>
          <w:b w:val="0"/>
          <w:i w:val="0"/>
          <w:color w:val="2A3345"/>
          <w:sz w:val="21"/>
        </w:rPr>
        <w:t>That users will trade a little speed/smoothness for verifiability, and that ‘we don’t know’ builds rather than erodes credibility.</w:t>
      </w:r>
    </w:p>
    <w:p>
      <w:pPr>
        <w:spacing w:after="40"/>
      </w:pPr>
      <w:r>
        <w:rPr>
          <w:rFonts w:ascii="Calibri" w:hAnsi="Calibri"/>
          <w:b/>
          <w:i w:val="0"/>
          <w:color w:val="0D746B"/>
          <w:sz w:val="20"/>
        </w:rPr>
        <w:t>Interview questions that would confirm or kill it:</w:t>
      </w:r>
    </w:p>
    <w:p>
      <w:pPr>
        <w:pStyle w:val="ListBullet"/>
        <w:spacing w:after="40" w:line="259" w:lineRule="auto"/>
        <w:ind w:left="432"/>
      </w:pPr>
      <w:r>
        <w:rPr>
          <w:rFonts w:ascii="Calibri" w:hAnsi="Calibri"/>
          <w:b w:val="0"/>
          <w:i/>
          <w:color w:val="2A3345"/>
          <w:sz w:val="20"/>
        </w:rPr>
        <w:t>The last time an analysis was challenged in a review, what would have made you feel bulletproof?</w:t>
      </w:r>
    </w:p>
    <w:p>
      <w:pPr>
        <w:pStyle w:val="ListBullet"/>
        <w:spacing w:after="40" w:line="259" w:lineRule="auto"/>
        <w:ind w:left="432"/>
      </w:pPr>
      <w:r>
        <w:rPr>
          <w:rFonts w:ascii="Calibri" w:hAnsi="Calibri"/>
          <w:b w:val="0"/>
          <w:i/>
          <w:color w:val="2A3345"/>
          <w:sz w:val="20"/>
        </w:rPr>
        <w:t>Would you rather have a confident one-line answer or a slightly slower answer you can click into and verify?</w:t>
      </w:r>
    </w:p>
    <w:p>
      <w:pPr>
        <w:keepNext/>
        <w:spacing w:before="220" w:after="60"/>
      </w:pPr>
      <w:r>
        <w:rPr>
          <w:rFonts w:ascii="Calibri" w:hAnsi="Calibri"/>
          <w:b/>
          <w:i w:val="0"/>
          <w:color w:val="1D4ED8"/>
          <w:sz w:val="23"/>
        </w:rPr>
        <w:t xml:space="preserve">Decision C  </w:t>
      </w:r>
      <w:r>
        <w:rPr>
          <w:rFonts w:ascii="Calibri" w:hAnsi="Calibri"/>
          <w:b/>
          <w:i w:val="0"/>
          <w:color w:val="141A2E"/>
          <w:sz w:val="23"/>
        </w:rPr>
        <w:t>Build the Brand Brain as a byproduct of usage, human-gated</w:t>
      </w:r>
    </w:p>
    <w:p>
      <w:pPr>
        <w:spacing w:before="0" w:after="60"/>
      </w:pPr>
      <w:r>
        <w:rPr>
          <w:rFonts w:ascii="Calibri" w:hAnsi="Calibri"/>
          <w:b/>
          <w:i w:val="0"/>
          <w:color w:val="141A2E"/>
          <w:sz w:val="21"/>
        </w:rPr>
        <w:t xml:space="preserve">Chosen because — </w:t>
      </w:r>
      <w:r>
        <w:rPr>
          <w:rFonts w:ascii="Calibri" w:hAnsi="Calibri"/>
          <w:b w:val="0"/>
          <w:i w:val="0"/>
          <w:color w:val="2A3345"/>
          <w:sz w:val="21"/>
        </w:rPr>
        <w:t>It makes the moat accrue from normal work, and human-in-the-loop publishing is what makes it safe and MLR-acceptable.</w:t>
      </w:r>
    </w:p>
    <w:p>
      <w:pPr>
        <w:spacing w:before="0" w:after="60"/>
      </w:pPr>
      <w:r>
        <w:rPr>
          <w:rFonts w:ascii="Calibri" w:hAnsi="Calibri"/>
          <w:b/>
          <w:i w:val="0"/>
          <w:color w:val="141A2E"/>
          <w:sz w:val="21"/>
        </w:rPr>
        <w:t xml:space="preserve">Alternatives rejected — </w:t>
      </w:r>
      <w:r>
        <w:rPr>
          <w:rFonts w:ascii="Calibri" w:hAnsi="Calibri"/>
          <w:b w:val="0"/>
          <w:i w:val="0"/>
          <w:color w:val="2A3345"/>
          <w:sz w:val="21"/>
        </w:rPr>
        <w:t>A separately built knowledge base (heavy, stale on arrival); fully automated publishing (unsafe, untrusted).</w:t>
      </w:r>
    </w:p>
    <w:p>
      <w:pPr>
        <w:spacing w:before="0" w:after="60"/>
      </w:pPr>
      <w:r>
        <w:rPr>
          <w:rFonts w:ascii="Calibri" w:hAnsi="Calibri"/>
          <w:b/>
          <w:i w:val="0"/>
          <w:color w:val="141A2E"/>
          <w:sz w:val="21"/>
        </w:rPr>
        <w:t xml:space="preserve">Assumptions to validate — </w:t>
      </w:r>
      <w:r>
        <w:rPr>
          <w:rFonts w:ascii="Calibri" w:hAnsi="Calibri"/>
          <w:b w:val="0"/>
          <w:i w:val="0"/>
          <w:color w:val="2A3345"/>
          <w:sz w:val="21"/>
        </w:rPr>
        <w:t>That teams will invest the small curation effort if it’s embedded in a flow they already value, and that a review gate is acceptable rather than annoying.</w:t>
      </w:r>
    </w:p>
    <w:p>
      <w:pPr>
        <w:spacing w:after="40"/>
      </w:pPr>
      <w:r>
        <w:rPr>
          <w:rFonts w:ascii="Calibri" w:hAnsi="Calibri"/>
          <w:b/>
          <w:i w:val="0"/>
          <w:color w:val="0D746B"/>
          <w:sz w:val="20"/>
        </w:rPr>
        <w:t>Interview questions that would confirm or kill it:</w:t>
      </w:r>
    </w:p>
    <w:p>
      <w:pPr>
        <w:pStyle w:val="ListBullet"/>
        <w:spacing w:after="40" w:line="259" w:lineRule="auto"/>
        <w:ind w:left="432"/>
      </w:pPr>
      <w:r>
        <w:rPr>
          <w:rFonts w:ascii="Calibri" w:hAnsi="Calibri"/>
          <w:b w:val="0"/>
          <w:i/>
          <w:color w:val="2A3345"/>
          <w:sz w:val="20"/>
        </w:rPr>
        <w:t>Who owns ‘brand truth’ today, and what happens to it when that person leaves?</w:t>
      </w:r>
    </w:p>
    <w:p>
      <w:pPr>
        <w:pStyle w:val="ListBullet"/>
        <w:spacing w:after="40" w:line="259" w:lineRule="auto"/>
        <w:ind w:left="432"/>
      </w:pPr>
      <w:r>
        <w:rPr>
          <w:rFonts w:ascii="Calibri" w:hAnsi="Calibri"/>
          <w:b w:val="0"/>
          <w:i/>
          <w:color w:val="2A3345"/>
          <w:sz w:val="20"/>
        </w:rPr>
        <w:t>Would you trust an AI-maintained brand knowledge base if every change required a human approval? What would make you not trust it?</w:t>
      </w:r>
    </w:p>
    <w:p>
      <w:pPr>
        <w:keepNext/>
        <w:spacing w:before="220" w:after="60"/>
      </w:pPr>
      <w:r>
        <w:rPr>
          <w:rFonts w:ascii="Calibri" w:hAnsi="Calibri"/>
          <w:b/>
          <w:i w:val="0"/>
          <w:color w:val="1D4ED8"/>
          <w:sz w:val="23"/>
        </w:rPr>
        <w:t xml:space="preserve">Decision D  </w:t>
      </w:r>
      <w:r>
        <w:rPr>
          <w:rFonts w:ascii="Calibri" w:hAnsi="Calibri"/>
          <w:b/>
          <w:i w:val="0"/>
          <w:color w:val="141A2E"/>
          <w:sz w:val="23"/>
        </w:rPr>
        <w:t>Sell to a single brand first, not the enterprise</w:t>
      </w:r>
    </w:p>
    <w:p>
      <w:pPr>
        <w:spacing w:before="0" w:after="60"/>
      </w:pPr>
      <w:r>
        <w:rPr>
          <w:rFonts w:ascii="Calibri" w:hAnsi="Calibri"/>
          <w:b/>
          <w:i w:val="0"/>
          <w:color w:val="141A2E"/>
          <w:sz w:val="21"/>
        </w:rPr>
        <w:t xml:space="preserve">Chosen because — </w:t>
      </w:r>
      <w:r>
        <w:rPr>
          <w:rFonts w:ascii="Calibri" w:hAnsi="Calibri"/>
          <w:b w:val="0"/>
          <w:i w:val="0"/>
          <w:color w:val="2A3345"/>
          <w:sz w:val="21"/>
        </w:rPr>
        <w:t>One brand on fire moves faster than a committee and produces the reference story that unlocks the enterprise later.</w:t>
      </w:r>
    </w:p>
    <w:p>
      <w:pPr>
        <w:spacing w:before="0" w:after="60"/>
      </w:pPr>
      <w:r>
        <w:rPr>
          <w:rFonts w:ascii="Calibri" w:hAnsi="Calibri"/>
          <w:b/>
          <w:i w:val="0"/>
          <w:color w:val="141A2E"/>
          <w:sz w:val="21"/>
        </w:rPr>
        <w:t xml:space="preserve">Alternatives rejected — </w:t>
      </w:r>
      <w:r>
        <w:rPr>
          <w:rFonts w:ascii="Calibri" w:hAnsi="Calibri"/>
          <w:b w:val="0"/>
          <w:i w:val="0"/>
          <w:color w:val="2A3345"/>
          <w:sz w:val="21"/>
        </w:rPr>
        <w:t>Top-down enterprise platform sale; horizontal ‘all of medical affairs’ pitch.</w:t>
      </w:r>
    </w:p>
    <w:p>
      <w:pPr>
        <w:spacing w:before="0" w:after="60"/>
      </w:pPr>
      <w:r>
        <w:rPr>
          <w:rFonts w:ascii="Calibri" w:hAnsi="Calibri"/>
          <w:b/>
          <w:i w:val="0"/>
          <w:color w:val="141A2E"/>
          <w:sz w:val="21"/>
        </w:rPr>
        <w:t xml:space="preserve">Assumptions to validate — </w:t>
      </w:r>
      <w:r>
        <w:rPr>
          <w:rFonts w:ascii="Calibri" w:hAnsi="Calibri"/>
          <w:b w:val="0"/>
          <w:i w:val="0"/>
          <w:color w:val="2A3345"/>
          <w:sz w:val="21"/>
        </w:rPr>
        <w:t>That a single Brand Director can champion a paid pilot without a full enterprise procurement cycle, and that one brand’s estate is rich enough to wow.</w:t>
      </w:r>
    </w:p>
    <w:p>
      <w:pPr>
        <w:spacing w:after="40"/>
      </w:pPr>
      <w:r>
        <w:rPr>
          <w:rFonts w:ascii="Calibri" w:hAnsi="Calibri"/>
          <w:b/>
          <w:i w:val="0"/>
          <w:color w:val="0D746B"/>
          <w:sz w:val="20"/>
        </w:rPr>
        <w:t>Interview questions that would confirm or kill it:</w:t>
      </w:r>
    </w:p>
    <w:p>
      <w:pPr>
        <w:pStyle w:val="ListBullet"/>
        <w:spacing w:after="40" w:line="259" w:lineRule="auto"/>
        <w:ind w:left="432"/>
      </w:pPr>
      <w:r>
        <w:rPr>
          <w:rFonts w:ascii="Calibri" w:hAnsi="Calibri"/>
          <w:b w:val="0"/>
          <w:i/>
          <w:color w:val="2A3345"/>
          <w:sz w:val="20"/>
        </w:rPr>
        <w:t>Could you start a paid pilot on your brand without waiting for an enterprise-wide decision? What would that take?</w:t>
      </w:r>
    </w:p>
    <w:p>
      <w:pPr>
        <w:pStyle w:val="ListBullet"/>
        <w:spacing w:after="40" w:line="259" w:lineRule="auto"/>
        <w:ind w:left="432"/>
      </w:pPr>
      <w:r>
        <w:rPr>
          <w:rFonts w:ascii="Calibri" w:hAnsi="Calibri"/>
          <w:b w:val="0"/>
          <w:i/>
          <w:color w:val="2A3345"/>
          <w:sz w:val="20"/>
        </w:rPr>
        <w:t>What’s the smallest thing we could prove in 30 days that would make you fight for budget?</w:t>
      </w:r>
    </w:p>
    <w:p>
      <w:pPr>
        <w:keepNext/>
        <w:spacing w:before="220" w:after="60"/>
      </w:pPr>
      <w:r>
        <w:rPr>
          <w:rFonts w:ascii="Calibri" w:hAnsi="Calibri"/>
          <w:b/>
          <w:i w:val="0"/>
          <w:color w:val="1D4ED8"/>
          <w:sz w:val="23"/>
        </w:rPr>
        <w:t xml:space="preserve">Decision E  </w:t>
      </w:r>
      <w:r>
        <w:rPr>
          <w:rFonts w:ascii="Calibri" w:hAnsi="Calibri"/>
          <w:b/>
          <w:i w:val="0"/>
          <w:color w:val="141A2E"/>
          <w:sz w:val="23"/>
        </w:rPr>
        <w:t>No autonomous recommendations in the MVP</w:t>
      </w:r>
    </w:p>
    <w:p>
      <w:pPr>
        <w:spacing w:before="0" w:after="60"/>
      </w:pPr>
      <w:r>
        <w:rPr>
          <w:rFonts w:ascii="Calibri" w:hAnsi="Calibri"/>
          <w:b/>
          <w:i w:val="0"/>
          <w:color w:val="141A2E"/>
          <w:sz w:val="21"/>
        </w:rPr>
        <w:t xml:space="preserve">Chosen because — </w:t>
      </w:r>
      <w:r>
        <w:rPr>
          <w:rFonts w:ascii="Calibri" w:hAnsi="Calibri"/>
          <w:b w:val="0"/>
          <w:i w:val="0"/>
          <w:color w:val="2A3345"/>
          <w:sz w:val="21"/>
        </w:rPr>
        <w:t>In pharma, an AI that makes commercial recommendations on its own is unsafe and unsellable until trust is fully earned. We advise; humans decide.</w:t>
      </w:r>
    </w:p>
    <w:p>
      <w:pPr>
        <w:spacing w:before="0" w:after="60"/>
      </w:pPr>
      <w:r>
        <w:rPr>
          <w:rFonts w:ascii="Calibri" w:hAnsi="Calibri"/>
          <w:b/>
          <w:i w:val="0"/>
          <w:color w:val="141A2E"/>
          <w:sz w:val="21"/>
        </w:rPr>
        <w:t xml:space="preserve">Alternatives rejected — </w:t>
      </w:r>
      <w:r>
        <w:rPr>
          <w:rFonts w:ascii="Calibri" w:hAnsi="Calibri"/>
          <w:b w:val="0"/>
          <w:i w:val="0"/>
          <w:color w:val="2A3345"/>
          <w:sz w:val="21"/>
        </w:rPr>
        <w:t>An autonomous ‘strategy agent’; auto-published recommendations.</w:t>
      </w:r>
    </w:p>
    <w:p>
      <w:pPr>
        <w:spacing w:before="0" w:after="60"/>
      </w:pPr>
      <w:r>
        <w:rPr>
          <w:rFonts w:ascii="Calibri" w:hAnsi="Calibri"/>
          <w:b/>
          <w:i w:val="0"/>
          <w:color w:val="141A2E"/>
          <w:sz w:val="21"/>
        </w:rPr>
        <w:t xml:space="preserve">Assumptions to validate — </w:t>
      </w:r>
      <w:r>
        <w:rPr>
          <w:rFonts w:ascii="Calibri" w:hAnsi="Calibri"/>
          <w:b w:val="0"/>
          <w:i w:val="0"/>
          <w:color w:val="2A3345"/>
          <w:sz w:val="21"/>
        </w:rPr>
        <w:t>That a clearly-labeled, human-reviewed recommended action is valued, and that going further would trigger fear rather than delight right now.</w:t>
      </w:r>
    </w:p>
    <w:p>
      <w:pPr>
        <w:spacing w:after="40"/>
      </w:pPr>
      <w:r>
        <w:rPr>
          <w:rFonts w:ascii="Calibri" w:hAnsi="Calibri"/>
          <w:b/>
          <w:i w:val="0"/>
          <w:color w:val="0D746B"/>
          <w:sz w:val="20"/>
        </w:rPr>
        <w:t>Interview questions that would confirm or kill it:</w:t>
      </w:r>
    </w:p>
    <w:p>
      <w:pPr>
        <w:pStyle w:val="ListBullet"/>
        <w:spacing w:after="40" w:line="259" w:lineRule="auto"/>
        <w:ind w:left="432"/>
      </w:pPr>
      <w:r>
        <w:rPr>
          <w:rFonts w:ascii="Calibri" w:hAnsi="Calibri"/>
          <w:b w:val="0"/>
          <w:i/>
          <w:color w:val="2A3345"/>
          <w:sz w:val="20"/>
        </w:rPr>
        <w:t>If the AI suggested a next action but you had to approve it, is that helpful or annoying?</w:t>
      </w:r>
    </w:p>
    <w:p>
      <w:pPr>
        <w:pStyle w:val="ListBullet"/>
        <w:spacing w:after="40" w:line="259" w:lineRule="auto"/>
        <w:ind w:left="432"/>
      </w:pPr>
      <w:r>
        <w:rPr>
          <w:rFonts w:ascii="Calibri" w:hAnsi="Calibri"/>
          <w:b w:val="0"/>
          <w:i/>
          <w:color w:val="2A3345"/>
          <w:sz w:val="20"/>
        </w:rPr>
        <w:t>Where is the line past which an AI recommendation would make you or MLR uncomfortable?</w:t>
      </w:r>
    </w:p>
    <w:p>
      <w:pPr>
        <w:keepNext/>
        <w:spacing w:before="220" w:after="60"/>
      </w:pPr>
      <w:r>
        <w:rPr>
          <w:rFonts w:ascii="Calibri" w:hAnsi="Calibri"/>
          <w:b/>
          <w:i w:val="0"/>
          <w:color w:val="1D4ED8"/>
          <w:sz w:val="23"/>
        </w:rPr>
        <w:t xml:space="preserve">Decision F  </w:t>
      </w:r>
      <w:r>
        <w:rPr>
          <w:rFonts w:ascii="Calibri" w:hAnsi="Calibri"/>
          <w:b/>
          <w:i w:val="0"/>
          <w:color w:val="141A2E"/>
          <w:sz w:val="23"/>
        </w:rPr>
        <w:t>Verticalize hard on pharma; refuse to be horizontal</w:t>
      </w:r>
    </w:p>
    <w:p>
      <w:pPr>
        <w:spacing w:before="0" w:after="60"/>
      </w:pPr>
      <w:r>
        <w:rPr>
          <w:rFonts w:ascii="Calibri" w:hAnsi="Calibri"/>
          <w:b/>
          <w:i w:val="0"/>
          <w:color w:val="141A2E"/>
          <w:sz w:val="21"/>
        </w:rPr>
        <w:t xml:space="preserve">Chosen because — </w:t>
      </w:r>
      <w:r>
        <w:rPr>
          <w:rFonts w:ascii="Calibri" w:hAnsi="Calibri"/>
          <w:b w:val="0"/>
          <w:i w:val="0"/>
          <w:color w:val="2A3345"/>
          <w:sz w:val="21"/>
        </w:rPr>
        <w:t>The moat is the domain data model and trust bar; a horizontal ‘docs AI’ has neither. Depth in one vertical beats shallow breadth.</w:t>
      </w:r>
    </w:p>
    <w:p>
      <w:pPr>
        <w:spacing w:before="0" w:after="60"/>
      </w:pPr>
      <w:r>
        <w:rPr>
          <w:rFonts w:ascii="Calibri" w:hAnsi="Calibri"/>
          <w:b/>
          <w:i w:val="0"/>
          <w:color w:val="141A2E"/>
          <w:sz w:val="21"/>
        </w:rPr>
        <w:t xml:space="preserve">Alternatives rejected — </w:t>
      </w:r>
      <w:r>
        <w:rPr>
          <w:rFonts w:ascii="Calibri" w:hAnsi="Calibri"/>
          <w:b w:val="0"/>
          <w:i w:val="0"/>
          <w:color w:val="2A3345"/>
          <w:sz w:val="21"/>
        </w:rPr>
        <w:t>A general enterprise-knowledge product usable by any industry.</w:t>
      </w:r>
    </w:p>
    <w:p>
      <w:pPr>
        <w:spacing w:before="0" w:after="60"/>
      </w:pPr>
      <w:r>
        <w:rPr>
          <w:rFonts w:ascii="Calibri" w:hAnsi="Calibri"/>
          <w:b/>
          <w:i w:val="0"/>
          <w:color w:val="141A2E"/>
          <w:sz w:val="21"/>
        </w:rPr>
        <w:t xml:space="preserve">Assumptions to validate — </w:t>
      </w:r>
      <w:r>
        <w:rPr>
          <w:rFonts w:ascii="Calibri" w:hAnsi="Calibri"/>
          <w:b w:val="0"/>
          <w:i w:val="0"/>
          <w:color w:val="2A3345"/>
          <w:sz w:val="21"/>
        </w:rPr>
        <w:t>That pharma-specific behavior (locked claims, quant/qual, MLR governance) is valued enough to choose us over a horizontal tool, and that the vertical is big enough alone.</w:t>
      </w:r>
    </w:p>
    <w:p>
      <w:pPr>
        <w:spacing w:after="40"/>
      </w:pPr>
      <w:r>
        <w:rPr>
          <w:rFonts w:ascii="Calibri" w:hAnsi="Calibri"/>
          <w:b/>
          <w:i w:val="0"/>
          <w:color w:val="0D746B"/>
          <w:sz w:val="20"/>
        </w:rPr>
        <w:t>Interview questions that would confirm or kill it:</w:t>
      </w:r>
    </w:p>
    <w:p>
      <w:pPr>
        <w:pStyle w:val="ListBullet"/>
        <w:spacing w:after="40" w:line="259" w:lineRule="auto"/>
        <w:ind w:left="432"/>
      </w:pPr>
      <w:r>
        <w:rPr>
          <w:rFonts w:ascii="Calibri" w:hAnsi="Calibri"/>
          <w:b w:val="0"/>
          <w:i/>
          <w:color w:val="2A3345"/>
          <w:sz w:val="20"/>
        </w:rPr>
        <w:t>What would a general AI tool get dangerously wrong about your evidence that a pharma-built one must get right?</w:t>
      </w:r>
    </w:p>
    <w:p>
      <w:pPr>
        <w:pStyle w:val="ListBullet"/>
        <w:spacing w:after="40" w:line="259" w:lineRule="auto"/>
        <w:ind w:left="432"/>
      </w:pPr>
      <w:r>
        <w:rPr>
          <w:rFonts w:ascii="Calibri" w:hAnsi="Calibri"/>
          <w:b w:val="0"/>
          <w:i/>
          <w:color w:val="2A3345"/>
          <w:sz w:val="20"/>
        </w:rPr>
        <w:t>Is ‘built for pharma brand teams’ a reason to buy, or do you not care who else uses it?</w:t>
      </w:r>
    </w:p>
    <w:p>
      <w:pPr>
        <w:spacing w:after="120"/>
      </w:pPr>
      <w:r>
        <w:rPr>
          <w:rFonts w:ascii="Calibri" w:hAnsi="Calibri"/>
          <w:b w:val="0"/>
          <w:i w:val="0"/>
          <w:color w:val="2A3345"/>
          <w:sz w:val="4"/>
        </w:rPr>
      </w:r>
    </w:p>
    <w:p>
      <w:pPr>
        <w:keepNext/>
        <w:spacing w:before="400" w:after="60"/>
        <w:pBdr>
          <w:bottom w:val="single" w:sz="8" w:space="4" w:color="C9D6F2"/>
        </w:pBdr>
        <w:outlineLvl w:val="0"/>
      </w:pPr>
      <w:r>
        <w:rPr>
          <w:rFonts w:ascii="Calibri" w:hAnsi="Calibri"/>
          <w:b/>
          <w:i w:val="0"/>
          <w:color w:val="152C6B"/>
          <w:sz w:val="34"/>
        </w:rPr>
        <w:t>The one bet, restated</w:t>
      </w:r>
    </w:p>
    <w:p>
      <w:pPr>
        <w:spacing w:before="0" w:after="160"/>
      </w:pPr>
      <w:r>
        <w:rPr>
          <w:rFonts w:ascii="Calibri" w:hAnsi="Calibri"/>
          <w:b w:val="0"/>
          <w:i w:val="0"/>
          <w:color w:val="2A3345"/>
          <w:sz w:val="21"/>
        </w:rPr>
        <w:t>We are betting that trust is the wedge. If we make evidence-to-decision synthesis trustworthy enough that a Brand Director will put their name on the output, three things follow in order: they use it weekly, the Brand Brain compounds into an asset no one can copy, and we earn the right to become the operating system for the entire brand team. Everything in this document is in service of clearing that one bar — a defensible answer, in minutes, that a person will stand behind.</w:t>
      </w:r>
    </w:p>
    <w:p>
      <w:pPr>
        <w:pBdr>
          <w:top w:val="single" w:sz="8" w:space="6" w:color="C9D6F2"/>
        </w:pBdr>
      </w:pPr>
    </w:p>
    <w:p>
      <w:pPr>
        <w:spacing w:before="40" w:after="120"/>
      </w:pPr>
      <w:r>
        <w:rPr>
          <w:rFonts w:ascii="Calibri" w:hAnsi="Calibri"/>
          <w:b w:val="0"/>
          <w:i/>
          <w:color w:val="606B82"/>
          <w:sz w:val="18"/>
        </w:rPr>
        <w:t>Prepared as a product-strategy artifact for YC evaluation and internal alignment. Illustrative examples are anonymized; no real brand, study, or supplier is implied.</w:t>
      </w:r>
    </w:p>
    <w:sectPr w:rsidR="00FC693F" w:rsidRPr="0006063C" w:rsidSect="00034616">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69" w:after="120"/>
    </w:pPr>
    <w:rPr>
      <w:rFonts w:ascii="Calibri" w:hAnsi="Calibri"/>
      <w:color w:val="2A33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