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F6B5C"/>
          <w:sz w:val="56"/>
          <w:szCs w:val="56"/>
        </w:rPr>
        <w:t xml:space="preserve">DermaScan</w:t>
      </w:r>
    </w:p>
    <w:p>
      <w:pPr>
        <w:spacing w:after="40"/>
      </w:pPr>
      <w:r>
        <w:rPr>
          <w:color w:val="10241F"/>
          <w:sz w:val="28"/>
          <w:szCs w:val="28"/>
        </w:rPr>
        <w:t xml:space="preserve">AI-Based Skin Lesion &amp; Melanoma Detection System</w:t>
      </w:r>
    </w:p>
    <w:p>
      <w:pPr>
        <w:spacing w:after="400"/>
      </w:pPr>
      <w:r>
        <w:rPr>
          <w:i/>
          <w:iCs/>
          <w:color w:val="5A6B64"/>
          <w:sz w:val="20"/>
          <w:szCs w:val="20"/>
        </w:rPr>
        <w:t xml:space="preserve">Technical Report — Major Project (Healthcare &amp; Digital Health Track)</w:t>
      </w:r>
    </w:p>
    <w:p>
      <w:pPr>
        <w:pStyle w:val="Heading1"/>
        <w:spacing w:after="160" w:before="360"/>
      </w:pPr>
      <w:r>
        <w:t xml:space="preserve">1. Problem Identification</w:t>
      </w:r>
    </w:p>
    <w:p>
      <w:pPr>
        <w:spacing w:after="160"/>
      </w:pPr>
      <w:r>
        <w:t xml:space="preserve">Melanoma is the deadliest form of skin cancer, but when detected early it has a survival rate above 95%. The core clinical challenge is that early-stage melanoma is visually similar to common benign moles, and access to dermatologists for screening is limited, especially outside urban areas. This creates a real gap: many suspicious lesions go unexamined until they progress.</w:t>
      </w:r>
    </w:p>
    <w:p>
      <w:pPr>
        <w:spacing w:after="160"/>
      </w:pPr>
      <w:r>
        <w:t xml:space="preserve">This project targets that gap by building a system that classifies a dermoscopic image of a skin lesion as benign or malignant, intended as a triage aid ("should this be seen by a dermatologist soon?") rather than a replacement for clinical diagnosis.</w:t>
      </w:r>
    </w:p>
    <w:p>
      <w:pPr>
        <w:pStyle w:val="Heading1"/>
        <w:spacing w:after="160" w:before="360"/>
      </w:pPr>
      <w:r>
        <w:t xml:space="preserve">2. Existing Solutions &amp; Their Limitations</w:t>
      </w:r>
    </w:p>
    <w:p>
      <w:pPr>
        <w:pStyle w:val="ListParagraph"/>
        <w:numPr>
          <w:ilvl w:val="0"/>
          <w:numId w:val="1"/>
        </w:numPr>
        <w:spacing w:after="80"/>
      </w:pPr>
      <w:r>
        <w:t xml:space="preserve">ISIC Challenge leaderboard models: high accuracy (85–95% AUC) but typically research-only, not packaged as a deployable end-to-end tool.</w:t>
      </w:r>
    </w:p>
    <w:p>
      <w:pPr>
        <w:pStyle w:val="ListParagraph"/>
        <w:numPr>
          <w:ilvl w:val="0"/>
          <w:numId w:val="1"/>
        </w:numPr>
        <w:spacing w:after="80"/>
      </w:pPr>
      <w:r>
        <w:t xml:space="preserve">Consumer mole-checking apps: often use undisclosed models, lack transparency about training data or confidence scoring, and provide no API for integration into clinical workflows.</w:t>
      </w:r>
    </w:p>
    <w:p>
      <w:pPr>
        <w:pStyle w:val="ListParagraph"/>
        <w:numPr>
          <w:ilvl w:val="0"/>
          <w:numId w:val="1"/>
        </w:numPr>
        <w:spacing w:after="80"/>
      </w:pPr>
      <w:r>
        <w:t xml:space="preserve">Manual dermatologist review: gold standard for accuracy, but not scalable, and not available for quick self-triage.</w:t>
      </w:r>
    </w:p>
    <w:p>
      <w:pPr>
        <w:spacing w:after="160"/>
      </w:pPr>
      <w:r>
        <w:t xml:space="preserve">This project's contribution is not a new state-of-the-art model, but a complete, transparent, reproducible pipeline: model + API + UI + documented decisions, which most public solutions do not provide together.</w:t>
      </w:r>
    </w:p>
    <w:p>
      <w:pPr>
        <w:pStyle w:val="Heading1"/>
        <w:spacing w:after="160" w:before="360"/>
      </w:pPr>
      <w:r>
        <w:t xml:space="preserve">3. Why AI Is Required</w:t>
      </w:r>
    </w:p>
    <w:p>
      <w:pPr>
        <w:spacing w:after="160"/>
      </w:pPr>
      <w:r>
        <w:t xml:space="preserve">Distinguishing benign nevi from melanoma depends on subtle visual cues — asymmetry, border irregularity, color variation, and diameter (the dermatological "ABCDE" rule) — that are difficult to encode as fixed rules but are learnable from labeled image examples. Convolutional neural networks are well suited to this because they learn hierarchical visual features (edges → textures → shapes → lesion-level patterns) directly from pixel data, which is exactly the kind of pattern recognition rule-based image processing struggles with.</w:t>
      </w:r>
    </w:p>
    <w:p>
      <w:pPr>
        <w:pStyle w:val="Heading1"/>
        <w:spacing w:after="160" w:before="360"/>
      </w:pPr>
      <w:r>
        <w:t xml:space="preserve">4. Dataset</w:t>
      </w:r>
    </w:p>
    <w:p>
      <w:pPr>
        <w:pStyle w:val="Heading2"/>
        <w:spacing w:after="120" w:before="260"/>
      </w:pPr>
      <w:r>
        <w:t xml:space="preserve">4.1 Target dataset (for full training)</w:t>
      </w:r>
    </w:p>
    <w:p>
      <w:pPr>
        <w:spacing w:after="160"/>
      </w:pPr>
      <w:r>
        <w:t xml:space="preserve">The ISIC Archive (International Skin Imaging Collaboration) is the standard public benchmark for this task, providing tens of thousands of labeled dermoscopic images across benign and malignant classes. See notebooks/train_on_ISIC_colab.ipynb for the full training pipeline.</w:t>
      </w:r>
    </w:p>
    <w:p>
      <w:pPr>
        <w:pStyle w:val="Heading2"/>
        <w:spacing w:after="120" w:before="260"/>
      </w:pPr>
      <w:r>
        <w:t xml:space="preserve">4.2 Sample dataset (used in this local demo)</w:t>
      </w:r>
    </w:p>
    <w:p>
      <w:pPr>
        <w:spacing w:after="160"/>
      </w:pPr>
      <w:r>
        <w:t xml:space="preserve">This environment could not reach external dataset hosts (ISIC/Kaggle) directly, so a small synthetic stand-in dataset (120 benign, 120 malignant, 128x128px) was generated to exercise the full pipeline end-to-end: regular, symmetric single-tone shapes represent benign moles; irregular, multi-toned, asymmetric shapes represent malignant lesions, loosely mirroring the ABCDE clinical heuristics. This is explicitly a pipeline demonstration, not a clinical result — see Section 7 for the honest distinction between the two.</w:t>
      </w:r>
    </w:p>
    <w:p>
      <w:pPr>
        <w:pStyle w:val="Heading1"/>
        <w:spacing w:after="160" w:before="360"/>
      </w:pPr>
      <w:r>
        <w:t xml:space="preserve">5. Data Preprocessing</w:t>
      </w:r>
    </w:p>
    <w:p>
      <w:pPr>
        <w:pStyle w:val="ListParagraph"/>
        <w:numPr>
          <w:ilvl w:val="0"/>
          <w:numId w:val="1"/>
        </w:numPr>
        <w:spacing w:after="80"/>
      </w:pPr>
      <w:r>
        <w:t xml:space="preserve">Resize to a fixed input resolution (128x128 for demo, 224x224 recommended for full ISIC training to match ImageNet pretraining).</w:t>
      </w:r>
    </w:p>
    <w:p>
      <w:pPr>
        <w:pStyle w:val="ListParagraph"/>
        <w:numPr>
          <w:ilvl w:val="0"/>
          <w:numId w:val="1"/>
        </w:numPr>
        <w:spacing w:after="80"/>
      </w:pPr>
      <w:r>
        <w:t xml:space="preserve">Normalization using ImageNet mean/std, since the model backbone is ImageNet-pretrained.</w:t>
      </w:r>
    </w:p>
    <w:p>
      <w:pPr>
        <w:pStyle w:val="ListParagraph"/>
        <w:numPr>
          <w:ilvl w:val="0"/>
          <w:numId w:val="1"/>
        </w:numPr>
        <w:spacing w:after="80"/>
      </w:pPr>
      <w:r>
        <w:t xml:space="preserve">Data augmentation (random horizontal flip, rotation, color jitter) to reduce overfitting, especially important given the ISIC dataset's small malignant-class sample size.</w:t>
      </w:r>
    </w:p>
    <w:p>
      <w:pPr>
        <w:pStyle w:val="ListParagraph"/>
        <w:numPr>
          <w:ilvl w:val="0"/>
          <w:numId w:val="1"/>
        </w:numPr>
        <w:spacing w:after="80"/>
      </w:pPr>
      <w:r>
        <w:t xml:space="preserve">Class-imbalance handling for the full dataset via WeightedRandomSampler, since real ISIC data is heavily skewed toward benign cases (see notebook, Section 4).</w:t>
      </w:r>
    </w:p>
    <w:p>
      <w:pPr>
        <w:pStyle w:val="Heading1"/>
        <w:spacing w:after="160" w:before="360"/>
      </w:pPr>
      <w:r>
        <w:t xml:space="preserve">6. Model Selection &amp; Architecture</w:t>
      </w:r>
    </w:p>
    <w:p>
      <w:pPr>
        <w:spacing w:after="160"/>
      </w:pPr>
      <w:r>
        <w:t xml:space="preserve">Architecture: ResNet18 (transfer learning) with a custom classification head (Linear -&gt; ReLU -&gt; Dropout(0.3) -&gt; Linear(2)).</w:t>
      </w:r>
    </w:p>
    <w:p>
      <w:pPr>
        <w:spacing w:after="160"/>
      </w:pPr>
      <w:r>
        <w:t xml:space="preserve">Justification:</w:t>
      </w:r>
    </w:p>
    <w:p>
      <w:pPr>
        <w:pStyle w:val="ListParagraph"/>
        <w:numPr>
          <w:ilvl w:val="0"/>
          <w:numId w:val="1"/>
        </w:numPr>
        <w:spacing w:after="80"/>
      </w:pPr>
      <w:r>
        <w:t xml:space="preserve">Medical image datasets, even the full ISIC set, are small relative to what's needed to train a deep CNN from scratch — transfer learning from ImageNet gives a strong starting point for low-level visual features (edges, color gradients, textures).</w:t>
      </w:r>
    </w:p>
    <w:p>
      <w:pPr>
        <w:pStyle w:val="ListParagraph"/>
        <w:numPr>
          <w:ilvl w:val="0"/>
          <w:numId w:val="1"/>
        </w:numPr>
        <w:spacing w:after="80"/>
      </w:pPr>
      <w:r>
        <w:t xml:space="preserve">ResNet18 was chosen over larger backbones (ResNet50, EfficientNet) as a size/accuracy tradeoff suited to a project-scale deployment; swapping the backbone is a one-line change in model.py if higher accuracy is prioritized over inference speed.</w:t>
      </w:r>
    </w:p>
    <w:p>
      <w:pPr>
        <w:pStyle w:val="ListParagraph"/>
        <w:numPr>
          <w:ilvl w:val="0"/>
          <w:numId w:val="1"/>
        </w:numPr>
        <w:spacing w:after="80"/>
      </w:pPr>
      <w:r>
        <w:t xml:space="preserve">Dropout(0.3) in the head reduces overfitting risk, which is significant given the class imbalance and moderate dataset size.</w:t>
      </w:r>
    </w:p>
    <w:p>
      <w:pPr>
        <w:pStyle w:val="Heading1"/>
        <w:spacing w:after="160" w:before="360"/>
      </w:pPr>
      <w:r>
        <w:t xml:space="preserve">7. Evaluation Metrics</w:t>
      </w:r>
    </w:p>
    <w:p>
      <w:pPr>
        <w:spacing w:after="160"/>
      </w:pPr>
      <w:r>
        <w:t xml:space="preserve">Accuracy alone is misleading for this problem because the real dataset is imbalanced (most lesions are benign) — a model predicting "benign" for everything would still score high accuracy while being clinically useless. The full training notebook therefore reports:</w:t>
      </w:r>
    </w:p>
    <w:p>
      <w:pPr>
        <w:pStyle w:val="ListParagraph"/>
        <w:numPr>
          <w:ilvl w:val="0"/>
          <w:numId w:val="1"/>
        </w:numPr>
        <w:spacing w:after="80"/>
      </w:pPr>
      <w:r>
        <w:t xml:space="preserve">Precision, Recall, F1-score per class</w:t>
      </w:r>
    </w:p>
    <w:p>
      <w:pPr>
        <w:pStyle w:val="ListParagraph"/>
        <w:numPr>
          <w:ilvl w:val="0"/>
          <w:numId w:val="1"/>
        </w:numPr>
        <w:spacing w:after="80"/>
      </w:pPr>
      <w:r>
        <w:t xml:space="preserve">ROC-AUC (threshold-independent measure of separability)</w:t>
      </w:r>
    </w:p>
    <w:p>
      <w:pPr>
        <w:pStyle w:val="ListParagraph"/>
        <w:numPr>
          <w:ilvl w:val="0"/>
          <w:numId w:val="1"/>
        </w:numPr>
        <w:spacing w:after="80"/>
      </w:pPr>
      <w:r>
        <w:t xml:space="preserve">Confusion matrix (to see false-negative rate specifically — missing a real melanoma is the costlier error)</w:t>
      </w:r>
    </w:p>
    <w:p>
      <w:pPr>
        <w:spacing w:after="160"/>
      </w:pPr>
      <w:r>
        <w:t xml:space="preserve">Local demo model result: 100% validation accuracy on the synthetic sample dataset. This number is not clinically meaningful — the synthetic shapes are designed to be cleanly separable so the pipeline can be verified end-to-end. Real-world ISIC accuracy for ResNet18-based models is typically 85-92% with AUC around 0.90-0.95; use the notebook's metrics as the reportable result for grading.</w:t>
      </w:r>
    </w:p>
    <w:p>
      <w:pPr>
        <w:pStyle w:val="Heading1"/>
        <w:spacing w:after="160" w:before="360"/>
      </w:pPr>
      <w:r>
        <w:t xml:space="preserve">8. System Architecture</w:t>
      </w:r>
    </w:p>
    <w:p>
      <w:pPr>
        <w:spacing w:after="160"/>
      </w:pPr>
      <w:r>
        <w:t xml:space="preserve">Three-tier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800"/>
      </w:tblGrid>
      <w:tr>
        <w:tc>
          <w:tcPr>
            <w:tcW w:type="dxa" w:w="2800"/>
            <w:shd w:fill="0F6B5C" w:val="clear"/>
          </w:tcPr>
          <w:p>
            <w:r>
              <w:rPr>
                <w:b/>
                <w:bCs/>
                <w:color w:val="FFFFFF"/>
                <w:sz w:val="20"/>
                <w:szCs w:val="20"/>
              </w:rPr>
              <w:t xml:space="preserve">Layer</w:t>
            </w:r>
          </w:p>
        </w:tc>
        <w:tc>
          <w:tcPr>
            <w:tcW w:type="dxa" w:w="3400"/>
            <w:shd w:fill="0F6B5C" w:val="clear"/>
          </w:tcPr>
          <w:p>
            <w:r>
              <w:rPr>
                <w:b/>
                <w:bCs/>
                <w:color w:val="FFFFFF"/>
                <w:sz w:val="20"/>
                <w:szCs w:val="20"/>
              </w:rPr>
              <w:t xml:space="preserve">Technology</w:t>
            </w:r>
          </w:p>
        </w:tc>
        <w:tc>
          <w:tcPr>
            <w:tcW w:type="dxa" w:w="2800"/>
            <w:shd w:fill="0F6B5C" w:val="clear"/>
          </w:tcPr>
          <w:p>
            <w:r>
              <w:rPr>
                <w:b/>
                <w:bCs/>
                <w:color w:val="FFFFFF"/>
                <w:sz w:val="20"/>
                <w:szCs w:val="20"/>
              </w:rPr>
              <w:t xml:space="preserve">Responsibility</w:t>
            </w:r>
          </w:p>
        </w:tc>
      </w:tr>
      <w:tr>
        <w:tc>
          <w:tcPr>
            <w:tcW w:type="dxa" w:w="2800"/>
          </w:tcPr>
          <w:p>
            <w:r>
              <w:rPr>
                <w:b w:val="false"/>
                <w:bCs w:val="false"/>
                <w:color w:val="10241F"/>
                <w:sz w:val="20"/>
                <w:szCs w:val="20"/>
              </w:rPr>
              <w:t xml:space="preserve">Model</w:t>
            </w:r>
          </w:p>
        </w:tc>
        <w:tc>
          <w:tcPr>
            <w:tcW w:type="dxa" w:w="3400"/>
          </w:tcPr>
          <w:p>
            <w:r>
              <w:rPr>
                <w:b w:val="false"/>
                <w:bCs w:val="false"/>
                <w:color w:val="10241F"/>
                <w:sz w:val="20"/>
                <w:szCs w:val="20"/>
              </w:rPr>
              <w:t xml:space="preserve">PyTorch, torchvision (ResNet18)</w:t>
            </w:r>
          </w:p>
        </w:tc>
        <w:tc>
          <w:tcPr>
            <w:tcW w:type="dxa" w:w="2800"/>
          </w:tcPr>
          <w:p>
            <w:r>
              <w:rPr>
                <w:b w:val="false"/>
                <w:bCs w:val="false"/>
                <w:color w:val="10241F"/>
                <w:sz w:val="20"/>
                <w:szCs w:val="20"/>
              </w:rPr>
              <w:t xml:space="preserve">Trains on lesion images, exports model_weights.pth</w:t>
            </w:r>
          </w:p>
        </w:tc>
      </w:tr>
      <w:tr>
        <w:tc>
          <w:tcPr>
            <w:tcW w:type="dxa" w:w="2800"/>
          </w:tcPr>
          <w:p>
            <w:r>
              <w:rPr>
                <w:b w:val="false"/>
                <w:bCs w:val="false"/>
                <w:color w:val="10241F"/>
                <w:sz w:val="20"/>
                <w:szCs w:val="20"/>
              </w:rPr>
              <w:t xml:space="preserve">Backend</w:t>
            </w:r>
          </w:p>
        </w:tc>
        <w:tc>
          <w:tcPr>
            <w:tcW w:type="dxa" w:w="3400"/>
          </w:tcPr>
          <w:p>
            <w:r>
              <w:rPr>
                <w:b w:val="false"/>
                <w:bCs w:val="false"/>
                <w:color w:val="10241F"/>
                <w:sz w:val="20"/>
                <w:szCs w:val="20"/>
              </w:rPr>
              <w:t xml:space="preserve">Flask + Flask-CORS</w:t>
            </w:r>
          </w:p>
        </w:tc>
        <w:tc>
          <w:tcPr>
            <w:tcW w:type="dxa" w:w="2800"/>
          </w:tcPr>
          <w:p>
            <w:r>
              <w:rPr>
                <w:b w:val="false"/>
                <w:bCs w:val="false"/>
                <w:color w:val="10241F"/>
                <w:sz w:val="20"/>
                <w:szCs w:val="20"/>
              </w:rPr>
              <w:t xml:space="preserve">Loads weights, exposes REST API (/api/health, /api/predict)</w:t>
            </w:r>
          </w:p>
        </w:tc>
      </w:tr>
      <w:tr>
        <w:tc>
          <w:tcPr>
            <w:tcW w:type="dxa" w:w="2800"/>
          </w:tcPr>
          <w:p>
            <w:r>
              <w:rPr>
                <w:b w:val="false"/>
                <w:bCs w:val="false"/>
                <w:color w:val="10241F"/>
                <w:sz w:val="20"/>
                <w:szCs w:val="20"/>
              </w:rPr>
              <w:t xml:space="preserve">Frontend</w:t>
            </w:r>
          </w:p>
        </w:tc>
        <w:tc>
          <w:tcPr>
            <w:tcW w:type="dxa" w:w="3400"/>
          </w:tcPr>
          <w:p>
            <w:r>
              <w:rPr>
                <w:b w:val="false"/>
                <w:bCs w:val="false"/>
                <w:color w:val="10241F"/>
                <w:sz w:val="20"/>
                <w:szCs w:val="20"/>
              </w:rPr>
              <w:t xml:space="preserve">HTML/CSS/JS</w:t>
            </w:r>
          </w:p>
        </w:tc>
        <w:tc>
          <w:tcPr>
            <w:tcW w:type="dxa" w:w="2800"/>
          </w:tcPr>
          <w:p>
            <w:r>
              <w:rPr>
                <w:b w:val="false"/>
                <w:bCs w:val="false"/>
                <w:color w:val="10241F"/>
                <w:sz w:val="20"/>
                <w:szCs w:val="20"/>
              </w:rPr>
              <w:t xml:space="preserve">Upload UI, calls backend API, renders prediction + confidence</w:t>
            </w:r>
          </w:p>
        </w:tc>
      </w:tr>
    </w:tbl>
    <w:p>
      <w:pPr>
        <w:spacing w:after="200"/>
      </w:pPr>
    </w:p>
    <w:p>
      <w:pPr>
        <w:spacing w:after="160"/>
      </w:pPr>
      <w:r>
        <w:t xml:space="preserve">Data flow: User uploads image in browser -&gt; POST /api/predict (multipart or base64) -&gt; Flask preprocesses image with the same transform pipeline used in training -&gt; model inference -&gt; JSON response with prediction, confidence, and class probabilities -&gt; rendered in the UI.</w:t>
      </w:r>
    </w:p>
    <w:p>
      <w:pPr>
        <w:pStyle w:val="Heading1"/>
        <w:spacing w:after="160" w:before="360"/>
      </w:pPr>
      <w:r>
        <w:t xml:space="preserve">9. Technology Stack Justification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0F6B5C" w:val="clear"/>
          </w:tcPr>
          <w:p>
            <w:r>
              <w:rPr>
                <w:b/>
                <w:bCs/>
                <w:color w:val="FFFFFF"/>
                <w:sz w:val="20"/>
                <w:szCs w:val="20"/>
              </w:rPr>
              <w:t xml:space="preserve">Choice</w:t>
            </w:r>
          </w:p>
        </w:tc>
        <w:tc>
          <w:tcPr>
            <w:tcW w:type="dxa" w:w="6000"/>
            <w:shd w:fill="0F6B5C" w:val="clear"/>
          </w:tcPr>
          <w:p>
            <w:r>
              <w:rPr>
                <w:b/>
                <w:bCs/>
                <w:color w:val="FFFFFF"/>
                <w:sz w:val="20"/>
                <w:szCs w:val="20"/>
              </w:rPr>
              <w:t xml:space="preserve">Reason</w:t>
            </w:r>
          </w:p>
        </w:tc>
      </w:tr>
      <w:tr>
        <w:tc>
          <w:tcPr>
            <w:tcW w:type="dxa" w:w="3000"/>
          </w:tcPr>
          <w:p>
            <w:r>
              <w:rPr>
                <w:b w:val="false"/>
                <w:bCs w:val="false"/>
                <w:color w:val="10241F"/>
                <w:sz w:val="20"/>
                <w:szCs w:val="20"/>
              </w:rPr>
              <w:t xml:space="preserve">PyTorch</w:t>
            </w:r>
          </w:p>
        </w:tc>
        <w:tc>
          <w:tcPr>
            <w:tcW w:type="dxa" w:w="6000"/>
          </w:tcPr>
          <w:p>
            <w:r>
              <w:rPr>
                <w:b w:val="false"/>
                <w:bCs w:val="false"/>
                <w:color w:val="10241F"/>
                <w:sz w:val="20"/>
                <w:szCs w:val="20"/>
              </w:rPr>
              <w:t xml:space="preserve">Flexible, widely used in medical imaging research; easy transfer-learning APIs via torchvision.models</w:t>
            </w:r>
          </w:p>
        </w:tc>
      </w:tr>
      <w:tr>
        <w:tc>
          <w:tcPr>
            <w:tcW w:type="dxa" w:w="3000"/>
          </w:tcPr>
          <w:p>
            <w:r>
              <w:rPr>
                <w:b w:val="false"/>
                <w:bCs w:val="false"/>
                <w:color w:val="10241F"/>
                <w:sz w:val="20"/>
                <w:szCs w:val="20"/>
              </w:rPr>
              <w:t xml:space="preserve">Flask</w:t>
            </w:r>
          </w:p>
        </w:tc>
        <w:tc>
          <w:tcPr>
            <w:tcW w:type="dxa" w:w="6000"/>
          </w:tcPr>
          <w:p>
            <w:r>
              <w:rPr>
                <w:b w:val="false"/>
                <w:bCs w:val="false"/>
                <w:color w:val="10241F"/>
                <w:sz w:val="20"/>
                <w:szCs w:val="20"/>
              </w:rPr>
              <w:t xml:space="preserve">Lightweight, minimal boilerplate for a project-scale REST API; easy to containerize later</w:t>
            </w:r>
          </w:p>
        </w:tc>
      </w:tr>
      <w:tr>
        <w:tc>
          <w:tcPr>
            <w:tcW w:type="dxa" w:w="3000"/>
          </w:tcPr>
          <w:p>
            <w:r>
              <w:rPr>
                <w:b w:val="false"/>
                <w:bCs w:val="false"/>
                <w:color w:val="10241F"/>
                <w:sz w:val="20"/>
                <w:szCs w:val="20"/>
              </w:rPr>
              <w:t xml:space="preserve">Vanilla JS frontend</w:t>
            </w:r>
          </w:p>
        </w:tc>
        <w:tc>
          <w:tcPr>
            <w:tcW w:type="dxa" w:w="6000"/>
          </w:tcPr>
          <w:p>
            <w:r>
              <w:rPr>
                <w:b w:val="false"/>
                <w:bCs w:val="false"/>
                <w:color w:val="10241F"/>
                <w:sz w:val="20"/>
                <w:szCs w:val="20"/>
              </w:rPr>
              <w:t xml:space="preserve">No build step required, keeps the demo self-contained and easy to run/grade</w:t>
            </w:r>
          </w:p>
        </w:tc>
      </w:tr>
      <w:tr>
        <w:tc>
          <w:tcPr>
            <w:tcW w:type="dxa" w:w="3000"/>
          </w:tcPr>
          <w:p>
            <w:r>
              <w:rPr>
                <w:b w:val="false"/>
                <w:bCs w:val="false"/>
                <w:color w:val="10241F"/>
                <w:sz w:val="20"/>
                <w:szCs w:val="20"/>
              </w:rPr>
              <w:t xml:space="preserve">ResNet18</w:t>
            </w:r>
          </w:p>
        </w:tc>
        <w:tc>
          <w:tcPr>
            <w:tcW w:type="dxa" w:w="6000"/>
          </w:tcPr>
          <w:p>
            <w:r>
              <w:rPr>
                <w:b w:val="false"/>
                <w:bCs w:val="false"/>
                <w:color w:val="10241F"/>
                <w:sz w:val="20"/>
                <w:szCs w:val="20"/>
              </w:rPr>
              <w:t xml:space="preserve">Best accuracy-per-parameter tradeoff among common ImageNet backbones for a project of this scope</w:t>
            </w:r>
          </w:p>
        </w:tc>
      </w:tr>
    </w:tbl>
    <w:p>
      <w:pPr>
        <w:pStyle w:val="Heading1"/>
        <w:spacing w:after="160" w:before="360"/>
      </w:pPr>
      <w:r>
        <w:t xml:space="preserve">10. Limitations &amp; Future Work</w:t>
      </w:r>
    </w:p>
    <w:p>
      <w:pPr>
        <w:pStyle w:val="ListParagraph"/>
        <w:numPr>
          <w:ilvl w:val="0"/>
          <w:numId w:val="1"/>
        </w:numPr>
        <w:spacing w:after="80"/>
      </w:pPr>
      <w:r>
        <w:t xml:space="preserve">Local demo trained on synthetic data only — full ISIC training must be run via the provided Colab notebook (no GPU/internet for large downloads in this environment).</w:t>
      </w:r>
    </w:p>
    <w:p>
      <w:pPr>
        <w:pStyle w:val="ListParagraph"/>
        <w:numPr>
          <w:ilvl w:val="0"/>
          <w:numId w:val="1"/>
        </w:numPr>
        <w:spacing w:after="80"/>
      </w:pPr>
      <w:r>
        <w:t xml:space="preserve">Binary classification only; real ISIC-based systems often support multi-class (melanoma, nevus, seborrheic keratosis, etc.).</w:t>
      </w:r>
    </w:p>
    <w:p>
      <w:pPr>
        <w:pStyle w:val="ListParagraph"/>
        <w:numPr>
          <w:ilvl w:val="0"/>
          <w:numId w:val="1"/>
        </w:numPr>
        <w:spacing w:after="80"/>
      </w:pPr>
      <w:r>
        <w:t xml:space="preserve">No clinical validation — this is an academic prototype and explicitly not a diagnostic device.</w:t>
      </w:r>
    </w:p>
    <w:p>
      <w:pPr>
        <w:pStyle w:val="ListParagraph"/>
        <w:numPr>
          <w:ilvl w:val="0"/>
          <w:numId w:val="1"/>
        </w:numPr>
        <w:spacing w:after="80"/>
      </w:pPr>
      <w:r>
        <w:t xml:space="preserve">Future work: Grad-CAM visual explanations to show which region of the lesion drove the prediction, multi-class support, and deployment behind authentication for any real clinical trial.</w:t>
      </w:r>
    </w:p>
    <w:p>
      <w:pPr>
        <w:pStyle w:val="Heading1"/>
        <w:spacing w:after="160" w:before="360"/>
      </w:pPr>
      <w:r>
        <w:t xml:space="preserve">11. Academic Integrity Statement</w:t>
      </w:r>
    </w:p>
    <w:p>
      <w:pPr>
        <w:spacing w:after="160"/>
      </w:pPr>
      <w:r>
        <w:t xml:space="preserve">The model architecture (ResNet18) is a standard, publicly documented architecture from torchvision, used here via transfer learning as is standard practice, not copied from any specific public notebook or repository. The synthetic sample dataset was generated programmatically for this project. The full-scale training notebook targets the publicly available ISIC Archive dataset, which must be properly cited in any submission (see README for citation).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2026-07-26T09:11:17.170Z</dcterms:created>
  <dcterms:modified xsi:type="dcterms:W3CDTF">2026-07-26T09:11:17.182Z</dcterms:modified>
</cp:coreProperties>
</file>

<file path=docProps/custom.xml><?xml version="1.0" encoding="utf-8"?>
<Properties xmlns="http://schemas.openxmlformats.org/officeDocument/2006/custom-properties" xmlns:vt="http://schemas.openxmlformats.org/officeDocument/2006/docPropsVTypes"/>
</file>