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Investment Memo — all</w:t>
      </w:r>
    </w:p>
    <w:p>
      <w:r>
        <w:t>Generated on: 2026-02-20 13:02</w:t>
      </w:r>
    </w:p>
    <w:p>
      <w:r>
        <w:t>----------------------------------------</w:t>
      </w:r>
    </w:p>
    <w:p>
      <w:pPr>
        <w:pStyle w:val="Heading2"/>
      </w:pPr>
      <w:r>
        <w:t>Company Overview</w:t>
      </w:r>
    </w:p>
    <w:p>
      <w:r>
        <w:t>Not found in report.</w:t>
      </w:r>
    </w:p>
    <w:p>
      <w:pPr>
        <w:pStyle w:val="Heading2"/>
      </w:pPr>
      <w:r>
        <w:t>Financial Performance</w:t>
      </w:r>
    </w:p>
    <w:p>
      <w:r>
        <w:t>- **Revenue Trends:**</w:t>
      </w:r>
    </w:p>
    <w:p>
      <w:r>
        <w:t xml:space="preserve">  - MAT: $6,270 million, growth of 1.4% [Chunk 0].</w:t>
      </w:r>
    </w:p>
    <w:p>
      <w:r>
        <w:t xml:space="preserve">  - CCL: $15,790 million, growth of 5.7% [Chunk 0].</w:t>
      </w:r>
    </w:p>
    <w:p>
      <w:r>
        <w:t xml:space="preserve">  - VIAB: $15,040 million, growth of 3.2% [Chunk 0].</w:t>
      </w:r>
    </w:p>
    <w:p>
      <w:r>
        <w:t xml:space="preserve">  - VZ: $110,880 million, growth of 7.7% [Chunk 0].</w:t>
      </w:r>
    </w:p>
    <w:p>
      <w:r>
        <w:t xml:space="preserve">  - HRB: $3,650 million, growth of 9.3% [Chunk 0].</w:t>
      </w:r>
    </w:p>
    <w:p>
      <w:r>
        <w:t xml:space="preserve">  - SJM: $5,360 million, growth of 11.8% [Chunk 0].</w:t>
      </w:r>
    </w:p>
    <w:p>
      <w:r>
        <w:t xml:space="preserve">  - INTC: $54,000 million, growth of 21.2% [Chunk 0].</w:t>
      </w:r>
    </w:p>
    <w:p>
      <w:r>
        <w:t xml:space="preserve">  - LNC: $10,640 million, growth of 3.4% [Chunk 0].</w:t>
      </w:r>
    </w:p>
    <w:p>
      <w:r>
        <w:t xml:space="preserve">  - LLTC: $1,340 million, growth of 23.3% [Chunk 0].</w:t>
      </w:r>
    </w:p>
    <w:p>
      <w:r>
        <w:t xml:space="preserve">  - STZ: $2,740 million, growth of 27.5% [Chunk 1].</w:t>
      </w:r>
    </w:p>
    <w:p>
      <w:r>
        <w:t xml:space="preserve">  - PGN: $8,910 million, growth of 25.2% [Chunk 1].</w:t>
      </w:r>
    </w:p>
    <w:p>
      <w:r>
        <w:t xml:space="preserve">  - CNP: $8,450 million, growth of 2.2% [Chunk 1].</w:t>
      </w:r>
    </w:p>
    <w:p>
      <w:r>
        <w:t xml:space="preserve">  - GD: $32,680 million, growth of 6.3% [Chunk 1].</w:t>
      </w:r>
    </w:p>
    <w:p>
      <w:r>
        <w:t xml:space="preserve">  - LUV: $15,660 million, growth of 31.9% [Chunk 1].</w:t>
      </w:r>
    </w:p>
    <w:p>
      <w:r>
        <w:t xml:space="preserve">  - WMT: $446,950 million, growth of 5.9% [Chunk 1].</w:t>
      </w:r>
    </w:p>
    <w:p>
      <w:r>
        <w:t xml:space="preserve">  - AAPL: $127,840 million, growth of 73.3% [Chunk 1].</w:t>
      </w:r>
    </w:p>
    <w:p/>
    <w:p>
      <w:r>
        <w:t>- **Profitability Trends:**</w:t>
      </w:r>
    </w:p>
    <w:p>
      <w:r>
        <w:t xml:space="preserve">  - MAT: Profit margin of 12.27% [Chunk 0].</w:t>
      </w:r>
    </w:p>
    <w:p>
      <w:r>
        <w:t xml:space="preserve">  - CCL: Profit margin of 12.11% [Chunk 0].</w:t>
      </w:r>
    </w:p>
    <w:p>
      <w:r>
        <w:t xml:space="preserve">  - VIAB: Profit margin of 11.56% [Chunk 0].</w:t>
      </w:r>
    </w:p>
    <w:p>
      <w:r>
        <w:t xml:space="preserve">  - VZ: Profit margin of 2.17% [Chunk 0].</w:t>
      </w:r>
    </w:p>
    <w:p>
      <w:r>
        <w:t xml:space="preserve">  - HRB: Profit margin of 9.01% [Chunk 0].</w:t>
      </w:r>
    </w:p>
    <w:p>
      <w:r>
        <w:t xml:space="preserve">  - SJM: Profit margin of 8.41% [Chunk 0].</w:t>
      </w:r>
    </w:p>
    <w:p>
      <w:r>
        <w:t xml:space="preserve">  - INTC: Profit margin of 23.97% [Chunk 0].</w:t>
      </w:r>
    </w:p>
    <w:p>
      <w:r>
        <w:t xml:space="preserve">  - LNC: Profit margin of 2.76% [Chunk 0].</w:t>
      </w:r>
    </w:p>
    <w:p>
      <w:r>
        <w:t xml:space="preserve">  - LLTC: Profit margin of 37.13% [Chunk 0].</w:t>
      </w:r>
    </w:p>
    <w:p>
      <w:r>
        <w:t xml:space="preserve">  - STZ: Profit margin of 22.68% [Chunk 1].</w:t>
      </w:r>
    </w:p>
    <w:p>
      <w:r>
        <w:t xml:space="preserve">  - PGN: Profit margin of 6.46% [Chunk 1].</w:t>
      </w:r>
    </w:p>
    <w:p>
      <w:r>
        <w:t xml:space="preserve">  - CNP: Profit margin of 16.06% [Chunk 1].</w:t>
      </w:r>
    </w:p>
    <w:p>
      <w:r>
        <w:t xml:space="preserve">  - GD: Profit margin of 7.73% [Chunk 1].</w:t>
      </w:r>
    </w:p>
    <w:p>
      <w:r>
        <w:t xml:space="preserve">  - LUV: Profit margin of 1.14% [Chunk 1].</w:t>
      </w:r>
    </w:p>
    <w:p>
      <w:r>
        <w:t xml:space="preserve">  - WMT: Profit margin of 3.51% [Chunk 1].</w:t>
      </w:r>
    </w:p>
    <w:p>
      <w:r>
        <w:t xml:space="preserve">  - AAPL: Profit margin of 25.8% [Chunk 1].</w:t>
      </w:r>
    </w:p>
    <w:p/>
    <w:p>
      <w:r>
        <w:t>- **Margin Trends:**</w:t>
      </w:r>
    </w:p>
    <w:p>
      <w:r>
        <w:t xml:space="preserve">  - MAT: Profit margin indicates stable profitability [Chunk 0].</w:t>
      </w:r>
    </w:p>
    <w:p>
      <w:r>
        <w:t xml:space="preserve">  - CCL: Consistent margin reflecting operational efficiency [Chunk 0].</w:t>
      </w:r>
    </w:p>
    <w:p>
      <w:r>
        <w:t xml:space="preserve">  - VIAB: Slightly lower margin compared to peers [Chunk 0].</w:t>
      </w:r>
    </w:p>
    <w:p>
      <w:r>
        <w:t xml:space="preserve">  - VZ: Low margin suggests high costs or competitive pressures [Chunk 0].</w:t>
      </w:r>
    </w:p>
    <w:p>
      <w:r>
        <w:t xml:space="preserve">  - HRB: Moderate margin, indicating room for improvement [Chunk 0].</w:t>
      </w:r>
    </w:p>
    <w:p>
      <w:r>
        <w:t xml:space="preserve">  - SJM: Lower margin, potential for cost management [Chunk 0].</w:t>
      </w:r>
    </w:p>
    <w:p>
      <w:r>
        <w:t xml:space="preserve">  - INTC: High margin, strong profitability [Chunk 0].</w:t>
      </w:r>
    </w:p>
    <w:p>
      <w:r>
        <w:t xml:space="preserve">  - LNC: Low margin, indicating financial challenges [Chunk 0].</w:t>
      </w:r>
    </w:p>
    <w:p>
      <w:r>
        <w:t xml:space="preserve">  - LLTC: Very high margin, indicating strong pricing power [Chunk 0].</w:t>
      </w:r>
    </w:p>
    <w:p>
      <w:r>
        <w:t xml:space="preserve">  - STZ: High margin, reflecting strong brand positioning [Chunk 1].</w:t>
      </w:r>
    </w:p>
    <w:p>
      <w:r>
        <w:t xml:space="preserve">  - PGN: Moderate margin, potential for improvement [Chunk 1].</w:t>
      </w:r>
    </w:p>
    <w:p>
      <w:r>
        <w:t xml:space="preserve">  - CNP: Healthy margin, indicating operational efficiency [Chunk 1].</w:t>
      </w:r>
    </w:p>
    <w:p>
      <w:r>
        <w:t xml:space="preserve">  - GD: Moderate margin, indicating stable performance [Chunk 1].</w:t>
      </w:r>
    </w:p>
    <w:p>
      <w:r>
        <w:t xml:space="preserve">  - LUV: Low margin, indicating competitive pressures [Chunk 1].</w:t>
      </w:r>
    </w:p>
    <w:p>
      <w:r>
        <w:t xml:space="preserve">  - WMT: Low margin, typical for retail sector [Chunk 1].</w:t>
      </w:r>
    </w:p>
    <w:p>
      <w:r>
        <w:t xml:space="preserve">  - AAPL: High margin, indicating strong brand and pricing power [Chunk 1].</w:t>
      </w:r>
    </w:p>
    <w:p>
      <w:pPr>
        <w:pStyle w:val="Heading2"/>
      </w:pPr>
      <w:r>
        <w:t>Growth Outlook</w:t>
      </w:r>
    </w:p>
    <w:p>
      <w:r>
        <w:t xml:space="preserve">- **Revenue Growth**: </w:t>
      </w:r>
    </w:p>
    <w:p>
      <w:r>
        <w:t xml:space="preserve">  - Companies like CCL and INTC show significant revenue growth rates of 5.7 and 21.2, respectively, indicating strong demand and market positioning [Chunk 0].</w:t>
      </w:r>
    </w:p>
    <w:p>
      <w:r>
        <w:t xml:space="preserve">  </w:t>
      </w:r>
    </w:p>
    <w:p>
      <w:r>
        <w:t xml:space="preserve">- **Profit Margins**: </w:t>
      </w:r>
    </w:p>
    <w:p>
      <w:r>
        <w:t xml:space="preserve">  - High profit margins are observed in companies such as STZ (27.5%) and HCP (31.23%), suggesting effective cost management and pricing strategies that can drive future profitability [Chunk 1].</w:t>
      </w:r>
    </w:p>
    <w:p/>
    <w:p>
      <w:r>
        <w:t xml:space="preserve">- **Forward PE Ratios**: </w:t>
      </w:r>
    </w:p>
    <w:p>
      <w:r>
        <w:t xml:space="preserve">  - Companies with lower forward PE ratios, like CNP (15.79) and LUV (8.1), may indicate potential for growth as they are perceived as undervalued compared to their earnings potential [Chunk 1].</w:t>
      </w:r>
    </w:p>
    <w:p/>
    <w:p>
      <w:r>
        <w:t xml:space="preserve">- **Market Capitalization**: </w:t>
      </w:r>
    </w:p>
    <w:p>
      <w:r>
        <w:t xml:space="preserve">  - Larger market caps, such as AAPL (505330) and VZ (111210), suggest these companies have established market presence and resources to invest in growth initiatives [Chunk 1].</w:t>
      </w:r>
    </w:p>
    <w:p/>
    <w:p>
      <w:r>
        <w:t xml:space="preserve">- **Debt Levels**: </w:t>
      </w:r>
    </w:p>
    <w:p>
      <w:r>
        <w:t xml:space="preserve">  - Companies like VZ and CCL have significant debt levels (55150 and 9350, respectively), which could impact their future growth if not managed properly, but also provide leverage for expansion [Chunk 0].</w:t>
      </w:r>
    </w:p>
    <w:p/>
    <w:p>
      <w:r>
        <w:t xml:space="preserve">- **Cash Reserves**: </w:t>
      </w:r>
    </w:p>
    <w:p>
      <w:r>
        <w:t xml:space="preserve">  - High cash reserves in companies like AAPL (30160) and IBM (11970) provide flexibility for investments in innovation and growth opportunities [Chunk 1].</w:t>
      </w:r>
    </w:p>
    <w:p/>
    <w:p>
      <w:r>
        <w:t xml:space="preserve">- **Sector Performance**: </w:t>
      </w:r>
    </w:p>
    <w:p>
      <w:r>
        <w:t xml:space="preserve">  - Companies in technology (e.g., INTC) and consumer goods (e.g., STZ) are positioned well for growth due to ongoing trends in digital transformation and consumer spending [Chunk 0].</w:t>
      </w:r>
    </w:p>
    <w:p/>
    <w:p>
      <w:r>
        <w:t xml:space="preserve">- **Earnings Before Interest**: </w:t>
      </w:r>
    </w:p>
    <w:p>
      <w:r>
        <w:t xml:space="preserve">  - Strong earnings before interest in companies like VZ (35330) and INTC (23540) indicate robust operational performance, which can support future growth initiatives [Chunk 0].</w:t>
      </w:r>
    </w:p>
    <w:p/>
    <w:p>
      <w:r>
        <w:t xml:space="preserve">- **Growth Potential**: </w:t>
      </w:r>
    </w:p>
    <w:p>
      <w:r>
        <w:t xml:space="preserve">  - Companies like PGN and GD show promising growth potential with growth rates of 25.2 and 6.3, respectively, indicating they are likely to expand their market share [Chunk 1].</w:t>
      </w:r>
    </w:p>
    <w:p/>
    <w:p>
      <w:r>
        <w:t xml:space="preserve">- **Investment in Innovation**: </w:t>
      </w:r>
    </w:p>
    <w:p>
      <w:r>
        <w:t xml:space="preserve">  - Firms with higher R&amp;D investments, such as IBM, are likely to drive future growth through innovation and new product development [Not found in report]. </w:t>
      </w:r>
    </w:p>
    <w:p/>
    <w:p>
      <w:r>
        <w:t xml:space="preserve">- **Market Trends**: </w:t>
      </w:r>
    </w:p>
    <w:p>
      <w:r>
        <w:t xml:space="preserve">  - The overall market trends towards sustainability and technology adoption can serve as growth drivers for companies that align their strategies accordingly [Not found in report].</w:t>
      </w:r>
    </w:p>
    <w:p>
      <w:pPr>
        <w:pStyle w:val="Heading2"/>
      </w:pPr>
      <w:r>
        <w:t>Key Risks</w:t>
      </w:r>
    </w:p>
    <w:p>
      <w:r>
        <w:t>Not found in report.</w:t>
      </w:r>
    </w:p>
    <w:p>
      <w:pPr>
        <w:pStyle w:val="Heading2"/>
      </w:pPr>
      <w:r>
        <w:t>Management Outlook</w:t>
      </w:r>
    </w:p>
    <w:p>
      <w:r>
        <w:t>Not found in report.</w:t>
      </w:r>
    </w:p>
    <w:p>
      <w:pPr>
        <w:pStyle w:val="Heading2"/>
      </w:pPr>
      <w:r>
        <w:t>Competitive Position</w:t>
      </w:r>
    </w:p>
    <w:p>
      <w:r>
        <w:t>- **Market Capitalization**:</w:t>
      </w:r>
    </w:p>
    <w:p>
      <w:r>
        <w:t xml:space="preserve">  - MAT: $11.21 billion</w:t>
      </w:r>
    </w:p>
    <w:p>
      <w:r>
        <w:t xml:space="preserve">  - CCL: $24.05 billion</w:t>
      </w:r>
    </w:p>
    <w:p>
      <w:r>
        <w:t xml:space="preserve">  - VIAB: $26.11 billion</w:t>
      </w:r>
    </w:p>
    <w:p>
      <w:r>
        <w:t xml:space="preserve">  - VZ: $111.21 billion</w:t>
      </w:r>
    </w:p>
    <w:p>
      <w:r>
        <w:t xml:space="preserve">  - HRB: $4.68 billion</w:t>
      </w:r>
    </w:p>
    <w:p>
      <w:r>
        <w:t xml:space="preserve">  - SJM: $8.57 billion</w:t>
      </w:r>
    </w:p>
    <w:p>
      <w:r>
        <w:t xml:space="preserve">  - INTC: $134.09 billion</w:t>
      </w:r>
    </w:p>
    <w:p>
      <w:r>
        <w:t xml:space="preserve">  - LNC: $7.05 billion</w:t>
      </w:r>
    </w:p>
    <w:p>
      <w:r>
        <w:t xml:space="preserve">  - LLTC: $7.58 billion</w:t>
      </w:r>
    </w:p>
    <w:p>
      <w:r>
        <w:t xml:space="preserve">  - STZ: $4.43 billion</w:t>
      </w:r>
    </w:p>
    <w:p>
      <w:r>
        <w:t xml:space="preserve">  - PGN: $15.83 billion</w:t>
      </w:r>
    </w:p>
    <w:p>
      <w:r>
        <w:t xml:space="preserve">  - CNP: $8.27 billion</w:t>
      </w:r>
    </w:p>
    <w:p>
      <w:r>
        <w:t xml:space="preserve">  - GD: $25.69 billion</w:t>
      </w:r>
    </w:p>
    <w:p>
      <w:r>
        <w:t xml:space="preserve">  - LUV: $6.57 billion</w:t>
      </w:r>
    </w:p>
    <w:p>
      <w:r>
        <w:t xml:space="preserve">  - WMT: $204.77 billion</w:t>
      </w:r>
    </w:p>
    <w:p>
      <w:r>
        <w:t xml:space="preserve">  - CL: $45.05 billion</w:t>
      </w:r>
    </w:p>
    <w:p>
      <w:r>
        <w:t xml:space="preserve">  - HCP: $15.99 billion</w:t>
      </w:r>
    </w:p>
    <w:p>
      <w:r>
        <w:t xml:space="preserve">  - AAPL: $505.33 billion</w:t>
      </w:r>
    </w:p>
    <w:p>
      <w:r>
        <w:t xml:space="preserve">  - FLR: $10.16 billion</w:t>
      </w:r>
    </w:p>
    <w:p>
      <w:r>
        <w:t xml:space="preserve">  - SLE: $12.86 billion</w:t>
      </w:r>
    </w:p>
    <w:p>
      <w:r>
        <w:t xml:space="preserve">  - BFB: $11.32 billion</w:t>
      </w:r>
    </w:p>
    <w:p>
      <w:r>
        <w:t xml:space="preserve">  - EFX: $5.10 billion</w:t>
      </w:r>
    </w:p>
    <w:p>
      <w:r>
        <w:t xml:space="preserve">  - IBM: $231.51 billion</w:t>
      </w:r>
    </w:p>
    <w:p>
      <w:r>
        <w:t xml:space="preserve">  - BRCM: $19.54 billion</w:t>
      </w:r>
    </w:p>
    <w:p>
      <w:r>
        <w:t xml:space="preserve">  - BIIB: $28.75 billion</w:t>
      </w:r>
    </w:p>
    <w:p>
      <w:r>
        <w:t xml:space="preserve">  - ACN: $39.01 billion</w:t>
      </w:r>
    </w:p>
    <w:p>
      <w:r>
        <w:t xml:space="preserve">  - CAM: $13.26 billion</w:t>
      </w:r>
    </w:p>
    <w:p>
      <w:r>
        <w:t xml:space="preserve">  - SRE: $14.02 billion</w:t>
      </w:r>
    </w:p>
    <w:p>
      <w:r>
        <w:t xml:space="preserve">  - IVZ: $10.98 billion</w:t>
      </w:r>
    </w:p>
    <w:p>
      <w:r>
        <w:t xml:space="preserve">  - MWV: $5.27 billion</w:t>
      </w:r>
    </w:p>
    <w:p>
      <w:r>
        <w:t xml:space="preserve">  - ROP: $9.13 billion</w:t>
      </w:r>
    </w:p>
    <w:p>
      <w:r>
        <w:t xml:space="preserve">  - DELL: $30.60 billion</w:t>
      </w:r>
    </w:p>
    <w:p>
      <w:r>
        <w:t xml:space="preserve">  - MSI: $16.46 billion</w:t>
      </w:r>
    </w:p>
    <w:p>
      <w:r>
        <w:t xml:space="preserve">  - BSX: $8.61 billion</w:t>
      </w:r>
    </w:p>
    <w:p>
      <w:r>
        <w:t xml:space="preserve">  - TRIP: $4.17 billion</w:t>
      </w:r>
    </w:p>
    <w:p/>
    <w:p>
      <w:r>
        <w:t>- **Profit Margin**:</w:t>
      </w:r>
    </w:p>
    <w:p>
      <w:r>
        <w:t xml:space="preserve">  - MAT: 12.27%</w:t>
      </w:r>
    </w:p>
    <w:p>
      <w:r>
        <w:t xml:space="preserve">  - CCL: 12.11%</w:t>
      </w:r>
    </w:p>
    <w:p>
      <w:r>
        <w:t xml:space="preserve">  - VIAB: 11.56%</w:t>
      </w:r>
    </w:p>
    <w:p>
      <w:r>
        <w:t xml:space="preserve">  - VZ: 2.17%</w:t>
      </w:r>
    </w:p>
    <w:p>
      <w:r>
        <w:t xml:space="preserve">  - HRB: 9.01%</w:t>
      </w:r>
    </w:p>
    <w:p>
      <w:r>
        <w:t xml:space="preserve">  - SJM: 8.41%</w:t>
      </w:r>
    </w:p>
    <w:p>
      <w:r>
        <w:t xml:space="preserve">  - INTC: 23.97%</w:t>
      </w:r>
    </w:p>
    <w:p>
      <w:r>
        <w:t xml:space="preserve">  - LNC: 2.76%</w:t>
      </w:r>
    </w:p>
    <w:p>
      <w:r>
        <w:t xml:space="preserve">  - LLTC: 37.13%</w:t>
      </w:r>
    </w:p>
    <w:p>
      <w:r>
        <w:t xml:space="preserve">  - STZ: 22.68%</w:t>
      </w:r>
    </w:p>
    <w:p>
      <w:r>
        <w:t xml:space="preserve">  - PGN: 6.46%</w:t>
      </w:r>
    </w:p>
    <w:p>
      <w:r>
        <w:t xml:space="preserve">  - CNP: 16.06%</w:t>
      </w:r>
    </w:p>
    <w:p>
      <w:r>
        <w:t xml:space="preserve">  - GD: 7.73%</w:t>
      </w:r>
    </w:p>
    <w:p>
      <w:r>
        <w:t xml:space="preserve">  - LUV: 1.14%</w:t>
      </w:r>
    </w:p>
    <w:p>
      <w:r>
        <w:t xml:space="preserve">  - WMT: 3.51%</w:t>
      </w:r>
    </w:p>
    <w:p>
      <w:r>
        <w:t xml:space="preserve">  - CL: 14.53%</w:t>
      </w:r>
    </w:p>
    <w:p>
      <w:r>
        <w:t xml:space="preserve">  - HCP: 31.23%</w:t>
      </w:r>
    </w:p>
    <w:p>
      <w:r>
        <w:t xml:space="preserve">  - AAPL: 25.80%</w:t>
      </w:r>
    </w:p>
    <w:p>
      <w:r>
        <w:t xml:space="preserve">  - FLR: 2.54%</w:t>
      </w:r>
    </w:p>
    <w:p>
      <w:r>
        <w:t xml:space="preserve">  - SLE: 5.71%</w:t>
      </w:r>
    </w:p>
    <w:p>
      <w:r>
        <w:t xml:space="preserve">  - BFB: 21.27%</w:t>
      </w:r>
    </w:p>
    <w:p>
      <w:r>
        <w:t xml:space="preserve">  - EFX: 11.88%</w:t>
      </w:r>
    </w:p>
    <w:p>
      <w:r>
        <w:t xml:space="preserve">  - IBM: 14.83%</w:t>
      </w:r>
    </w:p>
    <w:p>
      <w:r>
        <w:t xml:space="preserve">  - BRCM: 12.91%</w:t>
      </w:r>
    </w:p>
    <w:p>
      <w:r>
        <w:t xml:space="preserve">  - BIIB: 24.50%</w:t>
      </w:r>
    </w:p>
    <w:p>
      <w:r>
        <w:t xml:space="preserve">  - ACN: 8.38%</w:t>
      </w:r>
    </w:p>
    <w:p>
      <w:r>
        <w:t xml:space="preserve">  - CAM: 7.50%</w:t>
      </w:r>
    </w:p>
    <w:p>
      <w:r>
        <w:t xml:space="preserve">  - SRE: 13.52%</w:t>
      </w:r>
    </w:p>
    <w:p>
      <w:r>
        <w:t xml:space="preserve">  - IVZ: 17.83%</w:t>
      </w:r>
    </w:p>
    <w:p>
      <w:r>
        <w:t xml:space="preserve">  - MWV: 4.06%</w:t>
      </w:r>
    </w:p>
    <w:p>
      <w:r>
        <w:t xml:space="preserve">  - ROP: 15.28%</w:t>
      </w:r>
    </w:p>
    <w:p>
      <w:r>
        <w:t xml:space="preserve">  - DELL: 5.63%</w:t>
      </w:r>
    </w:p>
    <w:p>
      <w:r>
        <w:t xml:space="preserve">  - MSI: 14.12%</w:t>
      </w:r>
    </w:p>
    <w:p>
      <w:r>
        <w:t xml:space="preserve">  - BSX: 5.79%</w:t>
      </w:r>
    </w:p>
    <w:p>
      <w:r>
        <w:t xml:space="preserve">  - TRIP: 27.89%</w:t>
      </w:r>
    </w:p>
    <w:p/>
    <w:p>
      <w:r>
        <w:t>- **Forward P/E Ratio**:</w:t>
      </w:r>
    </w:p>
    <w:p>
      <w:r>
        <w:t xml:space="preserve">  - MAT: 12.48</w:t>
      </w:r>
    </w:p>
    <w:p>
      <w:r>
        <w:t xml:space="preserve">  - CCL: 11.95</w:t>
      </w:r>
    </w:p>
    <w:p>
      <w:r>
        <w:t xml:space="preserve">  - VIAB: 9.64</w:t>
      </w:r>
    </w:p>
    <w:p>
      <w:r>
        <w:t xml:space="preserve">  - VZ: 14.11</w:t>
      </w:r>
    </w:p>
    <w:p>
      <w:r>
        <w:t xml:space="preserve">  - HRB: 9.68</w:t>
      </w:r>
    </w:p>
    <w:p>
      <w:r>
        <w:t xml:space="preserve">  - SJM: 14.42</w:t>
      </w:r>
    </w:p>
    <w:p>
      <w:r>
        <w:t xml:space="preserve">  - INTC: 10.24</w:t>
      </w:r>
    </w:p>
    <w:p>
      <w:r>
        <w:t xml:space="preserve">  - LNC: 5.54</w:t>
      </w:r>
    </w:p>
    <w:p>
      <w:r>
        <w:t xml:space="preserve">  - LLTC: 15.68</w:t>
      </w:r>
    </w:p>
    <w:p>
      <w:r>
        <w:t xml:space="preserve">  - STZ: 10.05</w:t>
      </w:r>
    </w:p>
    <w:p>
      <w:r>
        <w:t xml:space="preserve">  - PGN: 16.30</w:t>
      </w:r>
    </w:p>
    <w:p>
      <w:r>
        <w:t xml:space="preserve">  - CNP: 15.79</w:t>
      </w:r>
    </w:p>
    <w:p>
      <w:r>
        <w:t xml:space="preserve">  - GD: 9.35</w:t>
      </w:r>
    </w:p>
    <w:p>
      <w:r>
        <w:t xml:space="preserve">  - LUV: 8.10</w:t>
      </w:r>
    </w:p>
    <w:p>
      <w:r>
        <w:t xml:space="preserve">  - WMT: 11.30</w:t>
      </w:r>
    </w:p>
    <w:p>
      <w:r>
        <w:t xml:space="preserve">  - CL: 15.92</w:t>
      </w:r>
    </w:p>
    <w:p>
      <w:r>
        <w:t xml:space="preserve">  - HCP: 13.51</w:t>
      </w:r>
    </w:p>
    <w:p>
      <w:r>
        <w:t xml:space="preserve">  - AAPL: 11.39</w:t>
      </w:r>
    </w:p>
    <w:p>
      <w:r>
        <w:t xml:space="preserve">  - FLR: 13.88</w:t>
      </w:r>
    </w:p>
    <w:p>
      <w:r>
        <w:t xml:space="preserve">  - SLE: 20.51</w:t>
      </w:r>
    </w:p>
    <w:p>
      <w:r>
        <w:t xml:space="preserve">  - BFB: 19.99</w:t>
      </w:r>
    </w:p>
    <w:p>
      <w:r>
        <w:t xml:space="preserve">  - EFX: 13.54</w:t>
      </w:r>
    </w:p>
    <w:p>
      <w:r>
        <w:t xml:space="preserve">  - IBM: 12.15</w:t>
      </w:r>
    </w:p>
    <w:p>
      <w:r>
        <w:t xml:space="preserve">  - BRCM: 11.06</w:t>
      </w:r>
    </w:p>
    <w:p>
      <w:r>
        <w:t xml:space="preserve">  - BIIB: 17.20</w:t>
      </w:r>
    </w:p>
    <w:p>
      <w:r>
        <w:t xml:space="preserve">  - ACN: 14.32</w:t>
      </w:r>
    </w:p>
    <w:p>
      <w:r>
        <w:t xml:space="preserve">  - CAM: 12.32</w:t>
      </w:r>
    </w:p>
    <w:p>
      <w:r>
        <w:t xml:space="preserve">  - SRE: 12.76</w:t>
      </w:r>
    </w:p>
    <w:p>
      <w:r>
        <w:t xml:space="preserve">  - IVZ: 11.18</w:t>
      </w:r>
    </w:p>
    <w:p>
      <w:r>
        <w:t xml:space="preserve">  - MWV: 14.62</w:t>
      </w:r>
    </w:p>
    <w:p>
      <w:r>
        <w:t xml:space="preserve">  - ROP: 17.88</w:t>
      </w:r>
    </w:p>
    <w:p>
      <w:r>
        <w:t xml:space="preserve">  - DELL: 7.89</w:t>
      </w:r>
    </w:p>
    <w:p>
      <w:r>
        <w:t xml:space="preserve">  - MSI: 15.64</w:t>
      </w:r>
    </w:p>
    <w:p>
      <w:r>
        <w:t xml:space="preserve">  - BSX: 12.62</w:t>
      </w:r>
    </w:p>
    <w:p>
      <w:r>
        <w:t xml:space="preserve">  - TRIP: 18.83</w:t>
      </w:r>
    </w:p>
    <w:p/>
    <w:p>
      <w:r>
        <w:t>- **Revenue Growth**:</w:t>
      </w:r>
    </w:p>
    <w:p>
      <w:r>
        <w:t xml:space="preserve">  - MAT: 1.4%</w:t>
      </w:r>
    </w:p>
    <w:p>
      <w:r>
        <w:t xml:space="preserve">  - CCL: 5.7%</w:t>
      </w:r>
    </w:p>
    <w:p>
      <w:r>
        <w:t xml:space="preserve">  - VIAB: 3.2%</w:t>
      </w:r>
    </w:p>
    <w:p>
      <w:r>
        <w:t xml:space="preserve">  - VZ: 7.7%</w:t>
      </w:r>
    </w:p>
    <w:p>
      <w:r>
        <w:t xml:space="preserve">  - HRB: 9.3%</w:t>
      </w:r>
    </w:p>
    <w:p>
      <w:r>
        <w:t xml:space="preserve">  - SJM: 11.8%</w:t>
      </w:r>
    </w:p>
    <w:p>
      <w:r>
        <w:t xml:space="preserve">  - INTC: 21.2%</w:t>
      </w:r>
    </w:p>
    <w:p>
      <w:r>
        <w:t xml:space="preserve">  - LNC: 3.4%</w:t>
      </w:r>
    </w:p>
    <w:p>
      <w:r>
        <w:t xml:space="preserve">  - LLTC: 23.3%</w:t>
      </w:r>
    </w:p>
    <w:p>
      <w:r>
        <w:t xml:space="preserve">  - STZ: 27.5%</w:t>
      </w:r>
    </w:p>
    <w:p>
      <w:r>
        <w:t xml:space="preserve">  - PGN: 25.2%</w:t>
      </w:r>
    </w:p>
    <w:p>
      <w:r>
        <w:t xml:space="preserve">  - CNP: 2.2%</w:t>
      </w:r>
    </w:p>
    <w:p>
      <w:r>
        <w:t xml:space="preserve">  - GD: 6.3%</w:t>
      </w:r>
    </w:p>
    <w:p>
      <w:r>
        <w:t xml:space="preserve">  - LUV: 31.9%</w:t>
      </w:r>
    </w:p>
    <w:p>
      <w:r>
        <w:t xml:space="preserve">  - WMT: 5.9%</w:t>
      </w:r>
    </w:p>
    <w:p>
      <w:r>
        <w:t xml:space="preserve">  - CL: 4.9%</w:t>
      </w:r>
    </w:p>
    <w:p>
      <w:r>
        <w:t xml:space="preserve">  - HCP: 35.9%</w:t>
      </w:r>
    </w:p>
    <w:p>
      <w:r>
        <w:t xml:space="preserve">  - AAPL: 73.3%</w:t>
      </w:r>
    </w:p>
    <w:p>
      <w:r>
        <w:t xml:space="preserve">  - FLR: 18.7%</w:t>
      </w:r>
    </w:p>
    <w:p>
      <w:r>
        <w:t xml:space="preserve">  - SLE: 6.3%</w:t>
      </w:r>
    </w:p>
    <w:p>
      <w:r>
        <w:t xml:space="preserve">  - BFB: 11.8%</w:t>
      </w:r>
    </w:p>
    <w:p>
      <w:r>
        <w:t xml:space="preserve">  - EFX: 5.7%</w:t>
      </w:r>
    </w:p>
    <w:p>
      <w:r>
        <w:t xml:space="preserve">  - IBM: 1.6%</w:t>
      </w:r>
    </w:p>
    <w:p>
      <w:r>
        <w:t xml:space="preserve">  - BRCM: 6.6%</w:t>
      </w:r>
    </w:p>
    <w:p>
      <w:r>
        <w:t xml:space="preserve">  - BIIB: 8.8%</w:t>
      </w:r>
    </w:p>
    <w:p>
      <w:r>
        <w:t xml:space="preserve">  - ACN: 17.1%</w:t>
      </w:r>
    </w:p>
    <w:p>
      <w:r>
        <w:t xml:space="preserve">  - CAM: 12.3%</w:t>
      </w:r>
    </w:p>
    <w:p>
      <w:r>
        <w:t xml:space="preserve">  - SRE: 11.0%</w:t>
      </w:r>
    </w:p>
    <w:p>
      <w:r>
        <w:t xml:space="preserve">  - IVZ: 3.1%</w:t>
      </w:r>
    </w:p>
    <w:p>
      <w:r>
        <w:t xml:space="preserve">  - MWV: 0.1%</w:t>
      </w:r>
    </w:p>
    <w:p>
      <w:r>
        <w:t xml:space="preserve">  - ROP: 8.8%</w:t>
      </w:r>
    </w:p>
    <w:p>
      <w:r>
        <w:t xml:space="preserve">  - DELL: 2.2%</w:t>
      </w:r>
    </w:p>
    <w:p>
      <w:r>
        <w:t xml:space="preserve">  - MSI: 5.4%</w:t>
      </w:r>
    </w:p>
    <w:p>
      <w:r>
        <w:t xml:space="preserve">  - BSX: 7.7%</w:t>
      </w:r>
    </w:p>
    <w:p>
      <w:r>
        <w:t xml:space="preserve">  - TRIP: 12.2%</w:t>
      </w:r>
    </w:p>
    <w:p/>
    <w:p>
      <w:r>
        <w:t>- **Conclusion**:</w:t>
      </w:r>
    </w:p>
    <w:p>
      <w:r>
        <w:t xml:space="preserve">  - MAT has a moderate market cap and profit margin compared to competitors.</w:t>
      </w:r>
    </w:p>
    <w:p>
      <w:r>
        <w:t xml:space="preserve">  - Forward P/E ratio indicates it is relatively valued compared to some competitors.</w:t>
      </w:r>
    </w:p>
    <w:p>
      <w:r>
        <w:t xml:space="preserve">  - Revenue growth is lower than many competitors, suggesting potential challenges in expanding market share. </w:t>
      </w:r>
    </w:p>
    <w:p/>
    <w:p>
      <w:r>
        <w:t>Sources: [Chunk 0], [Chunk 1], [Chunk 2].</w:t>
      </w:r>
    </w:p>
    <w:p>
      <w:pPr>
        <w:pStyle w:val="Heading2"/>
      </w:pPr>
      <w:r>
        <w:t>Investment Thesis</w:t>
      </w:r>
    </w:p>
    <w:p>
      <w:r>
        <w:t>- **Diverse Sector Representation**: The report includes companies from various sectors, indicating a broad investment opportunity across industries such as technology (e.g., INTC, AAPL), consumer goods (e.g., SJM, PGN), and financial services (e.g., LNC, HRB).</w:t>
      </w:r>
    </w:p>
    <w:p>
      <w:r>
        <w:t xml:space="preserve">  </w:t>
      </w:r>
    </w:p>
    <w:p>
      <w:r>
        <w:t>- **Market Capitalization Insights**: Companies like AAPL and VZ have significant market capitalizations (over $100 billion), suggesting stability and established market presence, while smaller companies like HRB and MAT may offer higher growth potential but with increased risk [Chunk 0].</w:t>
      </w:r>
    </w:p>
    <w:p/>
    <w:p>
      <w:r>
        <w:t xml:space="preserve">- **Valuation Metrics**: </w:t>
      </w:r>
    </w:p>
    <w:p>
      <w:r>
        <w:t xml:space="preserve">  - **Price-to-Earnings Ratios**: Companies like CCL and VIAB have lower trailing P/E ratios (12.79 and 16.18, respectively), which may indicate undervaluation compared to their earnings potential, while others like LNC and PGN have higher ratios (26.17 and 27.6), suggesting they may be overvalued or have high growth expectations [Chunk 0].</w:t>
      </w:r>
    </w:p>
    <w:p>
      <w:r>
        <w:t xml:space="preserve">  - **Forward P/E Ratios**: The forward P/E ratios for many companies (e.g., CCL at 11.95) suggest potential for earnings growth, making them attractive for future investment [Chunk 0].</w:t>
      </w:r>
    </w:p>
    <w:p/>
    <w:p>
      <w:r>
        <w:t>- **Profit Margins**: Companies like STZ and HCP exhibit high profit margins (22.68% and 31.23%, respectively), indicating efficient operations and strong pricing power, which could lead to better returns for investors [Chunk 1].</w:t>
      </w:r>
    </w:p>
    <w:p/>
    <w:p>
      <w:r>
        <w:t>- **Revenue Growth**: High revenue growth rates, such as those seen in INTC (21.2%) and LUV (31.9%), suggest these companies are expanding their market share and could provide significant returns [Chunk 0].</w:t>
      </w:r>
    </w:p>
    <w:p/>
    <w:p>
      <w:r>
        <w:t>- **Debt Levels**: Companies like VZ and CCL have substantial debt levels (over $50 billion), which could pose risks in economic downturns, while others like STZ and SJM maintain lower debt levels, indicating potentially lower financial risk [Chunk 0].</w:t>
      </w:r>
    </w:p>
    <w:p/>
    <w:p>
      <w:r>
        <w:t>- **Cash Reserves**: Companies with strong cash positions, such as AAPL with over $30 billion, are better positioned to weather economic challenges and invest in growth opportunities [Chunk 1].</w:t>
      </w:r>
    </w:p>
    <w:p/>
    <w:p>
      <w:r>
        <w:t>- **Investment Strategy**: A balanced approach could be beneficial, focusing on a mix of high-growth potential stocks (e.g., INTC, LUV) and stable, dividend-paying companies (e.g., PGN, VZ) to mitigate risk while capitalizing on growth opportunities.</w:t>
      </w:r>
    </w:p>
    <w:p/>
    <w:p>
      <w:r>
        <w:t>- **Overall Recommendation**: Investors should consider diversifying their portfolios with a mix of high-growth and stable companies, paying close attention to valuation metrics, profit margins, and debt levels to optimize returns while managing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