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5B6" w:sz="12"/>
        </w:pBdr>
        <w:shd w:fill="1A3C5E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br/>
        <w:t xml:space="preserve">RISK REGISTER &amp; MITIGATION PLAN</w:t>
      </w:r>
      <w:r>
        <w:rPr>
          <w:rFonts w:ascii="Arial" w:cs="Arial" w:eastAsia="Arial" w:hAnsi="Arial"/>
          <w:color w:val="A8C8E8"/>
          <w:sz w:val="26"/>
          <w:szCs w:val="26"/>
        </w:rPr>
        <w:br/>
        <w:t xml:space="preserve">Online Clothing Store – StyleNest</w:t>
      </w:r>
      <w:r>
        <w:rPr>
          <w:rFonts w:ascii="Arial" w:cs="Arial" w:eastAsia="Arial" w:hAnsi="Arial"/>
          <w:color w:val="D6E4F0"/>
          <w:sz w:val="20"/>
          <w:szCs w:val="20"/>
        </w:rPr>
        <w:br/>
        <w:t xml:space="preserve">Version 1.0  |  April 18, 2026</w:t>
      </w:r>
      <w:r>
        <w:rPr>
          <w:rFonts w:ascii="Arial" w:cs="Arial" w:eastAsia="Arial" w:hAnsi="Arial"/>
          <w:sz w:val="14"/>
          <w:szCs w:val="14"/>
        </w:rPr>
        <w:br/>
        <w:t xml:space="preserve"> </w:t>
      </w:r>
    </w:p>
    <w:p>
      <w:pPr>
        <w:spacing w:after="80" w:before="200"/>
      </w:pP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Risk Management Approach</w:t>
      </w:r>
    </w:p>
    <w:p>
      <w:pPr>
        <w:pBdr>
          <w:bottom w:val="single" w:color="2E75B6" w:sz="8" w:space="1"/>
        </w:pBdr>
        <w:spacing w:after="0" w:before="0"/>
      </w:pP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This Risk Register identifies potential threats to the successful launch of StyleNest and documents agreed mitigation strategies for each. Risks are assessed on two dimensions — Likelihood (probability of occurrence) and Impact (severity if it occurs) — and assigned a composite Risk Level to prioritise management attention.</w:t>
      </w:r>
    </w:p>
    <w:p>
      <w:pPr>
        <w:spacing w:after="60" w:before="12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CRITICAL  (H×H)</w:t>
            </w:r>
          </w:p>
        </w:tc>
        <w:tc>
          <w:tcPr>
            <w:tcW w:type="dxa" w:w="261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HIGH  (H×M or M×H)</w:t>
            </w:r>
          </w:p>
        </w:tc>
        <w:tc>
          <w:tcPr>
            <w:tcW w:type="dxa" w:w="261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MEDIUM  (M×M or L×H)</w:t>
            </w:r>
          </w:p>
        </w:tc>
        <w:tc>
          <w:tcPr>
            <w:tcW w:type="dxa" w:w="261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LOW  (L×L or L×M)</w:t>
            </w:r>
          </w:p>
        </w:tc>
      </w:tr>
    </w:tbl>
    <w:p>
      <w:pPr>
        <w:spacing w:after="80" w:before="200"/>
      </w:pP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Risk Register</w:t>
      </w:r>
    </w:p>
    <w:p>
      <w:pPr>
        <w:pBdr>
          <w:bottom w:val="single" w:color="2E75B6" w:sz="8" w:space="1"/>
        </w:pBdr>
        <w:spacing w:after="0" w:before="0"/>
      </w:pPr>
    </w:p>
    <w:p>
      <w:pPr>
        <w:spacing w:after="60" w:before="12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000"/>
        <w:gridCol w:w="600"/>
        <w:gridCol w:w="600"/>
        <w:gridCol w:w="800"/>
        <w:gridCol w:w="3400"/>
        <w:gridCol w:w="1080"/>
      </w:tblGrid>
      <w:tr>
        <w:trPr>
          <w:tblHeader/>
        </w:trP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Description</w:t>
            </w:r>
          </w:p>
        </w:tc>
        <w:tc>
          <w:tcPr>
            <w:tcW w:type="dxa" w:w="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Like.</w:t>
            </w:r>
          </w:p>
        </w:tc>
        <w:tc>
          <w:tcPr>
            <w:tcW w:type="dxa" w:w="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3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 Strategy</w:t>
            </w:r>
          </w:p>
        </w:tc>
        <w:tc>
          <w:tcPr>
            <w:tcW w:type="dxa" w:w="10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gridSpan w:val="8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TECHNOLOGY RISKS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T-01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Platform development delays causing missed go-live date</w:t>
            </w:r>
          </w:p>
        </w:tc>
        <w:tc>
          <w:tcPr>
            <w:tcW w:type="dxa" w:w="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EB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H</w:t>
            </w:r>
          </w:p>
        </w:tc>
        <w:tc>
          <w:tcPr>
            <w:tcW w:type="dxa" w:w="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EB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H</w:t>
            </w:r>
          </w:p>
        </w:tc>
        <w:tc>
          <w:tcPr>
            <w:tcW w:type="dxa" w:w="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EB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CRITICAL</w:t>
            </w:r>
          </w:p>
        </w:tc>
        <w:tc>
          <w:tcPr>
            <w:tcW w:type="dxa" w:w="3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Build in 2-week buffer; adopt agile sprints; weekly PM–CTO check-ins; consider phased feature release if needed.</w:t>
            </w:r>
          </w:p>
        </w:tc>
        <w:tc>
          <w:tcPr>
            <w:tcW w:type="dxa" w:w="10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CTO / PM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T-02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Payment gateway integration failures at launch</w:t>
            </w:r>
          </w:p>
        </w:tc>
        <w:tc>
          <w:tcPr>
            <w:tcW w:type="dxa" w:w="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M</w:t>
            </w:r>
          </w:p>
        </w:tc>
        <w:tc>
          <w:tcPr>
            <w:tcW w:type="dxa" w:w="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M</w:t>
            </w:r>
          </w:p>
        </w:tc>
        <w:tc>
          <w:tcPr>
            <w:tcW w:type="dxa" w:w="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3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Integrate and certify with 2 gateways (Razorpay + PayU) for redundancy; conduct load testing pre-launch.</w:t>
            </w:r>
          </w:p>
        </w:tc>
        <w:tc>
          <w:tcPr>
            <w:tcW w:type="dxa" w:w="10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CTO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T-03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Website downtime or performance issues on launch day</w:t>
            </w:r>
          </w:p>
        </w:tc>
        <w:tc>
          <w:tcPr>
            <w:tcW w:type="dxa" w:w="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M</w:t>
            </w:r>
          </w:p>
        </w:tc>
        <w:tc>
          <w:tcPr>
            <w:tcW w:type="dxa" w:w="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M</w:t>
            </w:r>
          </w:p>
        </w:tc>
        <w:tc>
          <w:tcPr>
            <w:tcW w:type="dxa" w:w="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3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Use auto-scaling cloud infrastructure; set up CDN; run load tests simulating 5× expected traffic; have on-call dev team.</w:t>
            </w:r>
          </w:p>
        </w:tc>
        <w:tc>
          <w:tcPr>
            <w:tcW w:type="dxa" w:w="10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CTO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T-04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Data breach or customer data security vulnerability</w:t>
            </w:r>
          </w:p>
        </w:tc>
        <w:tc>
          <w:tcPr>
            <w:tcW w:type="dxa" w:w="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L</w:t>
            </w:r>
          </w:p>
        </w:tc>
        <w:tc>
          <w:tcPr>
            <w:tcW w:type="dxa" w:w="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EB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H</w:t>
            </w:r>
          </w:p>
        </w:tc>
        <w:tc>
          <w:tcPr>
            <w:tcW w:type="dxa" w:w="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3F2F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MEDIUM</w:t>
            </w:r>
          </w:p>
        </w:tc>
        <w:tc>
          <w:tcPr>
            <w:tcW w:type="dxa" w:w="3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Implement SSL, PCI-DSS compliance, encrypted databases, regular pen-testing; appoint data protection officer.</w:t>
            </w:r>
          </w:p>
        </w:tc>
        <w:tc>
          <w:tcPr>
            <w:tcW w:type="dxa" w:w="10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CTO / Legal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T-05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Third-party API dependencies (logistics, WMS) failing</w:t>
            </w:r>
          </w:p>
        </w:tc>
        <w:tc>
          <w:tcPr>
            <w:tcW w:type="dxa" w:w="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M</w:t>
            </w:r>
          </w:p>
        </w:tc>
        <w:tc>
          <w:tcPr>
            <w:tcW w:type="dxa" w:w="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M</w:t>
            </w:r>
          </w:p>
        </w:tc>
        <w:tc>
          <w:tcPr>
            <w:tcW w:type="dxa" w:w="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3F2F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MEDIUM</w:t>
            </w:r>
          </w:p>
        </w:tc>
        <w:tc>
          <w:tcPr>
            <w:tcW w:type="dxa" w:w="3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Build API fallback/retry logic; negotiate SLAs with all vendors; test integrations 4 weeks before launch.</w:t>
            </w:r>
          </w:p>
        </w:tc>
        <w:tc>
          <w:tcPr>
            <w:tcW w:type="dxa" w:w="10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CTO / Ops</w:t>
            </w:r>
          </w:p>
        </w:tc>
      </w:tr>
      <w:tr>
        <w:tc>
          <w:tcPr>
            <w:gridSpan w:val="8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COMMERCIAL &amp; FINANCIAL RISKS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C-01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Budget overrun exceeding approved ₹50L ceiling</w:t>
            </w:r>
          </w:p>
        </w:tc>
        <w:tc>
          <w:tcPr>
            <w:tcW w:type="dxa" w:w="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M</w:t>
            </w:r>
          </w:p>
        </w:tc>
        <w:tc>
          <w:tcPr>
            <w:tcW w:type="dxa" w:w="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EB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H</w:t>
            </w:r>
          </w:p>
        </w:tc>
        <w:tc>
          <w:tcPr>
            <w:tcW w:type="dxa" w:w="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3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Monthly budget reviews; enforce change control for scope additions; maintain 10% contingency reserve; weekly finance sign-off.</w:t>
            </w:r>
          </w:p>
        </w:tc>
        <w:tc>
          <w:tcPr>
            <w:tcW w:type="dxa" w:w="10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Finance / PM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C-02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Insufficient customer acquisition – missing 5,000 user target</w:t>
            </w:r>
          </w:p>
        </w:tc>
        <w:tc>
          <w:tcPr>
            <w:tcW w:type="dxa" w:w="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M</w:t>
            </w:r>
          </w:p>
        </w:tc>
        <w:tc>
          <w:tcPr>
            <w:tcW w:type="dxa" w:w="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EB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H</w:t>
            </w:r>
          </w:p>
        </w:tc>
        <w:tc>
          <w:tcPr>
            <w:tcW w:type="dxa" w:w="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3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Launch waitlist 8 weeks pre-go-live; invest in SEO from Day 1; influencer seeding; referral programme at launch.</w:t>
            </w:r>
          </w:p>
        </w:tc>
        <w:tc>
          <w:tcPr>
            <w:tcW w:type="dxa" w:w="10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Marketing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C-03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Pricing uncompetitive vs. established players (Myntra, Ajio)</w:t>
            </w:r>
          </w:p>
        </w:tc>
        <w:tc>
          <w:tcPr>
            <w:tcW w:type="dxa" w:w="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M</w:t>
            </w:r>
          </w:p>
        </w:tc>
        <w:tc>
          <w:tcPr>
            <w:tcW w:type="dxa" w:w="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M</w:t>
            </w:r>
          </w:p>
        </w:tc>
        <w:tc>
          <w:tcPr>
            <w:tcW w:type="dxa" w:w="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3F2F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MEDIUM</w:t>
            </w:r>
          </w:p>
        </w:tc>
        <w:tc>
          <w:tcPr>
            <w:tcW w:type="dxa" w:w="3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Conduct quarterly competitor pricing audits; differentiate on curation + sustainability rather than price alone.</w:t>
            </w:r>
          </w:p>
        </w:tc>
        <w:tc>
          <w:tcPr>
            <w:tcW w:type="dxa" w:w="10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Marketing / PM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C-04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Low conversion rate on website (below 2%)</w:t>
            </w:r>
          </w:p>
        </w:tc>
        <w:tc>
          <w:tcPr>
            <w:tcW w:type="dxa" w:w="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M</w:t>
            </w:r>
          </w:p>
        </w:tc>
        <w:tc>
          <w:tcPr>
            <w:tcW w:type="dxa" w:w="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M</w:t>
            </w:r>
          </w:p>
        </w:tc>
        <w:tc>
          <w:tcPr>
            <w:tcW w:type="dxa" w:w="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3F2F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MEDIUM</w:t>
            </w:r>
          </w:p>
        </w:tc>
        <w:tc>
          <w:tcPr>
            <w:tcW w:type="dxa" w:w="3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A/B test landing pages and CTAs during beta; simplify checkout to &lt;4 steps; offer guest checkout; live chat support.</w:t>
            </w:r>
          </w:p>
        </w:tc>
        <w:tc>
          <w:tcPr>
            <w:tcW w:type="dxa" w:w="10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Marketing / CTO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C-05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High product return rate (&gt;25%) impacting margins</w:t>
            </w:r>
          </w:p>
        </w:tc>
        <w:tc>
          <w:tcPr>
            <w:tcW w:type="dxa" w:w="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M</w:t>
            </w:r>
          </w:p>
        </w:tc>
        <w:tc>
          <w:tcPr>
            <w:tcW w:type="dxa" w:w="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EB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H</w:t>
            </w:r>
          </w:p>
        </w:tc>
        <w:tc>
          <w:tcPr>
            <w:tcW w:type="dxa" w:w="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3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Provide accurate size guides + fit videos; enforce supplier QC audits; analyse return reasons weekly and act fast.</w:t>
            </w:r>
          </w:p>
        </w:tc>
        <w:tc>
          <w:tcPr>
            <w:tcW w:type="dxa" w:w="10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Operations</w:t>
            </w:r>
          </w:p>
        </w:tc>
      </w:tr>
      <w:tr>
        <w:tc>
          <w:tcPr>
            <w:gridSpan w:val="8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SUPPLY CHAIN &amp; OPERATIONS RISKS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O-01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Supplier delays causing stockouts at launch</w:t>
            </w:r>
          </w:p>
        </w:tc>
        <w:tc>
          <w:tcPr>
            <w:tcW w:type="dxa" w:w="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M</w:t>
            </w:r>
          </w:p>
        </w:tc>
        <w:tc>
          <w:tcPr>
            <w:tcW w:type="dxa" w:w="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EB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H</w:t>
            </w:r>
          </w:p>
        </w:tc>
        <w:tc>
          <w:tcPr>
            <w:tcW w:type="dxa" w:w="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3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Lock in supplier contracts 3 months early; carry 20% safety stock above forecast; identify 2 backup suppliers per category.</w:t>
            </w:r>
          </w:p>
        </w:tc>
        <w:tc>
          <w:tcPr>
            <w:tcW w:type="dxa" w:w="10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Operations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O-02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Logistics partner unable to meet 48-hr fulfilment SLA</w:t>
            </w:r>
          </w:p>
        </w:tc>
        <w:tc>
          <w:tcPr>
            <w:tcW w:type="dxa" w:w="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M</w:t>
            </w:r>
          </w:p>
        </w:tc>
        <w:tc>
          <w:tcPr>
            <w:tcW w:type="dxa" w:w="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EB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H</w:t>
            </w:r>
          </w:p>
        </w:tc>
        <w:tc>
          <w:tcPr>
            <w:tcW w:type="dxa" w:w="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3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Onboard 2 logistics partners (primary + backup); SLA penalties in contracts; monitor TAT dashboard daily.</w:t>
            </w:r>
          </w:p>
        </w:tc>
        <w:tc>
          <w:tcPr>
            <w:tcW w:type="dxa" w:w="10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Operations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O-03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Warehouse capacity insufficient for festive season surge</w:t>
            </w:r>
          </w:p>
        </w:tc>
        <w:tc>
          <w:tcPr>
            <w:tcW w:type="dxa" w:w="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L</w:t>
            </w:r>
          </w:p>
        </w:tc>
        <w:tc>
          <w:tcPr>
            <w:tcW w:type="dxa" w:w="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M</w:t>
            </w:r>
          </w:p>
        </w:tc>
        <w:tc>
          <w:tcPr>
            <w:tcW w:type="dxa" w:w="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LOW</w:t>
            </w:r>
          </w:p>
        </w:tc>
        <w:tc>
          <w:tcPr>
            <w:tcW w:type="dxa" w:w="3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Book flexible warehouse space with 30% headroom; hire seasonal staff 3 weeks before Diwali peak.</w:t>
            </w:r>
          </w:p>
        </w:tc>
        <w:tc>
          <w:tcPr>
            <w:tcW w:type="dxa" w:w="10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Operations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O-04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Counterfeit / quality inconsistency in products</w:t>
            </w:r>
          </w:p>
        </w:tc>
        <w:tc>
          <w:tcPr>
            <w:tcW w:type="dxa" w:w="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L</w:t>
            </w:r>
          </w:p>
        </w:tc>
        <w:tc>
          <w:tcPr>
            <w:tcW w:type="dxa" w:w="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EB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H</w:t>
            </w:r>
          </w:p>
        </w:tc>
        <w:tc>
          <w:tcPr>
            <w:tcW w:type="dxa" w:w="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3F2F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MEDIUM</w:t>
            </w:r>
          </w:p>
        </w:tc>
        <w:tc>
          <w:tcPr>
            <w:tcW w:type="dxa" w:w="3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Implement incoming goods QC process; reject-and-return policy; periodic factory audits for key suppliers.</w:t>
            </w:r>
          </w:p>
        </w:tc>
        <w:tc>
          <w:tcPr>
            <w:tcW w:type="dxa" w:w="10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Operations</w:t>
            </w:r>
          </w:p>
        </w:tc>
      </w:tr>
      <w:tr>
        <w:tc>
          <w:tcPr>
            <w:gridSpan w:val="8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MARKETING &amp; BRAND RISKS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M-01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Brand identity fails to resonate with target Gen Z audience</w:t>
            </w:r>
          </w:p>
        </w:tc>
        <w:tc>
          <w:tcPr>
            <w:tcW w:type="dxa" w:w="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M</w:t>
            </w:r>
          </w:p>
        </w:tc>
        <w:tc>
          <w:tcPr>
            <w:tcW w:type="dxa" w:w="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EB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H</w:t>
            </w:r>
          </w:p>
        </w:tc>
        <w:tc>
          <w:tcPr>
            <w:tcW w:type="dxa" w:w="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3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Conduct user research &amp; focus groups in Phase 1; A/B test brand concepts; engage Gen Z social media panel pre-launch.</w:t>
            </w:r>
          </w:p>
        </w:tc>
        <w:tc>
          <w:tcPr>
            <w:tcW w:type="dxa" w:w="10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Marketing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M-02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Negative social media reviews / PR crisis post-launch</w:t>
            </w:r>
          </w:p>
        </w:tc>
        <w:tc>
          <w:tcPr>
            <w:tcW w:type="dxa" w:w="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L</w:t>
            </w:r>
          </w:p>
        </w:tc>
        <w:tc>
          <w:tcPr>
            <w:tcW w:type="dxa" w:w="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EB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H</w:t>
            </w:r>
          </w:p>
        </w:tc>
        <w:tc>
          <w:tcPr>
            <w:tcW w:type="dxa" w:w="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3F2F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MEDIUM</w:t>
            </w:r>
          </w:p>
        </w:tc>
        <w:tc>
          <w:tcPr>
            <w:tcW w:type="dxa" w:w="3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Establish social listening tools; prepare crisis comms playbook; designate PR spokesperson; 4-hour response SLA.</w:t>
            </w:r>
          </w:p>
        </w:tc>
        <w:tc>
          <w:tcPr>
            <w:tcW w:type="dxa" w:w="10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Marketing / CEO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M-03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Digital advertising CPCs higher than budgeted</w:t>
            </w:r>
          </w:p>
        </w:tc>
        <w:tc>
          <w:tcPr>
            <w:tcW w:type="dxa" w:w="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M</w:t>
            </w:r>
          </w:p>
        </w:tc>
        <w:tc>
          <w:tcPr>
            <w:tcW w:type="dxa" w:w="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M</w:t>
            </w:r>
          </w:p>
        </w:tc>
        <w:tc>
          <w:tcPr>
            <w:tcW w:type="dxa" w:w="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3F2F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MEDIUM</w:t>
            </w:r>
          </w:p>
        </w:tc>
        <w:tc>
          <w:tcPr>
            <w:tcW w:type="dxa" w:w="3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Diversify acquisition channels (SEO, email, influencers); set ROAS floor on paid campaigns; reallocate budget if needed.</w:t>
            </w:r>
          </w:p>
        </w:tc>
        <w:tc>
          <w:tcPr>
            <w:tcW w:type="dxa" w:w="10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Marketing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M-04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SEO rankings take longer than 3 months to build</w:t>
            </w:r>
          </w:p>
        </w:tc>
        <w:tc>
          <w:tcPr>
            <w:tcW w:type="dxa" w:w="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EB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H</w:t>
            </w:r>
          </w:p>
        </w:tc>
        <w:tc>
          <w:tcPr>
            <w:tcW w:type="dxa" w:w="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M</w:t>
            </w:r>
          </w:p>
        </w:tc>
        <w:tc>
          <w:tcPr>
            <w:tcW w:type="dxa" w:w="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3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Start SEO content 3 months before launch; build backlinks via PR; target long-tail keywords for early wins.</w:t>
            </w:r>
          </w:p>
        </w:tc>
        <w:tc>
          <w:tcPr>
            <w:tcW w:type="dxa" w:w="10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Marketing</w:t>
            </w:r>
          </w:p>
        </w:tc>
      </w:tr>
      <w:tr>
        <w:tc>
          <w:tcPr>
            <w:gridSpan w:val="8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LEGAL &amp; COMPLIANCE RISKS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L-01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GST / tax compliance failures leading to penalties</w:t>
            </w:r>
          </w:p>
        </w:tc>
        <w:tc>
          <w:tcPr>
            <w:tcW w:type="dxa" w:w="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L</w:t>
            </w:r>
          </w:p>
        </w:tc>
        <w:tc>
          <w:tcPr>
            <w:tcW w:type="dxa" w:w="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EB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H</w:t>
            </w:r>
          </w:p>
        </w:tc>
        <w:tc>
          <w:tcPr>
            <w:tcW w:type="dxa" w:w="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3F2F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MEDIUM</w:t>
            </w:r>
          </w:p>
        </w:tc>
        <w:tc>
          <w:tcPr>
            <w:tcW w:type="dxa" w:w="3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Engage GST consultant from Day 1; automate GST calculation in checkout; schedule quarterly compliance audits.</w:t>
            </w:r>
          </w:p>
        </w:tc>
        <w:tc>
          <w:tcPr>
            <w:tcW w:type="dxa" w:w="10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Finance / Legal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L-02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Data privacy violation (DPDP Act 2023 breach)</w:t>
            </w:r>
          </w:p>
        </w:tc>
        <w:tc>
          <w:tcPr>
            <w:tcW w:type="dxa" w:w="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L</w:t>
            </w:r>
          </w:p>
        </w:tc>
        <w:tc>
          <w:tcPr>
            <w:tcW w:type="dxa" w:w="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EB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H</w:t>
            </w:r>
          </w:p>
        </w:tc>
        <w:tc>
          <w:tcPr>
            <w:tcW w:type="dxa" w:w="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3F2F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MEDIUM</w:t>
            </w:r>
          </w:p>
        </w:tc>
        <w:tc>
          <w:tcPr>
            <w:tcW w:type="dxa" w:w="3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Appoint Data Protection Officer; publish privacy policy; obtain explicit consent; conduct annual privacy impact assessments.</w:t>
            </w:r>
          </w:p>
        </w:tc>
        <w:tc>
          <w:tcPr>
            <w:tcW w:type="dxa" w:w="10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Legal / CTO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L-03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IP infringement claim on brand name or designs</w:t>
            </w:r>
          </w:p>
        </w:tc>
        <w:tc>
          <w:tcPr>
            <w:tcW w:type="dxa" w:w="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L</w:t>
            </w:r>
          </w:p>
        </w:tc>
        <w:tc>
          <w:tcPr>
            <w:tcW w:type="dxa" w:w="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M</w:t>
            </w:r>
          </w:p>
        </w:tc>
        <w:tc>
          <w:tcPr>
            <w:tcW w:type="dxa" w:w="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LOW</w:t>
            </w:r>
          </w:p>
        </w:tc>
        <w:tc>
          <w:tcPr>
            <w:tcW w:type="dxa" w:w="3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Conduct IP clearance search before brand finalisation; register trademark in Classes 25 &amp; 35 immediately.</w:t>
            </w:r>
          </w:p>
        </w:tc>
        <w:tc>
          <w:tcPr>
            <w:tcW w:type="dxa" w:w="10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Legal</w:t>
            </w:r>
          </w:p>
        </w:tc>
      </w:tr>
      <w:tr>
        <w:tc>
          <w:tcPr>
            <w:gridSpan w:val="8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PEOPLE &amp; ORGANISATIONAL RISKS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P-01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Key hire (Tech Lead / Marketing Head) not joining on time</w:t>
            </w:r>
          </w:p>
        </w:tc>
        <w:tc>
          <w:tcPr>
            <w:tcW w:type="dxa" w:w="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M</w:t>
            </w:r>
          </w:p>
        </w:tc>
        <w:tc>
          <w:tcPr>
            <w:tcW w:type="dxa" w:w="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EB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H</w:t>
            </w:r>
          </w:p>
        </w:tc>
        <w:tc>
          <w:tcPr>
            <w:tcW w:type="dxa" w:w="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3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Begin hiring 2 months before project start; use specialist recruiters; have interim consultants as fallback.</w:t>
            </w:r>
          </w:p>
        </w:tc>
        <w:tc>
          <w:tcPr>
            <w:tcW w:type="dxa" w:w="10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HR / CEO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P-02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Scope creep expanding project beyond original charter</w:t>
            </w:r>
          </w:p>
        </w:tc>
        <w:tc>
          <w:tcPr>
            <w:tcW w:type="dxa" w:w="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EB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H</w:t>
            </w:r>
          </w:p>
        </w:tc>
        <w:tc>
          <w:tcPr>
            <w:tcW w:type="dxa" w:w="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M</w:t>
            </w:r>
          </w:p>
        </w:tc>
        <w:tc>
          <w:tcPr>
            <w:tcW w:type="dxa" w:w="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3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Enforce formal change request process; all scope changes require PM + Sponsor approval; defer non-critical features to Phase 2.</w:t>
            </w:r>
          </w:p>
        </w:tc>
        <w:tc>
          <w:tcPr>
            <w:tcW w:type="dxa" w:w="10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PM / Sponsor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P-03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Key team member departure during critical phase</w:t>
            </w:r>
          </w:p>
        </w:tc>
        <w:tc>
          <w:tcPr>
            <w:tcW w:type="dxa" w:w="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L</w:t>
            </w:r>
          </w:p>
        </w:tc>
        <w:tc>
          <w:tcPr>
            <w:tcW w:type="dxa" w:w="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EB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H</w:t>
            </w:r>
          </w:p>
        </w:tc>
        <w:tc>
          <w:tcPr>
            <w:tcW w:type="dxa" w:w="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3F2F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MEDIUM</w:t>
            </w:r>
          </w:p>
        </w:tc>
        <w:tc>
          <w:tcPr>
            <w:tcW w:type="dxa" w:w="3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Maintain knowledge documentation for all critical tasks; cross-train team members; competitive retention package.</w:t>
            </w:r>
          </w:p>
        </w:tc>
        <w:tc>
          <w:tcPr>
            <w:tcW w:type="dxa" w:w="10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HR / PM</w:t>
            </w:r>
          </w:p>
        </w:tc>
      </w:tr>
    </w:tbl>
    <w:p>
      <w:pPr>
        <w:spacing w:after="80" w:before="280"/>
      </w:pP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Risk Summary Dashboard</w:t>
      </w:r>
    </w:p>
    <w:p>
      <w:pPr>
        <w:pBdr>
          <w:bottom w:val="single" w:color="2E75B6" w:sz="8" w:space="1"/>
        </w:pBdr>
        <w:spacing w:after="0" w:before="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1560"/>
        <w:gridCol w:w="1560"/>
        <w:gridCol w:w="4710"/>
      </w:tblGrid>
      <w:tr>
        <w:trPr>
          <w:tblHeader/>
        </w:trPr>
        <w:tc>
          <w:tcPr>
            <w:tcW w:type="dxa" w:w="261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  <w:tc>
          <w:tcPr>
            <w:tcW w:type="dxa" w:w="1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1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Total</w:t>
            </w:r>
          </w:p>
        </w:tc>
        <w:tc>
          <w:tcPr>
            <w:tcW w:type="dxa" w:w="471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Categories Affected</w:t>
            </w:r>
          </w:p>
        </w:tc>
      </w:tr>
      <w:tr>
        <w:tc>
          <w:tcPr>
            <w:tcW w:type="dxa" w:w="261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CRITICAL</w:t>
            </w:r>
          </w:p>
        </w:tc>
        <w:tc>
          <w:tcPr>
            <w:tcW w:type="dxa" w:w="1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EB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1</w:t>
            </w:r>
          </w:p>
        </w:tc>
        <w:tc>
          <w:tcPr>
            <w:tcW w:type="dxa" w:w="1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EB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71C1C"/>
                <w:sz w:val="22"/>
                <w:szCs w:val="22"/>
              </w:rPr>
              <w:t xml:space="preserve">4%</w:t>
            </w:r>
          </w:p>
        </w:tc>
        <w:tc>
          <w:tcPr>
            <w:tcW w:type="dxa" w:w="471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22"/>
                <w:szCs w:val="22"/>
              </w:rPr>
              <w:t xml:space="preserve">Technology (platform delay)</w:t>
            </w:r>
          </w:p>
        </w:tc>
      </w:tr>
      <w:tr>
        <w:tc>
          <w:tcPr>
            <w:tcW w:type="dxa" w:w="261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12</w:t>
            </w:r>
          </w:p>
        </w:tc>
        <w:tc>
          <w:tcPr>
            <w:tcW w:type="dxa" w:w="1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22"/>
                <w:szCs w:val="22"/>
              </w:rPr>
              <w:t xml:space="preserve">48%</w:t>
            </w:r>
          </w:p>
        </w:tc>
        <w:tc>
          <w:tcPr>
            <w:tcW w:type="dxa" w:w="471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5100"/>
                <w:sz w:val="22"/>
                <w:szCs w:val="22"/>
              </w:rPr>
              <w:t xml:space="preserve">Commercial, Supply Chain, People, Marketing</w:t>
            </w:r>
          </w:p>
        </w:tc>
      </w:tr>
      <w:tr>
        <w:tc>
          <w:tcPr>
            <w:tcW w:type="dxa" w:w="261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3F2F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9</w:t>
            </w:r>
          </w:p>
        </w:tc>
        <w:tc>
          <w:tcPr>
            <w:tcW w:type="dxa" w:w="1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3F2F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47A1"/>
                <w:sz w:val="22"/>
                <w:szCs w:val="22"/>
              </w:rPr>
              <w:t xml:space="preserve">36%</w:t>
            </w:r>
          </w:p>
        </w:tc>
        <w:tc>
          <w:tcPr>
            <w:tcW w:type="dxa" w:w="471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47A1"/>
                <w:sz w:val="22"/>
                <w:szCs w:val="22"/>
              </w:rPr>
              <w:t xml:space="preserve">Technology, Legal, Marketing, People</w:t>
            </w:r>
          </w:p>
        </w:tc>
      </w:tr>
      <w:tr>
        <w:tc>
          <w:tcPr>
            <w:tcW w:type="dxa" w:w="261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3</w:t>
            </w:r>
          </w:p>
        </w:tc>
        <w:tc>
          <w:tcPr>
            <w:tcW w:type="dxa" w:w="1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5E20"/>
                <w:sz w:val="22"/>
                <w:szCs w:val="22"/>
              </w:rPr>
              <w:t xml:space="preserve">12%</w:t>
            </w:r>
          </w:p>
        </w:tc>
        <w:tc>
          <w:tcPr>
            <w:tcW w:type="dxa" w:w="471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2"/>
                <w:szCs w:val="22"/>
              </w:rPr>
              <w:t xml:space="preserve">Operations, Legal</w:t>
            </w:r>
          </w:p>
        </w:tc>
      </w:tr>
    </w:tbl>
    <w:p>
      <w:pPr>
        <w:spacing w:before="200"/>
      </w:pPr>
    </w:p>
    <w:sectPr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320"/>
      <w:outlineLvl w:val="0"/>
    </w:pPr>
    <w:rPr>
      <w:rFonts w:ascii="Arial" w:cs="Arial" w:eastAsia="Arial" w:hAnsi="Arial"/>
      <w:b/>
      <w:bCs/>
      <w:color w:val="1A3C5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2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2026-04-18T12:49:35.319Z</dcterms:created>
  <dcterms:modified xsi:type="dcterms:W3CDTF">2026-04-18T12:49:35.320Z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