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F9" w:rsidRDefault="002D3F24">
      <w:pPr>
        <w:pStyle w:val="a0"/>
        <w:jc w:val="right"/>
        <w:rPr>
          <w:rFonts w:ascii="Times New Roman" w:hAnsi="Times New Roman"/>
          <w:b/>
          <w:bCs/>
          <w:sz w:val="26"/>
          <w:szCs w:val="26"/>
          <w:lang w:val="uz-Cyrl-UZ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6"/>
          <w:szCs w:val="26"/>
          <w:lang w:val="uz-Cyrl-UZ"/>
        </w:rPr>
        <w:t>Илова №1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9"/>
        <w:gridCol w:w="5053"/>
      </w:tblGrid>
      <w:tr w:rsidR="000C4BF9" w:rsidRPr="002D3F24">
        <w:tc>
          <w:tcPr>
            <w:tcW w:w="9971" w:type="dxa"/>
            <w:gridSpan w:val="2"/>
            <w:shd w:val="clear" w:color="auto" w:fill="FFFFFF"/>
          </w:tcPr>
          <w:p w:rsidR="000C4BF9" w:rsidRPr="002D3F24" w:rsidRDefault="002D3F24">
            <w:pPr>
              <w:pStyle w:val="TableContents"/>
              <w:jc w:val="center"/>
              <w:rPr>
                <w:lang w:val="uz-Cyrl-UZ"/>
              </w:rPr>
            </w:pPr>
            <w:r w:rsidRPr="002D3F24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Cyrl-UZ"/>
              </w:rPr>
              <w:t>«</w:t>
            </w:r>
            <w:r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Latn-UZ"/>
              </w:rPr>
              <w:t>Ohangaron Tech Industrial</w:t>
            </w:r>
            <w:r w:rsidRPr="002D3F24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»  </w:t>
            </w:r>
            <w:r w:rsidRPr="002D3F24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технопарки </w:t>
            </w:r>
            <w:r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Cyrl-UZ"/>
              </w:rPr>
              <w:t>ҳудудид</w:t>
            </w:r>
            <w:r w:rsidRPr="002D3F24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uz-Cyrl-UZ"/>
              </w:rPr>
              <w:t>а инвестиция лойиҳасини жойлаштириш учун инвестиция буюртманомаси</w:t>
            </w:r>
          </w:p>
          <w:p w:rsidR="000C4BF9" w:rsidRPr="002D3F24" w:rsidRDefault="000C4BF9">
            <w:pPr>
              <w:pStyle w:val="TableContents"/>
              <w:jc w:val="center"/>
              <w:rPr>
                <w:rStyle w:val="StrongEmphasis"/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9971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bottom w:w="28" w:type="dxa"/>
            </w:tcMar>
          </w:tcPr>
          <w:p w:rsidR="000C4BF9" w:rsidRDefault="002D3F24">
            <w:pPr>
              <w:pStyle w:val="TableContents"/>
              <w:jc w:val="center"/>
            </w:pPr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Инвестор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инвесторлар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тўғрисида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маълумотлар</w:t>
            </w:r>
            <w:proofErr w:type="spellEnd"/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Мурожаатчи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(инвестор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ёки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инвесторлар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ташкилотнинг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келиб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чиққан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давлати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Инвестор</w:t>
            </w:r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ёки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инвесторлар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тўғрисида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маълумот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жумладан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давлат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р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ўйхатидан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ўтган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санаси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жойи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таъсисчи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бошқалар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Pr="002D3F24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  <w:p w:rsidR="000C4BF9" w:rsidRPr="002D3F24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Юридик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шахснинг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ташкилий</w:t>
            </w:r>
            <w:r w:rsidRPr="002D3F24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>ҳуқ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у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қий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шакли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таъсисчиларнинг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устав</w:t>
            </w:r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фондидаги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улушининг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тақсимланиши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қўйилмаларнинг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шакли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Мурожаатчи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ташкилотнинг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жойлашуви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манзили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Ишлатаётган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Банк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номи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филиали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r>
              <w:rPr>
                <w:rFonts w:ascii="Times New Roman" w:hAnsi="Times New Roman" w:cs="Times New Roman"/>
              </w:rPr>
              <w:t>ИНН/СТИР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0C4BF9">
        <w:tc>
          <w:tcPr>
            <w:tcW w:w="9971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bottom w:w="28" w:type="dxa"/>
            </w:tcMar>
          </w:tcPr>
          <w:p w:rsidR="000C4BF9" w:rsidRDefault="002D3F24">
            <w:pPr>
              <w:pStyle w:val="TableContents"/>
              <w:jc w:val="center"/>
            </w:pPr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Инвестиция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лойиҳаси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тўғрисида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маълумотлар</w:t>
            </w:r>
            <w:proofErr w:type="spellEnd"/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Инвестиция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лойиҳасининг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номи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Инвестиция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лойиҳасининг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мақсади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қисқача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тавсифи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жумладан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ишлаб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чиқаришнинг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йиллик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қуввати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Ишлаб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чиқариладиган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маҳсулотнинг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қўлланилиши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асосий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белгилари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Ишлаб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чиқариладиган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маҳсулотнинг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ТИФ ТН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коди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(10 та белги)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Pr="002D3F24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Маҳсулотнинг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ўртача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йиллик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ишлаб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чиқариш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ҳажми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экспортга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ички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бозорга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йўналтириладиган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ҳажмини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lang w:val="ru-RU"/>
              </w:rPr>
              <w:t>натура</w:t>
            </w:r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кўринишида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gramStart"/>
            <w:r w:rsidRPr="002D3F24">
              <w:rPr>
                <w:rFonts w:ascii="Times New Roman" w:hAnsi="Times New Roman" w:cs="Times New Roman"/>
                <w:lang w:val="ru-RU"/>
              </w:rPr>
              <w:t>.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ҚШ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долларида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ҳисобга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олган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ҳолда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Асосий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хом-ашё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материал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бутловчи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қисмлар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маҳаллий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импорт),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уларнинг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тайёр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маҳсулотдаги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улуши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(% </w:t>
            </w:r>
            <w:r>
              <w:rPr>
                <w:rFonts w:ascii="Times New Roman" w:hAnsi="Times New Roman" w:cs="Times New Roman"/>
                <w:lang w:val="ru-RU"/>
              </w:rPr>
              <w:t>да)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ru-RU"/>
              </w:rPr>
              <w:t>Хом</w:t>
            </w:r>
            <w:r w:rsidRPr="002D3F24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>ашё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материаллар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бутловчи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қисмларга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бўлган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йиллик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талаб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.</w:t>
            </w:r>
            <w:proofErr w:type="gram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АҚШ </w:t>
            </w:r>
            <w:proofErr w:type="spellStart"/>
            <w:r>
              <w:rPr>
                <w:rFonts w:ascii="Times New Roman" w:hAnsi="Times New Roman" w:cs="Times New Roman"/>
              </w:rPr>
              <w:t>долларида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</w:rPr>
              <w:t>шу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жумладан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маҳаллий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импорт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Маҳаллийлаштириш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даражаси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(МД=(1-И/Т)х100%)* </w:t>
            </w:r>
            <w:proofErr w:type="spellStart"/>
            <w:r>
              <w:rPr>
                <w:rFonts w:ascii="Times New Roman" w:hAnsi="Times New Roman" w:cs="Times New Roman"/>
              </w:rPr>
              <w:t>ҳамда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тайёр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маҳсулот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товар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позициясининг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ТИФ ТН </w:t>
            </w:r>
            <w:proofErr w:type="spellStart"/>
            <w:r>
              <w:rPr>
                <w:rFonts w:ascii="Times New Roman" w:hAnsi="Times New Roman" w:cs="Times New Roman"/>
              </w:rPr>
              <w:t>коди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бўйича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ўзгариши</w:t>
            </w:r>
            <w:proofErr w:type="spellEnd"/>
            <w:r>
              <w:rPr>
                <w:rFonts w:ascii="Times New Roman" w:hAnsi="Times New Roman" w:cs="Times New Roman"/>
              </w:rPr>
              <w:t xml:space="preserve"> (1 </w:t>
            </w:r>
            <w:proofErr w:type="spellStart"/>
            <w:r>
              <w:rPr>
                <w:rFonts w:ascii="Times New Roman" w:hAnsi="Times New Roman" w:cs="Times New Roman"/>
              </w:rPr>
              <w:t>йил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>
              <w:rPr>
                <w:rFonts w:ascii="Times New Roman" w:hAnsi="Times New Roman" w:cs="Times New Roman"/>
              </w:rPr>
              <w:t>йил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, 3 </w:t>
            </w:r>
            <w:proofErr w:type="spellStart"/>
            <w:r>
              <w:rPr>
                <w:rFonts w:ascii="Times New Roman" w:hAnsi="Times New Roman" w:cs="Times New Roman"/>
              </w:rPr>
              <w:t>йил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5"/>
              <w:numPr>
                <w:ilvl w:val="4"/>
                <w:numId w:val="3"/>
              </w:numPr>
              <w:rPr>
                <w:lang w:val="uz-Latn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Маҳсулот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стандартлари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— ГОСТ, ОСТ, ТУ, 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</w:rPr>
              <w:t>zDst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ISO</w:t>
            </w:r>
            <w:r>
              <w:rPr>
                <w:rFonts w:ascii="Times New Roman" w:hAnsi="Times New Roman" w:cs="Times New Roman"/>
                <w:lang w:val="ru-RU"/>
              </w:rPr>
              <w:t xml:space="preserve"> 9001 и </w:t>
            </w:r>
            <w:r>
              <w:rPr>
                <w:rFonts w:ascii="Times New Roman" w:hAnsi="Times New Roman" w:cs="Times New Roman"/>
              </w:rPr>
              <w:t>ISO</w:t>
            </w:r>
            <w:r>
              <w:rPr>
                <w:rFonts w:ascii="Times New Roman" w:hAnsi="Times New Roman" w:cs="Times New Roman"/>
                <w:lang w:val="ru-RU"/>
              </w:rPr>
              <w:t xml:space="preserve"> 14001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бошқалар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Pr="002D3F24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Фойдаланилиши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мўлжалланаётган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савдо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маркаси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Ишлаб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чиқаришнинг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бошланиш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санаси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Ташкил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этилаётган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иш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ўрни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жумладан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маҳаллий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ходимлар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 w:rsidRPr="002D3F24">
        <w:tc>
          <w:tcPr>
            <w:tcW w:w="9971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bottom w:w="28" w:type="dxa"/>
            </w:tcMar>
          </w:tcPr>
          <w:p w:rsidR="000C4BF9" w:rsidRPr="002D3F24" w:rsidRDefault="002D3F24">
            <w:pPr>
              <w:pStyle w:val="TableContents"/>
              <w:jc w:val="center"/>
              <w:rPr>
                <w:lang w:val="ru-RU"/>
              </w:rPr>
            </w:pPr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3.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Зарур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майдон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ва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инфратузилма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тўғрисида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  <w:lang w:val="ru-RU"/>
              </w:rPr>
              <w:t>маълумотлар</w:t>
            </w:r>
            <w:proofErr w:type="spellEnd"/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Талаб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этиладиган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майдон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га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Ишлаб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чиқариш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майдонлари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  <w:tr w:rsidR="000C4BF9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Default="002D3F24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Электроэнергияга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бўлган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талаб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кВт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соат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йилига</w:t>
            </w:r>
            <w:proofErr w:type="spellEnd"/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</w:rPr>
              <w:t>ўрнатиладиган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қувват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кВт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ёки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МВт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Табиий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газга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бўлган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талаб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куб.м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йилига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босим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(атм.)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Ичимлик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техник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сувга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бўлган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талаб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куб.м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йилига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Ифлослантирувчи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моддалар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чиқаришнинг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мавжудлиги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жумладан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газлар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lang w:val="ru-RU"/>
              </w:rPr>
              <w:t>кг</w:t>
            </w:r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йилига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ёки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соатига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қаттиқ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чиқиндилар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ойда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суюқ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чиқиндилар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ойда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бошқалар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  <w:tr w:rsidR="000C4BF9">
        <w:tc>
          <w:tcPr>
            <w:tcW w:w="9971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bottom w:w="28" w:type="dxa"/>
            </w:tcMar>
          </w:tcPr>
          <w:p w:rsidR="000C4BF9" w:rsidRDefault="002D3F24">
            <w:pPr>
              <w:pStyle w:val="TableContents"/>
              <w:jc w:val="center"/>
            </w:pPr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Лойиҳанинг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молиявий-иқтисодий</w:t>
            </w:r>
            <w:proofErr w:type="spellEnd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StrongEmphasis"/>
                <w:rFonts w:ascii="Times New Roman" w:hAnsi="Times New Roman" w:cs="Times New Roman"/>
                <w:sz w:val="26"/>
                <w:szCs w:val="26"/>
              </w:rPr>
              <w:t>кўрсаткичлари</w:t>
            </w:r>
            <w:proofErr w:type="spellEnd"/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Лойиҳанинг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қиймати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долларида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Молиялаштириш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манбалари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тўғрида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н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-</w:t>
            </w:r>
            <w:proofErr w:type="gram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тўғри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инвестициялар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маҳаллий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таъсисчилар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маблағлари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тижорат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банклари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кредитлари</w:t>
            </w:r>
            <w:proofErr w:type="spellEnd"/>
            <w:r w:rsidRPr="002D3F2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r w:rsidRPr="002D3F24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Машина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асбоблар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қиймати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долларида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жумладан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маҳаллий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импорт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ҚМИ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қиймати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долларида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Айланма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капитал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суммаси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экв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ҚШ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долларида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Инвестицияларни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киритиш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шакли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жадвали</w:t>
            </w:r>
            <w:proofErr w:type="spellEnd"/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0C4BF9" w:rsidRPr="002D3F24">
        <w:tc>
          <w:tcPr>
            <w:tcW w:w="49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08" w:type="dxa"/>
              <w:bottom w:w="28" w:type="dxa"/>
              <w:right w:w="108" w:type="dxa"/>
            </w:tcMar>
          </w:tcPr>
          <w:p w:rsidR="000C4BF9" w:rsidRPr="002D3F24" w:rsidRDefault="002D3F24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Лойиҳанинг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қопланиш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муддати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(бизнес-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режага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мувофиқ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50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bottom w:w="28" w:type="dxa"/>
              <w:right w:w="108" w:type="dxa"/>
            </w:tcMar>
            <w:vAlign w:val="center"/>
          </w:tcPr>
          <w:p w:rsidR="000C4BF9" w:rsidRDefault="000C4BF9">
            <w:pPr>
              <w:pStyle w:val="TableContents"/>
              <w:rPr>
                <w:rFonts w:ascii="Times New Roman" w:hAnsi="Times New Roman" w:cs="Times New Roman"/>
                <w:color w:val="C9211E"/>
                <w:lang w:val="uz-Latn-UZ"/>
              </w:rPr>
            </w:pPr>
          </w:p>
        </w:tc>
      </w:tr>
    </w:tbl>
    <w:p w:rsidR="000C4BF9" w:rsidRPr="002D3F24" w:rsidRDefault="002D3F24">
      <w:pPr>
        <w:pStyle w:val="a0"/>
        <w:spacing w:after="0"/>
        <w:ind w:firstLine="850"/>
        <w:jc w:val="both"/>
        <w:rPr>
          <w:lang w:val="ru-RU"/>
        </w:rPr>
      </w:pPr>
      <w:bookmarkStart w:id="1" w:name="4482581"/>
      <w:bookmarkEnd w:id="1"/>
      <w:r>
        <w:rPr>
          <w:rFonts w:ascii="Times New Roman" w:hAnsi="Times New Roman" w:cs="Times New Roman"/>
          <w:color w:val="000000"/>
          <w:lang w:val="ru-RU"/>
        </w:rPr>
        <w:t xml:space="preserve">* МД —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ишлаб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чиқаришни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маҳаллийлаштириш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даражаси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; И — импорт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қилинаётган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хом-аш</w:t>
      </w:r>
      <w:r>
        <w:rPr>
          <w:rFonts w:ascii="Times New Roman" w:hAnsi="Times New Roman" w:cs="Times New Roman"/>
          <w:color w:val="000000"/>
          <w:lang w:val="ru-RU"/>
        </w:rPr>
        <w:t>ё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материаллар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ва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бутловчи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қисмларнинг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валютадаги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қиймати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божхона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тўловлари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билан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бирга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); Т —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маҳсулот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бирлигини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ишлаб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чиқариш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таннархи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маҳаллий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етказиб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берувчилардан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олинган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импорт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хом-ашёси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маҳаллий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ҳисобланмайди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>).</w:t>
      </w:r>
    </w:p>
    <w:p w:rsidR="000C4BF9" w:rsidRDefault="000C4BF9">
      <w:pPr>
        <w:pStyle w:val="a0"/>
        <w:spacing w:after="0"/>
        <w:ind w:firstLine="850"/>
        <w:jc w:val="both"/>
        <w:rPr>
          <w:rFonts w:ascii="Times New Roman" w:hAnsi="Times New Roman" w:cs="Times New Roman"/>
          <w:color w:val="000000"/>
          <w:lang w:val="ru-RU"/>
        </w:rPr>
      </w:pPr>
    </w:p>
    <w:p w:rsidR="000C4BF9" w:rsidRPr="002D3F24" w:rsidRDefault="002D3F24">
      <w:pPr>
        <w:pStyle w:val="a0"/>
        <w:spacing w:after="0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/>
          <w:lang w:val="uz-Cyrl-UZ"/>
        </w:rPr>
        <w:t>Раҳбар</w:t>
      </w:r>
      <w:r>
        <w:rPr>
          <w:rFonts w:ascii="Times New Roman" w:hAnsi="Times New Roman" w:cs="Times New Roman"/>
          <w:color w:val="000000"/>
          <w:lang w:val="uz-Cyrl-UZ"/>
        </w:rPr>
        <w:tab/>
      </w:r>
      <w:r>
        <w:rPr>
          <w:rFonts w:ascii="Times New Roman" w:hAnsi="Times New Roman" w:cs="Times New Roman"/>
          <w:color w:val="000000"/>
          <w:lang w:val="uz-Cyrl-UZ"/>
        </w:rPr>
        <w:tab/>
        <w:t>_________________</w:t>
      </w:r>
      <w:r>
        <w:rPr>
          <w:rFonts w:ascii="Times New Roman" w:hAnsi="Times New Roman" w:cs="Times New Roman"/>
          <w:color w:val="000000"/>
          <w:lang w:val="uz-Cyrl-UZ"/>
        </w:rPr>
        <w:tab/>
        <w:t xml:space="preserve">   _______</w:t>
      </w:r>
      <w:r>
        <w:rPr>
          <w:rFonts w:ascii="Times New Roman" w:hAnsi="Times New Roman" w:cs="Times New Roman"/>
          <w:color w:val="000000"/>
          <w:lang w:val="uz-Cyrl-UZ"/>
        </w:rPr>
        <w:t>___________________________________</w:t>
      </w:r>
    </w:p>
    <w:p w:rsidR="000C4BF9" w:rsidRPr="002D3F24" w:rsidRDefault="002D3F24">
      <w:pPr>
        <w:pStyle w:val="a0"/>
        <w:spacing w:after="0"/>
        <w:ind w:firstLine="850"/>
        <w:jc w:val="both"/>
        <w:rPr>
          <w:lang w:val="ru-RU"/>
        </w:rPr>
      </w:pPr>
      <w:r>
        <w:rPr>
          <w:rFonts w:ascii="Times New Roman" w:hAnsi="Times New Roman" w:cs="Times New Roman"/>
          <w:color w:val="000000"/>
          <w:lang w:val="uz-Cyrl-UZ"/>
        </w:rPr>
        <w:tab/>
      </w:r>
      <w:r>
        <w:rPr>
          <w:rFonts w:ascii="Times New Roman" w:hAnsi="Times New Roman" w:cs="Times New Roman"/>
          <w:color w:val="000000"/>
          <w:lang w:val="uz-Cyrl-UZ"/>
        </w:rPr>
        <w:tab/>
      </w:r>
      <w:r>
        <w:rPr>
          <w:rFonts w:ascii="Times New Roman" w:hAnsi="Times New Roman" w:cs="Times New Roman"/>
          <w:color w:val="000000"/>
          <w:lang w:val="uz-Cyrl-UZ"/>
        </w:rPr>
        <w:tab/>
      </w:r>
      <w:r>
        <w:rPr>
          <w:rFonts w:ascii="Times New Roman" w:hAnsi="Times New Roman" w:cs="Times New Roman"/>
          <w:color w:val="000000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/>
          <w:lang w:val="ru-RU"/>
        </w:rPr>
        <w:t>имзо</w:t>
      </w:r>
      <w:proofErr w:type="spellEnd"/>
      <w:r>
        <w:rPr>
          <w:rFonts w:ascii="Times New Roman" w:hAnsi="Times New Roman" w:cs="Times New Roman"/>
          <w:color w:val="000000"/>
          <w:lang w:val="ru-RU"/>
        </w:rPr>
        <w:t>)</w:t>
      </w:r>
      <w:r>
        <w:rPr>
          <w:rFonts w:ascii="Times New Roman" w:hAnsi="Times New Roman" w:cs="Times New Roman"/>
          <w:color w:val="000000"/>
          <w:lang w:val="ru-RU"/>
        </w:rPr>
        <w:tab/>
      </w:r>
      <w:r>
        <w:rPr>
          <w:rFonts w:ascii="Times New Roman" w:hAnsi="Times New Roman" w:cs="Times New Roman"/>
          <w:color w:val="000000"/>
          <w:lang w:val="ru-RU"/>
        </w:rPr>
        <w:tab/>
      </w:r>
      <w:r>
        <w:rPr>
          <w:rFonts w:ascii="Times New Roman" w:hAnsi="Times New Roman" w:cs="Times New Roman"/>
          <w:color w:val="000000"/>
          <w:lang w:val="ru-RU"/>
        </w:rPr>
        <w:tab/>
        <w:t xml:space="preserve">          (Ф.И.О)</w:t>
      </w:r>
    </w:p>
    <w:p w:rsidR="000C4BF9" w:rsidRDefault="002D3F24">
      <w:pPr>
        <w:pStyle w:val="a0"/>
        <w:spacing w:after="0"/>
        <w:ind w:firstLine="850"/>
        <w:jc w:val="both"/>
      </w:pPr>
      <w:r>
        <w:rPr>
          <w:rFonts w:ascii="Times New Roman" w:hAnsi="Times New Roman" w:cs="Times New Roman"/>
          <w:color w:val="000000"/>
          <w:lang w:val="ru-RU"/>
        </w:rPr>
        <w:t xml:space="preserve">                       _______________</w:t>
      </w:r>
    </w:p>
    <w:p w:rsidR="000C4BF9" w:rsidRDefault="002D3F24">
      <w:pPr>
        <w:pStyle w:val="a0"/>
        <w:spacing w:after="0"/>
        <w:ind w:firstLine="8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                            (сана)</w:t>
      </w:r>
    </w:p>
    <w:p w:rsidR="000C4BF9" w:rsidRDefault="000C4BF9">
      <w:pPr>
        <w:spacing w:line="276" w:lineRule="auto"/>
        <w:ind w:left="720"/>
        <w:rPr>
          <w:rFonts w:ascii="Times New Roman" w:hAnsi="Times New Roman"/>
          <w:sz w:val="26"/>
          <w:szCs w:val="26"/>
        </w:rPr>
      </w:pPr>
    </w:p>
    <w:sectPr w:rsidR="000C4BF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D62"/>
    <w:multiLevelType w:val="multilevel"/>
    <w:tmpl w:val="469C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0854A7A"/>
    <w:multiLevelType w:val="multilevel"/>
    <w:tmpl w:val="F836D3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4C575A0"/>
    <w:multiLevelType w:val="multilevel"/>
    <w:tmpl w:val="9D6833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4BF9"/>
    <w:rsid w:val="000C4BF9"/>
    <w:rsid w:val="002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5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Tahoma" w:hAnsi="Liberation Sans" w:cs="Liberation Sans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Arial" w:eastAsia="Tahoma" w:hAnsi="Arial" w:cs="Liberation Sans"/>
      <w:sz w:val="63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BlankSlideLTHintergrundobjekte">
    <w:name w:val="Blank Slide~LT~Hintergrundobjekte"/>
    <w:qFormat/>
    <w:rPr>
      <w:rFonts w:eastAsia="Tahoma" w:cs="Liberation Sans"/>
    </w:rPr>
  </w:style>
  <w:style w:type="paragraph" w:customStyle="1" w:styleId="BlankSlideLTHintergrund">
    <w:name w:val="Blank Slide~LT~Hintergrund"/>
    <w:qFormat/>
    <w:rPr>
      <w:rFonts w:eastAsia="Tahoma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Tahoma" w:cs="Liberation Sans"/>
    </w:rPr>
  </w:style>
  <w:style w:type="paragraph" w:customStyle="1" w:styleId="Background">
    <w:name w:val="Background"/>
    <w:qFormat/>
    <w:rPr>
      <w:rFonts w:eastAsia="Tahoma" w:cs="Liberation Sans"/>
    </w:rPr>
  </w:style>
  <w:style w:type="paragraph" w:customStyle="1" w:styleId="Notes">
    <w:name w:val="Notes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Outline1">
    <w:name w:val="Outline 1"/>
    <w:qFormat/>
    <w:pPr>
      <w:spacing w:before="283"/>
    </w:pPr>
    <w:rPr>
      <w:rFonts w:ascii="Arial" w:eastAsia="Tahoma" w:hAnsi="Arial" w:cs="Liberation Sans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ableContents">
    <w:name w:val="Table Contents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461</Words>
  <Characters>2634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Adxamjon Axmadjonov</cp:lastModifiedBy>
  <cp:revision>5</cp:revision>
  <dcterms:created xsi:type="dcterms:W3CDTF">2022-11-08T05:05:00Z</dcterms:created>
  <dcterms:modified xsi:type="dcterms:W3CDTF">2022-12-22T13:37:00Z</dcterms:modified>
  <dc:language>en-US</dc:language>
</cp:coreProperties>
</file>