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2A72E">
      <w:pPr>
        <w:jc w:val="center"/>
        <w:rPr>
          <w:rFonts w:hint="default"/>
          <w:sz w:val="40"/>
          <w:szCs w:val="40"/>
          <w:lang w:val="en-US"/>
        </w:rPr>
      </w:pPr>
      <w:r>
        <w:rPr>
          <w:rFonts w:hint="default"/>
          <w:sz w:val="40"/>
          <w:szCs w:val="40"/>
          <w:lang w:val="en-US"/>
        </w:rPr>
        <w:t>House Ownership Rate &amp; Fertility Rate</w:t>
      </w:r>
    </w:p>
    <w:p w14:paraId="778E0932">
      <w:pPr>
        <w:jc w:val="center"/>
        <w:rPr>
          <w:rFonts w:hint="default"/>
          <w:sz w:val="40"/>
          <w:szCs w:val="40"/>
          <w:lang w:val="en-US"/>
        </w:rPr>
      </w:pPr>
      <w:r>
        <w:drawing>
          <wp:anchor distT="0" distB="0" distL="114300" distR="114300" simplePos="0" relativeHeight="251659264" behindDoc="0" locked="0" layoutInCell="1" allowOverlap="1">
            <wp:simplePos x="0" y="0"/>
            <wp:positionH relativeFrom="column">
              <wp:posOffset>-889635</wp:posOffset>
            </wp:positionH>
            <wp:positionV relativeFrom="paragraph">
              <wp:posOffset>269875</wp:posOffset>
            </wp:positionV>
            <wp:extent cx="6886575" cy="4091305"/>
            <wp:effectExtent l="0" t="0" r="1905" b="825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6886575" cy="4091305"/>
                    </a:xfrm>
                    <a:prstGeom prst="rect">
                      <a:avLst/>
                    </a:prstGeom>
                    <a:noFill/>
                    <a:ln>
                      <a:noFill/>
                    </a:ln>
                  </pic:spPr>
                </pic:pic>
              </a:graphicData>
            </a:graphic>
          </wp:anchor>
        </w:drawing>
      </w:r>
    </w:p>
    <w:p w14:paraId="7AEB84FE">
      <w:pPr>
        <w:pStyle w:val="2"/>
        <w:keepNext w:val="0"/>
        <w:keepLines w:val="0"/>
        <w:widowControl/>
        <w:suppressLineNumbers w:val="0"/>
        <w:spacing w:beforeAutospacing="0" w:after="49" w:afterLines="13" w:afterAutospacing="0"/>
        <w:jc w:val="left"/>
        <w:rPr>
          <w:rFonts w:hint="default" w:ascii="Times New Roman" w:hAnsi="Times New Roman" w:cs="Times New Roman"/>
          <w:sz w:val="24"/>
          <w:szCs w:val="24"/>
        </w:rPr>
      </w:pPr>
      <w:r>
        <w:rPr>
          <w:rFonts w:hint="default" w:ascii="Times New Roman" w:hAnsi="Times New Roman" w:cs="Times New Roman"/>
          <w:sz w:val="24"/>
          <w:szCs w:val="24"/>
        </w:rPr>
        <w:t xml:space="preserve">What does </w:t>
      </w:r>
      <w:r>
        <w:rPr>
          <w:rStyle w:val="6"/>
          <w:rFonts w:hint="default" w:ascii="Times New Roman" w:hAnsi="Times New Roman" w:cs="Times New Roman"/>
          <w:b/>
          <w:bCs/>
          <w:sz w:val="24"/>
          <w:szCs w:val="24"/>
        </w:rPr>
        <w:t>-0.37</w:t>
      </w:r>
      <w:r>
        <w:rPr>
          <w:rFonts w:hint="default" w:ascii="Times New Roman" w:hAnsi="Times New Roman" w:cs="Times New Roman"/>
          <w:sz w:val="24"/>
          <w:szCs w:val="24"/>
        </w:rPr>
        <w:t xml:space="preserve"> mean in your case?</w:t>
      </w:r>
    </w:p>
    <w:p w14:paraId="7C2BE24B">
      <w:pPr>
        <w:pStyle w:val="5"/>
        <w:keepNext w:val="0"/>
        <w:keepLines w:val="0"/>
        <w:widowControl/>
        <w:suppressLineNumbers w:val="0"/>
        <w:spacing w:before="0" w:beforeAutospacing="0"/>
        <w:ind w:left="720"/>
        <w:jc w:val="left"/>
        <w:rPr>
          <w:rFonts w:hint="default" w:ascii="Times New Roman" w:hAnsi="Times New Roman" w:cs="Times New Roman"/>
          <w:sz w:val="24"/>
          <w:szCs w:val="24"/>
        </w:rPr>
      </w:pPr>
      <w:r>
        <w:rPr>
          <w:rStyle w:val="6"/>
          <w:rFonts w:hint="default" w:ascii="Times New Roman" w:hAnsi="Times New Roman" w:cs="Times New Roman"/>
          <w:sz w:val="24"/>
          <w:szCs w:val="24"/>
        </w:rPr>
        <w:t>Direction</w:t>
      </w:r>
      <w:r>
        <w:rPr>
          <w:rFonts w:hint="default" w:ascii="Times New Roman" w:hAnsi="Times New Roman" w:cs="Times New Roman"/>
          <w:sz w:val="24"/>
          <w:szCs w:val="24"/>
        </w:rPr>
        <w:t>: Negative → as home ownership increases, fertility tends to decrease.</w:t>
      </w:r>
    </w:p>
    <w:p w14:paraId="5D677494">
      <w:pPr>
        <w:pStyle w:val="5"/>
        <w:keepNext w:val="0"/>
        <w:keepLines w:val="0"/>
        <w:widowControl/>
        <w:suppressLineNumbers w:val="0"/>
        <w:spacing w:before="0" w:beforeAutospacing="0"/>
        <w:ind w:left="720"/>
        <w:jc w:val="left"/>
        <w:rPr>
          <w:rFonts w:hint="default" w:ascii="Times New Roman" w:hAnsi="Times New Roman" w:cs="Times New Roman"/>
          <w:sz w:val="24"/>
          <w:szCs w:val="24"/>
        </w:rPr>
      </w:pPr>
      <w:r>
        <w:rPr>
          <w:rStyle w:val="6"/>
          <w:rFonts w:hint="default" w:ascii="Times New Roman" w:hAnsi="Times New Roman" w:cs="Times New Roman"/>
          <w:sz w:val="24"/>
          <w:szCs w:val="24"/>
        </w:rPr>
        <w:t>Strength</w:t>
      </w:r>
      <w:r>
        <w:rPr>
          <w:rFonts w:hint="default" w:ascii="Times New Roman" w:hAnsi="Times New Roman" w:cs="Times New Roman"/>
          <w:sz w:val="24"/>
          <w:szCs w:val="24"/>
        </w:rPr>
        <w:t>: Moderate → not weak (like -0.1), but not strong (like -0.7 either).</w:t>
      </w:r>
    </w:p>
    <w:p w14:paraId="642574AA">
      <w:pPr>
        <w:pStyle w:val="5"/>
        <w:keepNext w:val="0"/>
        <w:keepLines w:val="0"/>
        <w:widowControl/>
        <w:suppressLineNumbers w:val="0"/>
        <w:ind w:left="720"/>
        <w:jc w:val="left"/>
        <w:rPr>
          <w:rFonts w:hint="default" w:ascii="Times New Roman" w:hAnsi="Times New Roman" w:cs="Times New Roman"/>
          <w:sz w:val="24"/>
          <w:szCs w:val="24"/>
        </w:rPr>
      </w:pPr>
      <w:r>
        <w:rPr>
          <w:rStyle w:val="6"/>
          <w:rFonts w:hint="default" w:ascii="Times New Roman" w:hAnsi="Times New Roman" w:cs="Times New Roman"/>
          <w:sz w:val="24"/>
          <w:szCs w:val="24"/>
        </w:rPr>
        <w:t>Interpretation</w:t>
      </w:r>
      <w:r>
        <w:rPr>
          <w:rFonts w:hint="default" w:ascii="Times New Roman" w:hAnsi="Times New Roman" w:cs="Times New Roman"/>
          <w:sz w:val="24"/>
          <w:szCs w:val="24"/>
        </w:rPr>
        <w:t xml:space="preserve">: Housing may be </w:t>
      </w:r>
      <w:r>
        <w:rPr>
          <w:rStyle w:val="6"/>
          <w:rFonts w:hint="default" w:ascii="Times New Roman" w:hAnsi="Times New Roman" w:cs="Times New Roman"/>
          <w:sz w:val="24"/>
          <w:szCs w:val="24"/>
        </w:rPr>
        <w:t>one of several contributing factors</w:t>
      </w:r>
      <w:r>
        <w:rPr>
          <w:rFonts w:hint="default" w:ascii="Times New Roman" w:hAnsi="Times New Roman" w:cs="Times New Roman"/>
          <w:sz w:val="24"/>
          <w:szCs w:val="24"/>
        </w:rPr>
        <w:t>, but not the sole or dominant one affecting fertility.</w:t>
      </w:r>
    </w:p>
    <w:p w14:paraId="74D08ED2">
      <w:pPr>
        <w:pStyle w:val="2"/>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Final Answer Summary for Question 1:</w:t>
      </w:r>
    </w:p>
    <w:p w14:paraId="61C537D6">
      <w:pPr>
        <w:pStyle w:val="5"/>
        <w:keepNext w:val="0"/>
        <w:keepLines w:val="0"/>
        <w:widowControl/>
        <w:suppressLineNumbers w:val="0"/>
        <w:ind w:left="720" w:right="72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Based on the merged data and scatter plot analysis, there is a </w:t>
      </w:r>
      <w:r>
        <w:rPr>
          <w:rStyle w:val="6"/>
          <w:rFonts w:hint="default" w:ascii="Times New Roman" w:hAnsi="Times New Roman" w:eastAsia="SimSun" w:cs="Times New Roman"/>
          <w:sz w:val="24"/>
          <w:szCs w:val="24"/>
        </w:rPr>
        <w:t>moderate negative correlation</w:t>
      </w:r>
      <w:r>
        <w:rPr>
          <w:rFonts w:hint="default" w:ascii="Times New Roman" w:hAnsi="Times New Roman" w:eastAsia="SimSun" w:cs="Times New Roman"/>
          <w:sz w:val="24"/>
          <w:szCs w:val="24"/>
        </w:rPr>
        <w:t xml:space="preserve"> between home ownership rate and fertility rate across South Korean provinces (</w:t>
      </w:r>
      <w:r>
        <w:rPr>
          <w:rStyle w:val="6"/>
          <w:rFonts w:hint="default" w:ascii="Times New Roman" w:hAnsi="Times New Roman" w:eastAsia="SimSun" w:cs="Times New Roman"/>
          <w:sz w:val="24"/>
          <w:szCs w:val="24"/>
        </w:rPr>
        <w:t>correlation coefficient = -0.37</w:t>
      </w:r>
      <w:r>
        <w:rPr>
          <w:rFonts w:hint="default" w:ascii="Times New Roman" w:hAnsi="Times New Roman" w:eastAsia="SimSun" w:cs="Times New Roman"/>
          <w:sz w:val="24"/>
          <w:szCs w:val="24"/>
        </w:rPr>
        <w:t>). The downward trend observed in the scatter plot suggests that higher rates of home ownership do not correspond to increased fertility. In fact, provinces with higher home ownership tend to have slightly lower fertility rates. This implies that housing availability alone is not a strong driver of fertility decisions, and broader social or economic factors are likely influencing these trends.</w:t>
      </w:r>
    </w:p>
    <w:p w14:paraId="25D170D1">
      <w:pPr>
        <w:jc w:val="center"/>
        <w:rPr>
          <w:rFonts w:hint="default"/>
          <w:sz w:val="40"/>
          <w:szCs w:val="40"/>
          <w:lang w:val="en-US"/>
        </w:rPr>
      </w:pPr>
      <w:r>
        <w:rPr>
          <w:rFonts w:hint="default"/>
          <w:sz w:val="40"/>
          <w:szCs w:val="40"/>
          <w:lang w:val="en-US"/>
        </w:rPr>
        <w:t>House Ownership Rate &amp; Crude Marriage Rate</w:t>
      </w:r>
    </w:p>
    <w:p w14:paraId="09CE4BF7">
      <w:pPr>
        <w:jc w:val="left"/>
        <w:rPr>
          <w:rFonts w:hint="default" w:ascii="Times New Roman" w:hAnsi="Times New Roman" w:cs="Times New Roman"/>
          <w:sz w:val="28"/>
          <w:szCs w:val="28"/>
          <w:lang w:val="en-US"/>
        </w:rPr>
      </w:pPr>
      <w:r>
        <w:drawing>
          <wp:anchor distT="0" distB="0" distL="114300" distR="114300" simplePos="0" relativeHeight="251660288" behindDoc="0" locked="0" layoutInCell="1" allowOverlap="1">
            <wp:simplePos x="0" y="0"/>
            <wp:positionH relativeFrom="column">
              <wp:posOffset>-692150</wp:posOffset>
            </wp:positionH>
            <wp:positionV relativeFrom="paragraph">
              <wp:posOffset>155575</wp:posOffset>
            </wp:positionV>
            <wp:extent cx="6456680" cy="4011295"/>
            <wp:effectExtent l="0" t="0" r="508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456680" cy="4011295"/>
                    </a:xfrm>
                    <a:prstGeom prst="rect">
                      <a:avLst/>
                    </a:prstGeom>
                    <a:noFill/>
                    <a:ln>
                      <a:noFill/>
                    </a:ln>
                  </pic:spPr>
                </pic:pic>
              </a:graphicData>
            </a:graphic>
          </wp:anchor>
        </w:drawing>
      </w:r>
    </w:p>
    <w:p w14:paraId="48B9AE1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A flat regression line,</w:t>
      </w:r>
    </w:p>
    <w:p w14:paraId="7BDCD329">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 </w:t>
      </w:r>
      <w:r>
        <w:rPr>
          <w:rStyle w:val="6"/>
          <w:rFonts w:hint="default" w:ascii="Times New Roman" w:hAnsi="Times New Roman" w:cs="Times New Roman"/>
        </w:rPr>
        <w:t>correlation coefficient of -0.01</w:t>
      </w:r>
      <w:r>
        <w:rPr>
          <w:rFonts w:hint="default" w:ascii="Times New Roman" w:hAnsi="Times New Roman" w:cs="Times New Roman"/>
        </w:rPr>
        <w:t xml:space="preserve">, which is </w:t>
      </w:r>
      <w:r>
        <w:rPr>
          <w:rStyle w:val="6"/>
          <w:rFonts w:hint="default" w:ascii="Times New Roman" w:hAnsi="Times New Roman" w:cs="Times New Roman"/>
        </w:rPr>
        <w:t>close to 0</w:t>
      </w:r>
      <w:r>
        <w:rPr>
          <w:rFonts w:hint="default" w:ascii="Times New Roman" w:hAnsi="Times New Roman" w:cs="Times New Roman"/>
        </w:rPr>
        <w:t>.</w:t>
      </w:r>
    </w:p>
    <w:p w14:paraId="163444D4">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What this means:</w:t>
      </w:r>
      <w:r>
        <w:rPr>
          <w:rFonts w:hint="default" w:ascii="Times New Roman" w:hAnsi="Times New Roman" w:cs="Times New Roman"/>
        </w:rPr>
        <w:br w:type="textWrapping"/>
      </w:r>
      <w:r>
        <w:rPr>
          <w:rFonts w:hint="default" w:ascii="Times New Roman" w:hAnsi="Times New Roman" w:cs="Times New Roman"/>
        </w:rPr>
        <w:t xml:space="preserve">There is </w:t>
      </w:r>
      <w:r>
        <w:rPr>
          <w:rStyle w:val="6"/>
          <w:rFonts w:hint="default" w:ascii="Times New Roman" w:hAnsi="Times New Roman" w:cs="Times New Roman"/>
        </w:rPr>
        <w:t>no statistically significant linear relationship</w:t>
      </w:r>
      <w:r>
        <w:rPr>
          <w:rFonts w:hint="default" w:ascii="Times New Roman" w:hAnsi="Times New Roman" w:cs="Times New Roman"/>
        </w:rPr>
        <w:t xml:space="preserve"> between the </w:t>
      </w:r>
      <w:r>
        <w:rPr>
          <w:rStyle w:val="6"/>
          <w:rFonts w:hint="default" w:ascii="Times New Roman" w:hAnsi="Times New Roman" w:cs="Times New Roman"/>
        </w:rPr>
        <w:t>home ownership rate</w:t>
      </w:r>
      <w:r>
        <w:rPr>
          <w:rFonts w:hint="default" w:ascii="Times New Roman" w:hAnsi="Times New Roman" w:cs="Times New Roman"/>
        </w:rPr>
        <w:t xml:space="preserve"> and the </w:t>
      </w:r>
      <w:r>
        <w:rPr>
          <w:rStyle w:val="6"/>
          <w:rFonts w:hint="default" w:ascii="Times New Roman" w:hAnsi="Times New Roman" w:cs="Times New Roman"/>
        </w:rPr>
        <w:t>crude marriage rate</w:t>
      </w:r>
      <w:r>
        <w:rPr>
          <w:rFonts w:hint="default" w:ascii="Times New Roman" w:hAnsi="Times New Roman" w:cs="Times New Roman"/>
        </w:rPr>
        <w:t>. In simpler terms:</w:t>
      </w:r>
    </w:p>
    <w:p w14:paraId="598E3077">
      <w:pPr>
        <w:pStyle w:val="5"/>
        <w:keepNext w:val="0"/>
        <w:keepLines w:val="0"/>
        <w:widowControl/>
        <w:suppressLineNumbers w:val="0"/>
        <w:ind w:right="720"/>
        <w:rPr>
          <w:rFonts w:hint="default" w:ascii="Times New Roman" w:hAnsi="Times New Roman" w:cs="Times New Roman"/>
        </w:rPr>
      </w:pPr>
      <w:r>
        <w:rPr>
          <w:rFonts w:hint="default" w:ascii="Times New Roman" w:hAnsi="Times New Roman" w:eastAsia="SimSun" w:cs="Times New Roman"/>
          <w:sz w:val="24"/>
          <w:szCs w:val="24"/>
        </w:rPr>
        <w:t xml:space="preserve">Higher or lower rates of home ownership do </w:t>
      </w:r>
      <w:r>
        <w:rPr>
          <w:rStyle w:val="6"/>
          <w:rFonts w:hint="default" w:ascii="Times New Roman" w:hAnsi="Times New Roman" w:eastAsia="SimSun" w:cs="Times New Roman"/>
          <w:sz w:val="24"/>
          <w:szCs w:val="24"/>
        </w:rPr>
        <w:t>not appear</w:t>
      </w:r>
      <w:r>
        <w:rPr>
          <w:rFonts w:hint="default" w:ascii="Times New Roman" w:hAnsi="Times New Roman" w:eastAsia="SimSun" w:cs="Times New Roman"/>
          <w:sz w:val="24"/>
          <w:szCs w:val="24"/>
        </w:rPr>
        <w:t xml:space="preserve"> to impact how often people get married (as measured by crude marriage rate).</w:t>
      </w:r>
    </w:p>
    <w:p w14:paraId="392841EB">
      <w:pPr>
        <w:jc w:val="left"/>
        <w:rPr>
          <w:rFonts w:hint="default" w:ascii="Times New Roman" w:hAnsi="Times New Roman" w:cs="Times New Roman"/>
          <w:sz w:val="28"/>
          <w:szCs w:val="28"/>
          <w:lang w:val="en-US"/>
        </w:rPr>
      </w:pPr>
    </w:p>
    <w:p w14:paraId="59F0C109">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b/>
          <w:bCs/>
          <w:i/>
          <w:iCs/>
          <w:sz w:val="28"/>
          <w:szCs w:val="28"/>
          <w:lang w:val="en-US"/>
        </w:rPr>
        <w:t xml:space="preserve">Answer: </w:t>
      </w:r>
      <w:r>
        <w:rPr>
          <w:rFonts w:hint="default" w:ascii="Times New Roman" w:hAnsi="Times New Roman" w:eastAsia="SimSun" w:cs="Times New Roman"/>
          <w:sz w:val="28"/>
          <w:szCs w:val="28"/>
          <w:lang w:val="en-US"/>
        </w:rPr>
        <w:t xml:space="preserve"> </w:t>
      </w:r>
    </w:p>
    <w:p w14:paraId="6345057B">
      <w:p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To summarize, </w:t>
      </w:r>
      <w:r>
        <w:rPr>
          <w:rStyle w:val="6"/>
          <w:rFonts w:hint="default" w:ascii="Times New Roman" w:hAnsi="Times New Roman" w:eastAsia="SimSun" w:cs="Times New Roman"/>
          <w:sz w:val="28"/>
          <w:szCs w:val="28"/>
        </w:rPr>
        <w:t>home ownership rate seems to be more related to fertility patterns than to marriage rates</w:t>
      </w:r>
      <w:r>
        <w:rPr>
          <w:rFonts w:hint="default" w:ascii="Times New Roman" w:hAnsi="Times New Roman" w:eastAsia="SimSun" w:cs="Times New Roman"/>
          <w:sz w:val="28"/>
          <w:szCs w:val="28"/>
        </w:rPr>
        <w:t xml:space="preserve">, and this is supported both visually and statistically. Therefore, </w:t>
      </w:r>
      <w:r>
        <w:rPr>
          <w:rStyle w:val="6"/>
          <w:rFonts w:hint="default" w:ascii="Times New Roman" w:hAnsi="Times New Roman" w:eastAsia="SimSun" w:cs="Times New Roman"/>
          <w:sz w:val="28"/>
          <w:szCs w:val="28"/>
        </w:rPr>
        <w:t>home ownership may play a more influential role in fertility behavior than in marriage trends</w:t>
      </w:r>
      <w:r>
        <w:rPr>
          <w:rFonts w:hint="default" w:ascii="Times New Roman" w:hAnsi="Times New Roman" w:eastAsia="SimSun" w:cs="Times New Roman"/>
          <w:sz w:val="28"/>
          <w:szCs w:val="28"/>
        </w:rPr>
        <w:t>.</w:t>
      </w:r>
    </w:p>
    <w:p w14:paraId="485D754B">
      <w:pPr>
        <w:jc w:val="left"/>
        <w:rPr>
          <w:rFonts w:hint="default" w:ascii="Times New Roman" w:hAnsi="Times New Roman" w:eastAsia="SimSun" w:cs="Times New Roman"/>
          <w:sz w:val="28"/>
          <w:szCs w:val="28"/>
        </w:rPr>
      </w:pPr>
    </w:p>
    <w:p w14:paraId="3E9459C6">
      <w:pPr>
        <w:jc w:val="left"/>
        <w:rPr>
          <w:rFonts w:hint="default" w:ascii="Times New Roman" w:hAnsi="Times New Roman" w:eastAsia="SimSun" w:cs="Times New Roman"/>
          <w:sz w:val="28"/>
          <w:szCs w:val="28"/>
        </w:rPr>
      </w:pPr>
    </w:p>
    <w:p w14:paraId="1B636890">
      <w:pPr>
        <w:jc w:val="left"/>
        <w:rPr>
          <w:rFonts w:hint="default" w:ascii="Times New Roman" w:hAnsi="Times New Roman" w:eastAsia="SimSun" w:cs="Times New Roman"/>
          <w:sz w:val="28"/>
          <w:szCs w:val="28"/>
        </w:rPr>
      </w:pPr>
    </w:p>
    <w:p w14:paraId="5E0B11BB">
      <w:pPr>
        <w:jc w:val="left"/>
        <w:rPr>
          <w:rFonts w:hint="default" w:ascii="Times New Roman" w:hAnsi="Times New Roman" w:eastAsia="SimSun" w:cs="Times New Roman"/>
          <w:sz w:val="28"/>
          <w:szCs w:val="28"/>
        </w:rPr>
      </w:pPr>
    </w:p>
    <w:p w14:paraId="53693725">
      <w:pPr>
        <w:ind w:firstLine="1600" w:firstLineChars="400"/>
        <w:jc w:val="left"/>
        <w:rPr>
          <w:rFonts w:hint="default"/>
          <w:sz w:val="40"/>
          <w:szCs w:val="40"/>
          <w:lang w:val="en-US"/>
        </w:rPr>
      </w:pPr>
      <w:r>
        <w:rPr>
          <w:rFonts w:hint="default"/>
          <w:sz w:val="40"/>
          <w:szCs w:val="40"/>
          <w:lang w:val="en-US"/>
        </w:rPr>
        <w:t>Growth Price Index &amp; Fertility Rate</w:t>
      </w:r>
    </w:p>
    <w:p w14:paraId="0B42F16D">
      <w:pPr>
        <w:jc w:val="left"/>
        <w:rPr>
          <w:rFonts w:hint="default"/>
          <w:sz w:val="40"/>
          <w:szCs w:val="40"/>
          <w:lang w:val="en-US"/>
        </w:rPr>
      </w:pPr>
      <w:r>
        <w:rPr>
          <w:rFonts w:hint="default"/>
          <w:sz w:val="40"/>
          <w:szCs w:val="40"/>
          <w:lang w:val="en-US"/>
        </w:rPr>
        <w:drawing>
          <wp:anchor distT="0" distB="0" distL="114300" distR="114300" simplePos="0" relativeHeight="251661312" behindDoc="0" locked="0" layoutInCell="1" allowOverlap="1">
            <wp:simplePos x="0" y="0"/>
            <wp:positionH relativeFrom="column">
              <wp:posOffset>-747395</wp:posOffset>
            </wp:positionH>
            <wp:positionV relativeFrom="paragraph">
              <wp:posOffset>64770</wp:posOffset>
            </wp:positionV>
            <wp:extent cx="6757035" cy="4368800"/>
            <wp:effectExtent l="0" t="0" r="9525" b="5080"/>
            <wp:wrapSquare wrapText="bothSides"/>
            <wp:docPr id="1" name="Picture 1" descr="Price vs Fertility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ce vs FertilityRate"/>
                    <pic:cNvPicPr>
                      <a:picLocks noChangeAspect="1"/>
                    </pic:cNvPicPr>
                  </pic:nvPicPr>
                  <pic:blipFill>
                    <a:blip r:embed="rId6"/>
                    <a:stretch>
                      <a:fillRect/>
                    </a:stretch>
                  </pic:blipFill>
                  <pic:spPr>
                    <a:xfrm>
                      <a:off x="0" y="0"/>
                      <a:ext cx="6757035" cy="4368800"/>
                    </a:xfrm>
                    <a:prstGeom prst="rect">
                      <a:avLst/>
                    </a:prstGeom>
                  </pic:spPr>
                </pic:pic>
              </a:graphicData>
            </a:graphic>
          </wp:anchor>
        </w:drawing>
      </w:r>
    </w:p>
    <w:p w14:paraId="2D8AEAEB">
      <w:pPr>
        <w:pStyle w:val="5"/>
        <w:keepNext w:val="0"/>
        <w:keepLines w:val="0"/>
        <w:widowControl/>
        <w:suppressLineNumbers w:val="0"/>
        <w:rPr>
          <w:sz w:val="26"/>
          <w:szCs w:val="26"/>
        </w:rPr>
      </w:pPr>
      <w:r>
        <w:rPr>
          <w:rFonts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Correlation:</w:t>
      </w:r>
      <w:r>
        <w:rPr>
          <w:sz w:val="26"/>
          <w:szCs w:val="26"/>
        </w:rPr>
        <w:t xml:space="preserve"> 0.064</w:t>
      </w:r>
    </w:p>
    <w:p w14:paraId="1F6A33C8">
      <w:pPr>
        <w:pStyle w:val="5"/>
        <w:keepNext w:val="0"/>
        <w:keepLines w:val="0"/>
        <w:widowControl/>
        <w:suppressLineNumbers w:val="0"/>
        <w:rPr>
          <w:sz w:val="26"/>
          <w:szCs w:val="26"/>
        </w:rPr>
      </w:pPr>
      <w:r>
        <w:rPr>
          <w:rFonts w:hint="default"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Interpretation:</w:t>
      </w:r>
      <w:r>
        <w:rPr>
          <w:sz w:val="26"/>
          <w:szCs w:val="26"/>
        </w:rPr>
        <w:t xml:space="preserve"> The correlation between house price growth rate and fertility rate is very weak and positive. The data points are widely scattered, and the trend line is nearly flat.</w:t>
      </w:r>
    </w:p>
    <w:p w14:paraId="1113FA77">
      <w:pPr>
        <w:pStyle w:val="5"/>
        <w:keepNext w:val="0"/>
        <w:keepLines w:val="0"/>
        <w:widowControl/>
        <w:suppressLineNumbers w:val="0"/>
        <w:rPr>
          <w:sz w:val="26"/>
          <w:szCs w:val="26"/>
        </w:rPr>
      </w:pPr>
      <w:r>
        <w:rPr>
          <w:rFonts w:hint="default"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Conclusion:</w:t>
      </w:r>
      <w:r>
        <w:rPr>
          <w:sz w:val="26"/>
          <w:szCs w:val="26"/>
        </w:rPr>
        <w:t xml:space="preserve"> There is no meaningful relationship between housing price increases and fertility rate. Changes in housing prices do not seem to significantly influence fertility rates across provinces and years. Other factors likely play a more substantial role in fertility decisions.</w:t>
      </w:r>
    </w:p>
    <w:p w14:paraId="16401554">
      <w:pPr>
        <w:jc w:val="left"/>
        <w:rPr>
          <w:rFonts w:hint="default"/>
          <w:sz w:val="40"/>
          <w:szCs w:val="40"/>
          <w:lang w:val="en-US"/>
        </w:rPr>
      </w:pPr>
    </w:p>
    <w:p w14:paraId="2243509F">
      <w:pPr>
        <w:jc w:val="left"/>
        <w:rPr>
          <w:rFonts w:hint="default"/>
          <w:sz w:val="40"/>
          <w:szCs w:val="40"/>
          <w:lang w:val="en-US"/>
        </w:rPr>
      </w:pPr>
    </w:p>
    <w:p w14:paraId="451B0E0B">
      <w:pPr>
        <w:jc w:val="left"/>
        <w:rPr>
          <w:rFonts w:hint="default"/>
          <w:sz w:val="40"/>
          <w:szCs w:val="40"/>
          <w:lang w:val="en-US"/>
        </w:rPr>
      </w:pPr>
    </w:p>
    <w:p w14:paraId="47CD4715">
      <w:pPr>
        <w:jc w:val="left"/>
        <w:rPr>
          <w:rFonts w:hint="default"/>
          <w:sz w:val="40"/>
          <w:szCs w:val="40"/>
          <w:lang w:val="en-US"/>
        </w:rPr>
      </w:pPr>
    </w:p>
    <w:p w14:paraId="03F569D6">
      <w:pPr>
        <w:ind w:firstLine="800" w:firstLineChars="200"/>
        <w:jc w:val="left"/>
        <w:rPr>
          <w:rFonts w:hint="default"/>
          <w:sz w:val="40"/>
          <w:szCs w:val="40"/>
          <w:lang w:val="en-US"/>
        </w:rPr>
      </w:pPr>
      <w:r>
        <w:rPr>
          <w:rFonts w:hint="default"/>
          <w:sz w:val="40"/>
          <w:szCs w:val="40"/>
          <w:lang w:val="en-US"/>
        </w:rPr>
        <w:t>Growth Price Index &amp; Crude Marriage Rate</w:t>
      </w:r>
    </w:p>
    <w:p w14:paraId="23A7FCC3">
      <w:pPr>
        <w:pStyle w:val="5"/>
        <w:keepNext w:val="0"/>
        <w:keepLines w:val="0"/>
        <w:widowControl/>
        <w:suppressLineNumbers w:val="0"/>
        <w:rPr>
          <w:rFonts w:ascii="Symbol" w:hAnsi="Symbol" w:eastAsia="Symbol" w:cs="Symbol"/>
          <w:sz w:val="26"/>
          <w:szCs w:val="26"/>
        </w:rPr>
      </w:pPr>
      <w:r>
        <w:rPr>
          <w:rFonts w:hint="default"/>
          <w:sz w:val="26"/>
          <w:szCs w:val="26"/>
          <w:lang w:val="en-US"/>
        </w:rPr>
        <w:drawing>
          <wp:anchor distT="0" distB="0" distL="114300" distR="114300" simplePos="0" relativeHeight="251662336" behindDoc="0" locked="0" layoutInCell="1" allowOverlap="1">
            <wp:simplePos x="0" y="0"/>
            <wp:positionH relativeFrom="column">
              <wp:posOffset>-850900</wp:posOffset>
            </wp:positionH>
            <wp:positionV relativeFrom="paragraph">
              <wp:posOffset>245745</wp:posOffset>
            </wp:positionV>
            <wp:extent cx="6573520" cy="4064000"/>
            <wp:effectExtent l="0" t="0" r="10160" b="5080"/>
            <wp:wrapSquare wrapText="bothSides"/>
            <wp:docPr id="4" name="Picture 4" descr="Price vs Marri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ice vs Marriage"/>
                    <pic:cNvPicPr>
                      <a:picLocks noChangeAspect="1"/>
                    </pic:cNvPicPr>
                  </pic:nvPicPr>
                  <pic:blipFill>
                    <a:blip r:embed="rId7"/>
                    <a:stretch>
                      <a:fillRect/>
                    </a:stretch>
                  </pic:blipFill>
                  <pic:spPr>
                    <a:xfrm>
                      <a:off x="0" y="0"/>
                      <a:ext cx="6573520" cy="4064000"/>
                    </a:xfrm>
                    <a:prstGeom prst="rect">
                      <a:avLst/>
                    </a:prstGeom>
                  </pic:spPr>
                </pic:pic>
              </a:graphicData>
            </a:graphic>
          </wp:anchor>
        </w:drawing>
      </w:r>
    </w:p>
    <w:p w14:paraId="1F98F5A1">
      <w:pPr>
        <w:pStyle w:val="5"/>
        <w:keepNext w:val="0"/>
        <w:keepLines w:val="0"/>
        <w:widowControl/>
        <w:suppressLineNumbers w:val="0"/>
        <w:rPr>
          <w:sz w:val="26"/>
          <w:szCs w:val="26"/>
        </w:rPr>
      </w:pPr>
      <w:r>
        <w:rPr>
          <w:rFonts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Correlation:</w:t>
      </w:r>
      <w:r>
        <w:rPr>
          <w:sz w:val="26"/>
          <w:szCs w:val="26"/>
        </w:rPr>
        <w:t xml:space="preserve"> 0.112</w:t>
      </w:r>
    </w:p>
    <w:p w14:paraId="364369EB">
      <w:pPr>
        <w:pStyle w:val="5"/>
        <w:keepNext w:val="0"/>
        <w:keepLines w:val="0"/>
        <w:widowControl/>
        <w:suppressLineNumbers w:val="0"/>
        <w:rPr>
          <w:sz w:val="26"/>
          <w:szCs w:val="26"/>
        </w:rPr>
      </w:pPr>
      <w:r>
        <w:rPr>
          <w:rFonts w:hint="default"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Interpretation:</w:t>
      </w:r>
      <w:r>
        <w:rPr>
          <w:sz w:val="26"/>
          <w:szCs w:val="26"/>
        </w:rPr>
        <w:t xml:space="preserve"> The correlation is still weak, but slightly stronger than the fertility rate plot. There is a small positive trend, suggesting that as price growth increases, marriage rates might increase a little, but the association is minimal.</w:t>
      </w:r>
    </w:p>
    <w:p w14:paraId="3089B542">
      <w:pPr>
        <w:pStyle w:val="5"/>
        <w:keepNext w:val="0"/>
        <w:keepLines w:val="0"/>
        <w:widowControl/>
        <w:suppressLineNumbers w:val="0"/>
        <w:rPr>
          <w:sz w:val="26"/>
          <w:szCs w:val="26"/>
        </w:rPr>
      </w:pPr>
      <w:r>
        <w:rPr>
          <w:rFonts w:hint="default"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Conclusion:</w:t>
      </w:r>
      <w:r>
        <w:rPr>
          <w:sz w:val="26"/>
          <w:szCs w:val="26"/>
        </w:rPr>
        <w:t xml:space="preserve"> There is a very small positive association between housing price growth and marriage rates. However, this relationship is weak and not strong enough to conclude that rising housing prices directly impact marriage rates. Again, marriage rates are likely influenced by a variety of socio-economic and cultural factors beyond house price growth.</w:t>
      </w:r>
    </w:p>
    <w:p w14:paraId="6EE57C01">
      <w:pPr>
        <w:jc w:val="left"/>
        <w:rPr>
          <w:rFonts w:hint="default"/>
          <w:sz w:val="40"/>
          <w:szCs w:val="40"/>
          <w:lang w:val="en-US"/>
        </w:rPr>
      </w:pPr>
    </w:p>
    <w:p w14:paraId="2C19C5AA">
      <w:pPr>
        <w:jc w:val="left"/>
        <w:rPr>
          <w:rFonts w:hint="default"/>
          <w:sz w:val="40"/>
          <w:szCs w:val="40"/>
          <w:lang w:val="en-US"/>
        </w:rPr>
      </w:pPr>
    </w:p>
    <w:p w14:paraId="76492190">
      <w:pPr>
        <w:jc w:val="left"/>
        <w:rPr>
          <w:rFonts w:hint="default"/>
          <w:sz w:val="40"/>
          <w:szCs w:val="4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D1259"/>
    <w:rsid w:val="0A7F677B"/>
    <w:rsid w:val="2B0B3E59"/>
    <w:rsid w:val="4B6E2060"/>
    <w:rsid w:val="57D94348"/>
    <w:rsid w:val="60C03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2025-06-11T09:25:00Z</dcterms:created>
  <dc:creator>nizom</dc:creator>
  <cp:lastModifiedBy>Diana</cp:lastModifiedBy>
  <dcterms:modified xsi:type="dcterms:W3CDTF">2025-06-13T06:35:20Z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9BA2AF3AEFFB4489BC357D599B6CAD60_12</vt:lpwstr>
  </property>
</Properties>
</file>