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8D" w:rsidRPr="00B65090" w:rsidRDefault="0009188D" w:rsidP="00AE2EB4">
      <w:pPr>
        <w:jc w:val="both"/>
        <w:rPr>
          <w:b/>
          <w:i/>
        </w:rPr>
      </w:pPr>
      <w:proofErr w:type="gramStart"/>
      <w:r w:rsidRPr="0009188D">
        <w:t>Figure 1.</w:t>
      </w:r>
      <w:proofErr w:type="gramEnd"/>
      <w:r w:rsidRPr="0009188D">
        <w:t xml:space="preserve"> </w:t>
      </w:r>
      <w:proofErr w:type="gramStart"/>
      <w:r w:rsidRPr="0009188D">
        <w:t>Experimental overview</w:t>
      </w:r>
      <w:r w:rsidR="00250DAA">
        <w:t xml:space="preserve"> and timing of flg22-activated responses</w:t>
      </w:r>
      <w:r w:rsidR="00B65090">
        <w:t>.</w:t>
      </w:r>
      <w:proofErr w:type="gramEnd"/>
      <w:r w:rsidR="00B65090" w:rsidRPr="00B65090">
        <w:t xml:space="preserve"> </w:t>
      </w:r>
    </w:p>
    <w:p w:rsidR="00AE2EB4" w:rsidRPr="00AE2EB4" w:rsidRDefault="00F46BE1" w:rsidP="00AE2EB4">
      <w:pPr>
        <w:pStyle w:val="ListParagraph"/>
        <w:numPr>
          <w:ilvl w:val="0"/>
          <w:numId w:val="1"/>
        </w:numPr>
        <w:jc w:val="both"/>
      </w:pPr>
      <w:r w:rsidRPr="0009188D">
        <w:t xml:space="preserve">Overview of </w:t>
      </w:r>
      <w:r w:rsidR="0092626C">
        <w:t xml:space="preserve">the </w:t>
      </w:r>
      <w:r w:rsidR="00050C3A">
        <w:t>sampling strategy</w:t>
      </w:r>
      <w:r w:rsidR="002A386F">
        <w:t>. Four</w:t>
      </w:r>
      <w:r w:rsidR="0092626C">
        <w:t>-</w:t>
      </w:r>
      <w:r w:rsidR="002A386F">
        <w:t xml:space="preserve">week-old </w:t>
      </w:r>
      <w:r w:rsidR="008D0D95">
        <w:t xml:space="preserve">Col-0 </w:t>
      </w:r>
      <w:r w:rsidR="002A386F" w:rsidRPr="00AE2EB4">
        <w:rPr>
          <w:i/>
        </w:rPr>
        <w:t xml:space="preserve">Arabidopsis </w:t>
      </w:r>
      <w:r w:rsidR="008D0D95" w:rsidRPr="00AE2EB4">
        <w:rPr>
          <w:i/>
        </w:rPr>
        <w:t>thaliana</w:t>
      </w:r>
      <w:r w:rsidR="008D0D95">
        <w:t xml:space="preserve"> </w:t>
      </w:r>
      <w:r w:rsidR="002A386F">
        <w:t>plants grown in soil were sprayed with 10uM flg22</w:t>
      </w:r>
      <w:r w:rsidR="008A7544">
        <w:t xml:space="preserve"> peptide</w:t>
      </w:r>
      <w:r w:rsidR="002A386F">
        <w:t xml:space="preserve"> + 0.025% </w:t>
      </w:r>
      <w:proofErr w:type="spellStart"/>
      <w:r w:rsidR="002A386F">
        <w:t>Silwett</w:t>
      </w:r>
      <w:proofErr w:type="spellEnd"/>
      <w:r w:rsidR="002A386F">
        <w:t xml:space="preserve"> L-77 solution or </w:t>
      </w:r>
      <w:r w:rsidR="00447C4F">
        <w:t>H</w:t>
      </w:r>
      <w:r w:rsidR="00447C4F" w:rsidRPr="00AE2EB4">
        <w:rPr>
          <w:vertAlign w:val="subscript"/>
        </w:rPr>
        <w:t>2</w:t>
      </w:r>
      <w:r w:rsidR="00447C4F">
        <w:t xml:space="preserve">O + </w:t>
      </w:r>
      <w:r w:rsidR="002A386F">
        <w:t xml:space="preserve">0.025% </w:t>
      </w:r>
      <w:proofErr w:type="spellStart"/>
      <w:r w:rsidR="002A386F">
        <w:t>Silwett</w:t>
      </w:r>
      <w:proofErr w:type="spellEnd"/>
      <w:r w:rsidR="002A386F">
        <w:t xml:space="preserve"> L-77 as a control. </w:t>
      </w:r>
      <w:r w:rsidR="00447C4F">
        <w:t>Rosette l</w:t>
      </w:r>
      <w:r w:rsidR="002A386F">
        <w:t xml:space="preserve">eaf tissue was harvested for </w:t>
      </w:r>
      <w:r w:rsidR="008D0D95">
        <w:t xml:space="preserve">total </w:t>
      </w:r>
      <w:r w:rsidR="009A70FF">
        <w:t xml:space="preserve">PM protein enrichment and </w:t>
      </w:r>
      <w:r w:rsidR="009A70FF" w:rsidRPr="0009188D">
        <w:t>RNA</w:t>
      </w:r>
      <w:r w:rsidR="00050C3A">
        <w:t>-</w:t>
      </w:r>
      <w:proofErr w:type="spellStart"/>
      <w:r w:rsidR="009A70FF">
        <w:t>seq</w:t>
      </w:r>
      <w:proofErr w:type="spellEnd"/>
      <w:r w:rsidR="009A70FF">
        <w:t xml:space="preserve"> </w:t>
      </w:r>
      <w:r w:rsidR="002A386F">
        <w:t>at the indicated time</w:t>
      </w:r>
      <w:r w:rsidR="00447C4F">
        <w:t xml:space="preserve"> </w:t>
      </w:r>
      <w:r w:rsidR="002A386F">
        <w:t>points.</w:t>
      </w:r>
      <w:r w:rsidR="00AE2EB4">
        <w:t xml:space="preserve"> The line graph represents e</w:t>
      </w:r>
      <w:r w:rsidR="00AE2EB4" w:rsidRPr="00AE2EB4">
        <w:t>xpression of the FLG22-INDUCED RECEPTOR-LIKE KINASE 1 (FRK1) marker gene after flg22 treatment as determined by real-time RT-PCR. Expression values were normalized to E</w:t>
      </w:r>
      <w:r w:rsidR="00D358AC">
        <w:t>longation factor</w:t>
      </w:r>
      <w:r w:rsidR="00AE2EB4" w:rsidRPr="00AE2EB4">
        <w:t xml:space="preserve">-1ɑ. Plotted values represent the mean ratio ± SD of FRK1 expression in flg22-treated samples relative to the H2O control treatment at </w:t>
      </w:r>
      <w:r w:rsidR="00050C3A">
        <w:t>each</w:t>
      </w:r>
      <w:r w:rsidR="00AE2EB4" w:rsidRPr="00AE2EB4">
        <w:t xml:space="preserve"> time point</w:t>
      </w:r>
      <w:r w:rsidR="0030710F">
        <w:t>.</w:t>
      </w:r>
    </w:p>
    <w:p w:rsidR="009741B9" w:rsidRPr="002A386F" w:rsidRDefault="008041C6" w:rsidP="00AE2EB4">
      <w:pPr>
        <w:numPr>
          <w:ilvl w:val="0"/>
          <w:numId w:val="1"/>
        </w:numPr>
        <w:jc w:val="both"/>
        <w:rPr>
          <w:i/>
        </w:rPr>
      </w:pPr>
      <w:r>
        <w:t>Robust</w:t>
      </w:r>
      <w:r w:rsidR="002A386F">
        <w:t xml:space="preserve"> </w:t>
      </w:r>
      <w:r>
        <w:t>mitogen-activated protein kinase (</w:t>
      </w:r>
      <w:r w:rsidR="002A386F">
        <w:t>MPK</w:t>
      </w:r>
      <w:r>
        <w:t>)</w:t>
      </w:r>
      <w:r w:rsidR="002A386F">
        <w:t xml:space="preserve"> </w:t>
      </w:r>
      <w:r>
        <w:t>activation is</w:t>
      </w:r>
      <w:r w:rsidR="002A386F">
        <w:t xml:space="preserve"> observed 10-15 minutes post-</w:t>
      </w:r>
      <w:r w:rsidR="00447C4F">
        <w:t>flg22 treatment</w:t>
      </w:r>
      <w:r w:rsidR="002A386F">
        <w:t xml:space="preserve">. </w:t>
      </w:r>
      <w:r>
        <w:t xml:space="preserve">Plants were treated as in (A). </w:t>
      </w:r>
      <w:r w:rsidR="00E25C53">
        <w:t xml:space="preserve">Total leaf </w:t>
      </w:r>
      <w:r w:rsidR="00050C3A">
        <w:t>protein was</w:t>
      </w:r>
      <w:r w:rsidR="00E25C53">
        <w:t xml:space="preserve"> extracted from</w:t>
      </w:r>
      <w:r>
        <w:t xml:space="preserve"> </w:t>
      </w:r>
      <w:r w:rsidR="00050C3A">
        <w:t>tissue harvested</w:t>
      </w:r>
      <w:r>
        <w:t xml:space="preserve"> at the indicated time point</w:t>
      </w:r>
      <w:r w:rsidR="009A70FF">
        <w:t>s</w:t>
      </w:r>
      <w:r>
        <w:t xml:space="preserve"> and </w:t>
      </w:r>
      <w:r w:rsidR="00E25C53">
        <w:t xml:space="preserve">10ug was </w:t>
      </w:r>
      <w:r>
        <w:t xml:space="preserve">subjected to </w:t>
      </w:r>
      <w:r w:rsidR="00E25C53">
        <w:t xml:space="preserve">SDS-PAGE and </w:t>
      </w:r>
      <w:proofErr w:type="spellStart"/>
      <w:r>
        <w:t>immunoblotting</w:t>
      </w:r>
      <w:proofErr w:type="spellEnd"/>
      <w:r>
        <w:t xml:space="preserve"> </w:t>
      </w:r>
      <w:r w:rsidR="00E25C53">
        <w:t>using</w:t>
      </w:r>
      <w:r>
        <w:t xml:space="preserve"> an antibody recognizing phospho-p44/p42 MPK. Signals corresponding to MPK3 and MPK6 are indicated with arrows.</w:t>
      </w:r>
    </w:p>
    <w:p w:rsidR="009741B9" w:rsidRPr="0009188D" w:rsidRDefault="009A70FF" w:rsidP="00AE2EB4">
      <w:pPr>
        <w:numPr>
          <w:ilvl w:val="0"/>
          <w:numId w:val="1"/>
        </w:numPr>
        <w:jc w:val="both"/>
      </w:pPr>
      <w:r>
        <w:t xml:space="preserve">Reproducible </w:t>
      </w:r>
      <w:proofErr w:type="spellStart"/>
      <w:r>
        <w:t>c</w:t>
      </w:r>
      <w:r w:rsidR="002A386F">
        <w:t>allose</w:t>
      </w:r>
      <w:proofErr w:type="spellEnd"/>
      <w:r w:rsidR="002A386F">
        <w:t xml:space="preserve"> </w:t>
      </w:r>
      <w:r w:rsidR="00F46BE1" w:rsidRPr="0009188D">
        <w:t xml:space="preserve">deposition </w:t>
      </w:r>
      <w:r w:rsidR="00122FB1">
        <w:t xml:space="preserve">is </w:t>
      </w:r>
      <w:r w:rsidR="00F46BE1" w:rsidRPr="0009188D">
        <w:t xml:space="preserve">observed </w:t>
      </w:r>
      <w:r>
        <w:t>720 minutes (12h)</w:t>
      </w:r>
      <w:r w:rsidR="00F46BE1" w:rsidRPr="0009188D">
        <w:t xml:space="preserve"> post-flg22</w:t>
      </w:r>
      <w:r w:rsidR="00122FB1">
        <w:t xml:space="preserve"> treatment</w:t>
      </w:r>
      <w:r w:rsidR="0073378D">
        <w:t xml:space="preserve"> as determined by aniline blue staining.</w:t>
      </w:r>
      <w:r w:rsidR="0073378D" w:rsidRPr="0009188D">
        <w:t xml:space="preserve"> </w:t>
      </w:r>
      <w:r w:rsidR="008041C6">
        <w:t xml:space="preserve">Plants were treated as in (A) and tissue was processed according to </w:t>
      </w:r>
      <w:r w:rsidR="0020624C">
        <w:t>(</w:t>
      </w:r>
      <w:r w:rsidR="003B5C2D">
        <w:t>Adam and Somerville, 1996</w:t>
      </w:r>
      <w:r w:rsidR="0020624C">
        <w:t>).</w:t>
      </w:r>
    </w:p>
    <w:p w:rsidR="00972796" w:rsidRPr="00972796" w:rsidRDefault="00972796" w:rsidP="00AE2EB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sz w:val="17"/>
          <w:szCs w:val="17"/>
        </w:rPr>
      </w:pPr>
    </w:p>
    <w:p w:rsidR="00252703" w:rsidRPr="00050C3A" w:rsidRDefault="00252703" w:rsidP="009D3351">
      <w:pPr>
        <w:spacing w:after="120"/>
        <w:jc w:val="both"/>
      </w:pPr>
      <w:r w:rsidRPr="00050C3A">
        <w:t>Supplemental</w:t>
      </w:r>
      <w:r w:rsidR="005A3FE4" w:rsidRPr="00050C3A">
        <w:t xml:space="preserve"> Figure</w:t>
      </w:r>
      <w:r w:rsidR="00F95149">
        <w:t xml:space="preserve"> </w:t>
      </w:r>
      <w:r w:rsidR="00043221" w:rsidRPr="00050C3A">
        <w:t>1</w:t>
      </w:r>
      <w:r w:rsidRPr="00050C3A">
        <w:t>:  RNA/protein</w:t>
      </w:r>
      <w:r w:rsidR="00AB7AE8" w:rsidRPr="00050C3A">
        <w:t xml:space="preserve"> isolations and </w:t>
      </w:r>
      <w:r w:rsidRPr="00050C3A">
        <w:t>data analysis</w:t>
      </w:r>
      <w:r w:rsidR="008D0D95" w:rsidRPr="00050C3A">
        <w:t>/filtering</w:t>
      </w:r>
      <w:r w:rsidR="00AB7AE8" w:rsidRPr="00050C3A">
        <w:t xml:space="preserve"> pipeline</w:t>
      </w:r>
      <w:r w:rsidR="00773FFD">
        <w:t>s</w:t>
      </w:r>
    </w:p>
    <w:p w:rsidR="007E69EF" w:rsidRDefault="009D3351" w:rsidP="00F744C2">
      <w:pPr>
        <w:spacing w:after="0" w:line="360" w:lineRule="auto"/>
        <w:jc w:val="both"/>
      </w:pPr>
      <w:r>
        <w:t xml:space="preserve">Supplemental Table </w:t>
      </w:r>
      <w:r w:rsidR="001808ED" w:rsidRPr="00050C3A">
        <w:t>1</w:t>
      </w:r>
      <w:r w:rsidR="005F12B8">
        <w:t xml:space="preserve">: </w:t>
      </w:r>
      <w:r w:rsidR="007E69EF" w:rsidRPr="00050C3A">
        <w:t xml:space="preserve"> </w:t>
      </w:r>
      <w:r w:rsidR="005F12B8" w:rsidRPr="005F12B8">
        <w:t xml:space="preserve">Summary of </w:t>
      </w:r>
      <w:proofErr w:type="spellStart"/>
      <w:r w:rsidR="005F12B8" w:rsidRPr="005F12B8">
        <w:t>Xtandem</w:t>
      </w:r>
      <w:proofErr w:type="spellEnd"/>
      <w:r w:rsidR="005F12B8" w:rsidRPr="005F12B8">
        <w:t xml:space="preserve"> parameters and Scaffold identification modeling</w:t>
      </w:r>
    </w:p>
    <w:p w:rsidR="005F12B8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 xml:space="preserve">2: </w:t>
      </w:r>
      <w:r>
        <w:t xml:space="preserve"> </w:t>
      </w:r>
      <w:r w:rsidR="005F12B8" w:rsidRPr="005F12B8">
        <w:t xml:space="preserve">MS/MS </w:t>
      </w:r>
      <w:r w:rsidR="00F744C2">
        <w:t xml:space="preserve">isoform </w:t>
      </w:r>
      <w:r w:rsidR="005F12B8" w:rsidRPr="005F12B8">
        <w:t>count data</w:t>
      </w:r>
      <w:r w:rsidR="005F12B8">
        <w:t xml:space="preserve">, protein ID </w:t>
      </w:r>
      <w:r w:rsidR="00F744C2">
        <w:t>probability</w:t>
      </w:r>
      <w:r w:rsidR="005F12B8">
        <w:t xml:space="preserve">, </w:t>
      </w:r>
      <w:r w:rsidR="00F744C2">
        <w:t>exclusive</w:t>
      </w:r>
      <w:r w:rsidR="005F12B8">
        <w:t xml:space="preserve"> spectrum counts</w:t>
      </w:r>
    </w:p>
    <w:p w:rsidR="00F744C2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 xml:space="preserve">3: </w:t>
      </w:r>
      <w:r>
        <w:t xml:space="preserve"> </w:t>
      </w:r>
      <w:r w:rsidR="00F744C2">
        <w:t xml:space="preserve">MS/MS locus count data and </w:t>
      </w:r>
      <w:proofErr w:type="spellStart"/>
      <w:r w:rsidR="00F744C2">
        <w:t>QProt</w:t>
      </w:r>
      <w:proofErr w:type="spellEnd"/>
      <w:r w:rsidR="00F744C2">
        <w:t xml:space="preserve"> analysis</w:t>
      </w:r>
    </w:p>
    <w:p w:rsidR="00F744C2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 xml:space="preserve">4: </w:t>
      </w:r>
      <w:r>
        <w:t xml:space="preserve"> </w:t>
      </w:r>
      <w:proofErr w:type="spellStart"/>
      <w:r w:rsidR="00F744C2" w:rsidRPr="00F744C2">
        <w:t>GeneCounter</w:t>
      </w:r>
      <w:proofErr w:type="spellEnd"/>
      <w:r w:rsidR="00F744C2" w:rsidRPr="00F744C2">
        <w:t xml:space="preserve"> summary of total read mapping</w:t>
      </w:r>
    </w:p>
    <w:p w:rsidR="00F744C2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>5:</w:t>
      </w:r>
      <w:r>
        <w:t xml:space="preserve"> </w:t>
      </w:r>
      <w:r w:rsidR="00F744C2">
        <w:t xml:space="preserve"> </w:t>
      </w:r>
      <w:r w:rsidR="00F744C2" w:rsidRPr="00F744C2">
        <w:t>pre-filtered gene counts</w:t>
      </w:r>
    </w:p>
    <w:p w:rsidR="00F744C2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 xml:space="preserve">6: </w:t>
      </w:r>
      <w:r>
        <w:t xml:space="preserve"> </w:t>
      </w:r>
      <w:r w:rsidR="00F744C2" w:rsidRPr="00F744C2">
        <w:t>10</w:t>
      </w:r>
      <w:r w:rsidR="00F744C2">
        <w:t>ct</w:t>
      </w:r>
      <w:r w:rsidR="00F744C2" w:rsidRPr="00F744C2">
        <w:t xml:space="preserve"> filtered - 10m</w:t>
      </w:r>
      <w:r w:rsidR="00F744C2">
        <w:t>in</w:t>
      </w:r>
      <w:r w:rsidR="00F744C2" w:rsidRPr="00F744C2">
        <w:t xml:space="preserve"> - reads mapped to locus and </w:t>
      </w:r>
      <w:r w:rsidR="00F744C2">
        <w:t>NBP-</w:t>
      </w:r>
      <w:proofErr w:type="spellStart"/>
      <w:r w:rsidR="00F744C2">
        <w:t>seq</w:t>
      </w:r>
      <w:proofErr w:type="spellEnd"/>
      <w:r w:rsidR="00F744C2">
        <w:t xml:space="preserve"> </w:t>
      </w:r>
      <w:r w:rsidR="00F744C2" w:rsidRPr="00F744C2">
        <w:t>analysis</w:t>
      </w:r>
    </w:p>
    <w:p w:rsidR="00F744C2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 xml:space="preserve">7: </w:t>
      </w:r>
      <w:r>
        <w:t xml:space="preserve"> </w:t>
      </w:r>
      <w:r w:rsidR="00F744C2" w:rsidRPr="00F744C2">
        <w:t>10</w:t>
      </w:r>
      <w:r w:rsidR="00F744C2">
        <w:t>ct</w:t>
      </w:r>
      <w:r w:rsidR="00F744C2" w:rsidRPr="00F744C2">
        <w:t xml:space="preserve"> </w:t>
      </w:r>
      <w:r w:rsidR="00F744C2">
        <w:t>filtered - 6</w:t>
      </w:r>
      <w:r w:rsidR="00F744C2" w:rsidRPr="00F744C2">
        <w:t>0m</w:t>
      </w:r>
      <w:r w:rsidR="00F744C2">
        <w:t>in</w:t>
      </w:r>
      <w:r w:rsidR="00F744C2" w:rsidRPr="00F744C2">
        <w:t xml:space="preserve"> - reads mapped to locus and </w:t>
      </w:r>
      <w:r w:rsidR="00F744C2">
        <w:t>NBP-</w:t>
      </w:r>
      <w:proofErr w:type="spellStart"/>
      <w:r w:rsidR="00F744C2">
        <w:t>seq</w:t>
      </w:r>
      <w:proofErr w:type="spellEnd"/>
      <w:r w:rsidR="00F744C2">
        <w:t xml:space="preserve"> </w:t>
      </w:r>
      <w:r w:rsidR="00F744C2" w:rsidRPr="00F744C2">
        <w:t>analysis</w:t>
      </w:r>
    </w:p>
    <w:p w:rsidR="00F744C2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 xml:space="preserve">8: </w:t>
      </w:r>
      <w:r>
        <w:t xml:space="preserve"> </w:t>
      </w:r>
      <w:r w:rsidR="00F744C2" w:rsidRPr="00F744C2">
        <w:t>10</w:t>
      </w:r>
      <w:r w:rsidR="00F744C2">
        <w:t>ct</w:t>
      </w:r>
      <w:r w:rsidR="00F744C2" w:rsidRPr="00F744C2">
        <w:t xml:space="preserve"> filtered - 1</w:t>
      </w:r>
      <w:r w:rsidR="00F744C2">
        <w:t>8</w:t>
      </w:r>
      <w:r w:rsidR="00F744C2" w:rsidRPr="00F744C2">
        <w:t>0m</w:t>
      </w:r>
      <w:r w:rsidR="00F744C2">
        <w:t>in</w:t>
      </w:r>
      <w:r w:rsidR="00F744C2" w:rsidRPr="00F744C2">
        <w:t xml:space="preserve"> - reads mapped to locus and </w:t>
      </w:r>
      <w:r w:rsidR="00F744C2">
        <w:t>NBP-</w:t>
      </w:r>
      <w:proofErr w:type="spellStart"/>
      <w:r w:rsidR="00F744C2">
        <w:t>seq</w:t>
      </w:r>
      <w:proofErr w:type="spellEnd"/>
      <w:r w:rsidR="00F744C2">
        <w:t xml:space="preserve"> </w:t>
      </w:r>
      <w:r w:rsidR="00F744C2" w:rsidRPr="00F744C2">
        <w:t>analysis</w:t>
      </w:r>
    </w:p>
    <w:p w:rsidR="00F744C2" w:rsidRDefault="009D3351" w:rsidP="00F744C2">
      <w:pPr>
        <w:spacing w:after="0" w:line="360" w:lineRule="auto"/>
        <w:jc w:val="both"/>
      </w:pPr>
      <w:r>
        <w:t xml:space="preserve">Supplemental Table </w:t>
      </w:r>
      <w:r w:rsidR="00F744C2">
        <w:t xml:space="preserve">9: </w:t>
      </w:r>
      <w:r>
        <w:t xml:space="preserve"> </w:t>
      </w:r>
      <w:r w:rsidR="00F744C2" w:rsidRPr="00F744C2">
        <w:t>10</w:t>
      </w:r>
      <w:r w:rsidR="00F744C2">
        <w:t>ct</w:t>
      </w:r>
      <w:r w:rsidR="00F744C2" w:rsidRPr="00F744C2">
        <w:t xml:space="preserve"> </w:t>
      </w:r>
      <w:r w:rsidR="00F744C2">
        <w:t>filtered - 36</w:t>
      </w:r>
      <w:r w:rsidR="00F744C2" w:rsidRPr="00F744C2">
        <w:t>0m</w:t>
      </w:r>
      <w:r w:rsidR="00F744C2">
        <w:t>in</w:t>
      </w:r>
      <w:r w:rsidR="00F744C2" w:rsidRPr="00F744C2">
        <w:t xml:space="preserve"> - reads mapped to locus and </w:t>
      </w:r>
      <w:r w:rsidR="00F744C2">
        <w:t>NBP-</w:t>
      </w:r>
      <w:proofErr w:type="spellStart"/>
      <w:r w:rsidR="00F744C2">
        <w:t>seq</w:t>
      </w:r>
      <w:proofErr w:type="spellEnd"/>
      <w:r w:rsidR="00F744C2">
        <w:t xml:space="preserve"> </w:t>
      </w:r>
      <w:r w:rsidR="00F744C2" w:rsidRPr="00F744C2">
        <w:t>analysis</w:t>
      </w:r>
    </w:p>
    <w:p w:rsidR="00F744C2" w:rsidRDefault="00F744C2" w:rsidP="00F744C2">
      <w:pPr>
        <w:spacing w:after="0" w:line="360" w:lineRule="auto"/>
        <w:jc w:val="both"/>
      </w:pPr>
      <w:r>
        <w:t xml:space="preserve">Supplemental Table 10: </w:t>
      </w:r>
      <w:r w:rsidR="009D3351">
        <w:t xml:space="preserve"> </w:t>
      </w:r>
      <w:r w:rsidRPr="00F744C2">
        <w:t>10</w:t>
      </w:r>
      <w:r>
        <w:t>ct</w:t>
      </w:r>
      <w:r w:rsidRPr="00F744C2">
        <w:t xml:space="preserve"> </w:t>
      </w:r>
      <w:r>
        <w:t>filtered - 72</w:t>
      </w:r>
      <w:r w:rsidRPr="00F744C2">
        <w:t>0m</w:t>
      </w:r>
      <w:r>
        <w:t>in</w:t>
      </w:r>
      <w:r w:rsidRPr="00F744C2">
        <w:t xml:space="preserve"> - reads mapped to locus and </w:t>
      </w:r>
      <w:r>
        <w:t>NBP-</w:t>
      </w:r>
      <w:proofErr w:type="spellStart"/>
      <w:r>
        <w:t>seq</w:t>
      </w:r>
      <w:proofErr w:type="spellEnd"/>
      <w:r>
        <w:t xml:space="preserve"> </w:t>
      </w:r>
      <w:r w:rsidRPr="00F744C2">
        <w:t>analysis</w:t>
      </w:r>
    </w:p>
    <w:p w:rsidR="00883AAF" w:rsidRPr="00E47177" w:rsidRDefault="00F95149" w:rsidP="00883AAF">
      <w:pPr>
        <w:jc w:val="both"/>
      </w:pPr>
      <w:r>
        <w:t xml:space="preserve">Supplemental Figure </w:t>
      </w:r>
      <w:r w:rsidR="00883AAF" w:rsidRPr="00E47177">
        <w:t>2: Rank-order scatter plot of mRNA (FPKM) and PM protein (NSAF) relative abundance values</w:t>
      </w:r>
    </w:p>
    <w:p w:rsidR="00883AAF" w:rsidRPr="00E47177" w:rsidRDefault="00883AAF" w:rsidP="00883AAF">
      <w:pPr>
        <w:jc w:val="both"/>
      </w:pPr>
      <w:r w:rsidRPr="00E47177">
        <w:t>Supplemental Table 11: List of zero and low mRNA proteins highlighted in Supplemental Figure 02</w:t>
      </w:r>
    </w:p>
    <w:p w:rsidR="00883AAF" w:rsidRPr="00050C3A" w:rsidRDefault="00883AAF" w:rsidP="00F744C2">
      <w:pPr>
        <w:spacing w:after="0" w:line="360" w:lineRule="auto"/>
        <w:jc w:val="both"/>
      </w:pPr>
    </w:p>
    <w:p w:rsidR="009D3351" w:rsidRDefault="009D3351" w:rsidP="00AE2EB4">
      <w:pPr>
        <w:jc w:val="both"/>
      </w:pPr>
    </w:p>
    <w:p w:rsidR="004C6EB3" w:rsidRDefault="00447C4F" w:rsidP="00AE2EB4">
      <w:pPr>
        <w:jc w:val="both"/>
      </w:pPr>
      <w:proofErr w:type="gramStart"/>
      <w:r>
        <w:lastRenderedPageBreak/>
        <w:t>Figure 2.</w:t>
      </w:r>
      <w:proofErr w:type="gramEnd"/>
      <w:r>
        <w:t xml:space="preserve"> Identification overlap </w:t>
      </w:r>
      <w:r w:rsidR="001C137C">
        <w:t xml:space="preserve">across datasets </w:t>
      </w:r>
      <w:r>
        <w:t xml:space="preserve">and </w:t>
      </w:r>
      <w:r w:rsidR="00050C3A">
        <w:t>G</w:t>
      </w:r>
      <w:r w:rsidR="001C137C">
        <w:t xml:space="preserve">ene </w:t>
      </w:r>
      <w:r w:rsidR="00050C3A">
        <w:t>O</w:t>
      </w:r>
      <w:r w:rsidR="001C137C">
        <w:t>ntology</w:t>
      </w:r>
      <w:r w:rsidR="00050C3A">
        <w:t xml:space="preserve"> (GO)</w:t>
      </w:r>
      <w:r w:rsidR="001C137C">
        <w:t xml:space="preserve"> classification </w:t>
      </w:r>
      <w:r w:rsidR="004C6EB3">
        <w:t>of identified genes</w:t>
      </w:r>
    </w:p>
    <w:p w:rsidR="004C6EB3" w:rsidRPr="00E4236D" w:rsidRDefault="004C6EB3" w:rsidP="00AE2EB4">
      <w:pPr>
        <w:pStyle w:val="ListParagraph"/>
        <w:numPr>
          <w:ilvl w:val="0"/>
          <w:numId w:val="14"/>
        </w:numPr>
        <w:contextualSpacing w:val="0"/>
        <w:jc w:val="both"/>
      </w:pPr>
      <w:r>
        <w:t xml:space="preserve">Left, Venn diagram of overlap in total gene identifications in </w:t>
      </w:r>
      <w:r w:rsidR="0094763F">
        <w:t xml:space="preserve">the </w:t>
      </w:r>
      <w:r>
        <w:t>RNA-</w:t>
      </w:r>
      <w:proofErr w:type="spellStart"/>
      <w:r>
        <w:t>seq</w:t>
      </w:r>
      <w:proofErr w:type="spellEnd"/>
      <w:r>
        <w:t xml:space="preserve"> and PM protein datasets. Right, Venn diagram of </w:t>
      </w:r>
      <w:r w:rsidR="001C137C">
        <w:t xml:space="preserve">the </w:t>
      </w:r>
      <w:r>
        <w:t>overlap in filtered gene identifications in RN</w:t>
      </w:r>
      <w:r w:rsidR="008A1809">
        <w:t>A-</w:t>
      </w:r>
      <w:proofErr w:type="spellStart"/>
      <w:r w:rsidR="008A1809">
        <w:t>seq</w:t>
      </w:r>
      <w:proofErr w:type="spellEnd"/>
      <w:r w:rsidR="008A1809">
        <w:t xml:space="preserve"> and PM protein datasets. </w:t>
      </w:r>
      <w:r w:rsidR="00663D55">
        <w:t>The f</w:t>
      </w:r>
      <w:r>
        <w:t>iltered datasets were used for differential expression</w:t>
      </w:r>
      <w:r w:rsidR="008D0D95">
        <w:t xml:space="preserve"> </w:t>
      </w:r>
      <w:r>
        <w:t>analysis. The filtered RNA-</w:t>
      </w:r>
      <w:proofErr w:type="spellStart"/>
      <w:r>
        <w:t>seq</w:t>
      </w:r>
      <w:proofErr w:type="spellEnd"/>
      <w:r>
        <w:t xml:space="preserve"> data includes only genes with ten or more counts</w:t>
      </w:r>
      <w:r w:rsidRPr="004C6EB3">
        <w:t xml:space="preserve"> </w:t>
      </w:r>
      <w:r>
        <w:t>in all three replicates of either treatment (flg22) or control (H2O)</w:t>
      </w:r>
      <w:r w:rsidR="00663D55">
        <w:t xml:space="preserve"> at a given time point</w:t>
      </w:r>
      <w:r>
        <w:t xml:space="preserve">. </w:t>
      </w:r>
      <w:r w:rsidR="00286E8F">
        <w:t xml:space="preserve">The filtered MS/MS </w:t>
      </w:r>
      <w:r w:rsidR="00663D55">
        <w:t xml:space="preserve">data includes </w:t>
      </w:r>
      <w:r w:rsidR="00286E8F" w:rsidRPr="00E4236D">
        <w:t xml:space="preserve">proteins </w:t>
      </w:r>
      <w:r w:rsidR="00663D55" w:rsidRPr="00E4236D">
        <w:t xml:space="preserve">identified in at least two replicates of either treatment or control at a given time point. </w:t>
      </w:r>
    </w:p>
    <w:p w:rsidR="00FE6B32" w:rsidRPr="00FE6B32" w:rsidRDefault="008A1809" w:rsidP="00FE6B32">
      <w:pPr>
        <w:numPr>
          <w:ilvl w:val="0"/>
          <w:numId w:val="14"/>
        </w:numPr>
        <w:jc w:val="both"/>
      </w:pPr>
      <w:r w:rsidRPr="00E4236D">
        <w:t>Comparison</w:t>
      </w:r>
      <w:r>
        <w:t xml:space="preserve"> of plant GO Slim </w:t>
      </w:r>
      <w:r w:rsidR="00AE2EB4">
        <w:t>Biological Process</w:t>
      </w:r>
      <w:r>
        <w:t xml:space="preserve"> term annotations in filtered RNA-</w:t>
      </w:r>
      <w:proofErr w:type="spellStart"/>
      <w:r>
        <w:t>seq</w:t>
      </w:r>
      <w:proofErr w:type="spellEnd"/>
      <w:r>
        <w:t xml:space="preserve"> and PM</w:t>
      </w:r>
      <w:r w:rsidR="009B0F11">
        <w:t>-enriched</w:t>
      </w:r>
      <w:r w:rsidR="00050C3A">
        <w:t xml:space="preserve"> protein identifications </w:t>
      </w:r>
      <w:r>
        <w:t xml:space="preserve">with the </w:t>
      </w:r>
      <w:r w:rsidRPr="00FE6B32">
        <w:rPr>
          <w:i/>
        </w:rPr>
        <w:t>A</w:t>
      </w:r>
      <w:r w:rsidR="00050C3A">
        <w:rPr>
          <w:i/>
        </w:rPr>
        <w:t>.</w:t>
      </w:r>
      <w:r w:rsidRPr="00FE6B32">
        <w:rPr>
          <w:i/>
        </w:rPr>
        <w:t xml:space="preserve"> thaliana </w:t>
      </w:r>
      <w:r>
        <w:t>genome.</w:t>
      </w:r>
      <w:r w:rsidR="00A12CA3">
        <w:t xml:space="preserve"> </w:t>
      </w:r>
      <w:r w:rsidR="00AE2EB4">
        <w:t xml:space="preserve">Annotations were retrieved from the </w:t>
      </w:r>
      <w:proofErr w:type="spellStart"/>
      <w:r w:rsidR="00AE2EB4">
        <w:t>BioMart</w:t>
      </w:r>
      <w:proofErr w:type="spellEnd"/>
      <w:r w:rsidR="00AE2EB4">
        <w:t xml:space="preserve"> ‘plantsmart21’ database. </w:t>
      </w:r>
      <w:r w:rsidR="00A12CA3">
        <w:t>Data</w:t>
      </w:r>
      <w:r w:rsidR="00050C3A">
        <w:t xml:space="preserve"> are</w:t>
      </w:r>
      <w:r w:rsidR="00A12CA3">
        <w:t xml:space="preserve"> presented as the percentage of total </w:t>
      </w:r>
      <w:r w:rsidR="00050C3A">
        <w:t>annotations</w:t>
      </w:r>
      <w:r w:rsidR="00A12CA3">
        <w:t xml:space="preserve"> in each respective dataset.</w:t>
      </w:r>
      <w:r w:rsidR="00C66EF9" w:rsidRPr="00FE6B32">
        <w:rPr>
          <w:b/>
        </w:rPr>
        <w:t xml:space="preserve"> </w:t>
      </w:r>
      <w:r w:rsidR="00FE6B32">
        <w:t>Complete results can b</w:t>
      </w:r>
      <w:r w:rsidR="00CB4E7C">
        <w:t>e found in Supplemental Table 1</w:t>
      </w:r>
      <w:r w:rsidR="00240B62">
        <w:t>2</w:t>
      </w:r>
      <w:r w:rsidR="00050C3A">
        <w:t>.</w:t>
      </w:r>
    </w:p>
    <w:p w:rsidR="008D0D95" w:rsidRPr="00050C3A" w:rsidRDefault="008A1809" w:rsidP="00FE6B32">
      <w:pPr>
        <w:numPr>
          <w:ilvl w:val="0"/>
          <w:numId w:val="14"/>
        </w:numPr>
        <w:jc w:val="both"/>
      </w:pPr>
      <w:r>
        <w:t xml:space="preserve">Comparison of plant GO Slim </w:t>
      </w:r>
      <w:r w:rsidR="00AE2EB4">
        <w:t>Molecular Function</w:t>
      </w:r>
      <w:r w:rsidR="00383EAF">
        <w:t xml:space="preserve"> term</w:t>
      </w:r>
      <w:r>
        <w:t xml:space="preserve"> annotations in filtered RNA-</w:t>
      </w:r>
      <w:proofErr w:type="spellStart"/>
      <w:r>
        <w:t>seq</w:t>
      </w:r>
      <w:proofErr w:type="spellEnd"/>
      <w:r>
        <w:t xml:space="preserve"> and PM</w:t>
      </w:r>
      <w:r w:rsidR="009B0F11">
        <w:t>-enriched</w:t>
      </w:r>
      <w:r>
        <w:t xml:space="preserve"> protein identifications with the </w:t>
      </w:r>
      <w:r w:rsidRPr="00FE6B32">
        <w:rPr>
          <w:i/>
        </w:rPr>
        <w:t>A</w:t>
      </w:r>
      <w:r w:rsidR="00050C3A">
        <w:rPr>
          <w:i/>
        </w:rPr>
        <w:t>.</w:t>
      </w:r>
      <w:r w:rsidRPr="00FE6B32">
        <w:rPr>
          <w:i/>
        </w:rPr>
        <w:t xml:space="preserve"> thaliana </w:t>
      </w:r>
      <w:r>
        <w:t>genome.</w:t>
      </w:r>
      <w:r w:rsidR="00A12CA3">
        <w:t xml:space="preserve"> </w:t>
      </w:r>
      <w:r w:rsidR="00AE2EB4">
        <w:t xml:space="preserve">Annotations were </w:t>
      </w:r>
      <w:r w:rsidR="00AE2EB4" w:rsidRPr="00050C3A">
        <w:t xml:space="preserve">retrieved </w:t>
      </w:r>
      <w:r w:rsidR="00050C3A">
        <w:t>and presented as in (B).</w:t>
      </w:r>
      <w:r w:rsidR="00050C3A" w:rsidRPr="00050C3A">
        <w:t xml:space="preserve"> </w:t>
      </w:r>
      <w:r w:rsidR="00050C3A">
        <w:t>Complete results can b</w:t>
      </w:r>
      <w:r w:rsidR="00240B62">
        <w:t>e found in Supplemental Table 12</w:t>
      </w:r>
      <w:r w:rsidR="00050C3A">
        <w:t>.</w:t>
      </w:r>
    </w:p>
    <w:p w:rsidR="0030710F" w:rsidRPr="00E47177" w:rsidRDefault="004F4C8E" w:rsidP="00AE2EB4">
      <w:pPr>
        <w:jc w:val="both"/>
      </w:pPr>
      <w:r w:rsidRPr="00E47177">
        <w:t>Supplemental Table 12</w:t>
      </w:r>
      <w:r w:rsidR="00396F33" w:rsidRPr="00E47177">
        <w:t>:</w:t>
      </w:r>
      <w:r w:rsidR="009D3351">
        <w:t xml:space="preserve"> </w:t>
      </w:r>
      <w:r w:rsidR="00FE6B32" w:rsidRPr="00E47177">
        <w:t xml:space="preserve"> </w:t>
      </w:r>
      <w:r w:rsidR="009D3351">
        <w:t>Complete results from c</w:t>
      </w:r>
      <w:r w:rsidRPr="00E47177">
        <w:t>omparison of mRNA/protein identification</w:t>
      </w:r>
      <w:r w:rsidR="0072060D" w:rsidRPr="00E47177">
        <w:t>s</w:t>
      </w:r>
      <w:r w:rsidRPr="00E47177">
        <w:t xml:space="preserve"> with </w:t>
      </w:r>
      <w:r w:rsidRPr="00E47177">
        <w:rPr>
          <w:i/>
        </w:rPr>
        <w:t>A. thaliana</w:t>
      </w:r>
      <w:r w:rsidRPr="00E47177">
        <w:t xml:space="preserve"> genome</w:t>
      </w:r>
    </w:p>
    <w:p w:rsidR="0072060D" w:rsidRDefault="0072060D" w:rsidP="00AE2EB4">
      <w:pPr>
        <w:jc w:val="both"/>
      </w:pPr>
    </w:p>
    <w:p w:rsidR="00A76A13" w:rsidRPr="00A0229D" w:rsidRDefault="0009188D" w:rsidP="00AE2EB4">
      <w:pPr>
        <w:jc w:val="both"/>
        <w:rPr>
          <w:b/>
        </w:rPr>
      </w:pPr>
      <w:proofErr w:type="gramStart"/>
      <w:r w:rsidRPr="0009188D">
        <w:t>Fig</w:t>
      </w:r>
      <w:r w:rsidR="00447C4F">
        <w:t>ure 3</w:t>
      </w:r>
      <w:r w:rsidRPr="0009188D">
        <w:t>.</w:t>
      </w:r>
      <w:proofErr w:type="gramEnd"/>
      <w:r w:rsidRPr="0009188D">
        <w:t xml:space="preserve"> </w:t>
      </w:r>
      <w:r w:rsidR="00C10EFE">
        <w:t xml:space="preserve">Predicted </w:t>
      </w:r>
      <w:r w:rsidR="001C137C">
        <w:t xml:space="preserve">sub-cellular </w:t>
      </w:r>
      <w:r w:rsidR="00C10EFE">
        <w:t>l</w:t>
      </w:r>
      <w:r w:rsidR="00FF1688">
        <w:t xml:space="preserve">ocalization </w:t>
      </w:r>
      <w:r w:rsidR="00C10EFE">
        <w:t xml:space="preserve">of </w:t>
      </w:r>
      <w:r w:rsidR="001C137C">
        <w:t xml:space="preserve">proteins identified by MS/MS and </w:t>
      </w:r>
      <w:r w:rsidR="00C10EFE">
        <w:t xml:space="preserve">genes identified by </w:t>
      </w:r>
      <w:r w:rsidR="00FF1688">
        <w:t>RNA-</w:t>
      </w:r>
      <w:proofErr w:type="spellStart"/>
      <w:r w:rsidR="00FF1688">
        <w:t>seq</w:t>
      </w:r>
      <w:proofErr w:type="spellEnd"/>
      <w:r w:rsidR="00FF1688">
        <w:t xml:space="preserve"> </w:t>
      </w:r>
      <w:r w:rsidR="00A0229D" w:rsidRPr="00A0229D">
        <w:rPr>
          <w:b/>
          <w:highlight w:val="yellow"/>
        </w:rPr>
        <w:t>I will modify B and C to include PM association evidence as well</w:t>
      </w:r>
    </w:p>
    <w:p w:rsidR="00AE2EB4" w:rsidRDefault="00AE2EB4" w:rsidP="002F75E9">
      <w:pPr>
        <w:pStyle w:val="ListParagraph"/>
        <w:numPr>
          <w:ilvl w:val="0"/>
          <w:numId w:val="23"/>
        </w:numPr>
        <w:jc w:val="both"/>
      </w:pPr>
      <w:r>
        <w:t>Comparison of plant GO Slim Molecular Function term annotations in filtered RNA-</w:t>
      </w:r>
      <w:proofErr w:type="spellStart"/>
      <w:r>
        <w:t>seq</w:t>
      </w:r>
      <w:proofErr w:type="spellEnd"/>
      <w:r>
        <w:t xml:space="preserve"> and PM-</w:t>
      </w:r>
      <w:bookmarkStart w:id="0" w:name="_GoBack"/>
      <w:bookmarkEnd w:id="0"/>
      <w:r>
        <w:t xml:space="preserve">enriched protein identifications with the </w:t>
      </w:r>
      <w:r w:rsidRPr="00AE2EB4">
        <w:rPr>
          <w:i/>
        </w:rPr>
        <w:t>A</w:t>
      </w:r>
      <w:r w:rsidR="00050C3A">
        <w:rPr>
          <w:i/>
        </w:rPr>
        <w:t>.</w:t>
      </w:r>
      <w:r w:rsidRPr="00AE2EB4">
        <w:rPr>
          <w:i/>
        </w:rPr>
        <w:t xml:space="preserve"> thaliana </w:t>
      </w:r>
      <w:r>
        <w:t xml:space="preserve">genome. </w:t>
      </w:r>
      <w:r w:rsidR="00050C3A">
        <w:t xml:space="preserve">Annotations were </w:t>
      </w:r>
      <w:r w:rsidR="00050C3A" w:rsidRPr="00050C3A">
        <w:t xml:space="preserve">retrieved </w:t>
      </w:r>
      <w:r w:rsidR="00050C3A">
        <w:t xml:space="preserve">and presented as in (Figure 2B). </w:t>
      </w:r>
      <w:r w:rsidR="00A12CA3">
        <w:t xml:space="preserve">Asterisks (*) indicate </w:t>
      </w:r>
      <w:r>
        <w:t xml:space="preserve">the top 3 most significant terms </w:t>
      </w:r>
      <w:r w:rsidR="00497F3E">
        <w:t>(</w:t>
      </w:r>
      <w:proofErr w:type="spellStart"/>
      <w:r w:rsidR="00A12CA3">
        <w:t>hypergeometric</w:t>
      </w:r>
      <w:proofErr w:type="spellEnd"/>
      <w:r w:rsidR="00A12CA3">
        <w:t xml:space="preserve"> test with </w:t>
      </w:r>
      <w:proofErr w:type="spellStart"/>
      <w:r w:rsidR="00A12CA3">
        <w:t>B</w:t>
      </w:r>
      <w:r>
        <w:t>enjamini</w:t>
      </w:r>
      <w:proofErr w:type="spellEnd"/>
      <w:r>
        <w:t>-Hochberg</w:t>
      </w:r>
      <w:r w:rsidR="00A12CA3">
        <w:t xml:space="preserve"> correction</w:t>
      </w:r>
      <w:r w:rsidR="00497F3E">
        <w:t>, p&lt;0.001)</w:t>
      </w:r>
      <w:r>
        <w:t xml:space="preserve"> </w:t>
      </w:r>
      <w:r w:rsidR="00A12CA3">
        <w:t xml:space="preserve">using the </w:t>
      </w:r>
      <w:r w:rsidR="00A12CA3" w:rsidRPr="00AE2EB4">
        <w:rPr>
          <w:i/>
        </w:rPr>
        <w:t xml:space="preserve">A. thaliana </w:t>
      </w:r>
      <w:r w:rsidR="00A12CA3">
        <w:t xml:space="preserve">genome as the background set. </w:t>
      </w:r>
      <w:r>
        <w:t>Complete results can b</w:t>
      </w:r>
      <w:r w:rsidR="00497F3E">
        <w:t>e found in Supplemental Table 1</w:t>
      </w:r>
      <w:r w:rsidR="00240B62">
        <w:t>2</w:t>
      </w:r>
      <w:r>
        <w:t>.</w:t>
      </w:r>
    </w:p>
    <w:p w:rsidR="005161D2" w:rsidRPr="005161D2" w:rsidRDefault="006E6076" w:rsidP="002F75E9">
      <w:pPr>
        <w:pStyle w:val="ListParagraph"/>
        <w:numPr>
          <w:ilvl w:val="0"/>
          <w:numId w:val="23"/>
        </w:numPr>
        <w:jc w:val="both"/>
      </w:pPr>
      <w:r w:rsidRPr="0009188D">
        <w:t xml:space="preserve">Predicted transmembrane domains and lipid modifications </w:t>
      </w:r>
      <w:r w:rsidR="006F7471">
        <w:t>in</w:t>
      </w:r>
      <w:r w:rsidRPr="0009188D">
        <w:t xml:space="preserve"> </w:t>
      </w:r>
      <w:r w:rsidR="005161D2">
        <w:t>filtered genes</w:t>
      </w:r>
      <w:r w:rsidR="003059BF">
        <w:t xml:space="preserve"> identified by </w:t>
      </w:r>
      <w:r w:rsidR="005161D2">
        <w:t>RNA-seq</w:t>
      </w:r>
      <w:r>
        <w:t>. Transmembrane domains</w:t>
      </w:r>
      <w:r w:rsidR="00C10EFE">
        <w:t xml:space="preserve"> were</w:t>
      </w:r>
      <w:r>
        <w:t xml:space="preserve"> predicted using TMHMM2.0 (retrieved from TAIR); </w:t>
      </w:r>
      <w:proofErr w:type="spellStart"/>
      <w:r>
        <w:t>myristoylation</w:t>
      </w:r>
      <w:proofErr w:type="spellEnd"/>
      <w:r>
        <w:t xml:space="preserve"> </w:t>
      </w:r>
      <w:r w:rsidR="00C10EFE">
        <w:t xml:space="preserve">was </w:t>
      </w:r>
      <w:r>
        <w:t xml:space="preserve">predicted using </w:t>
      </w:r>
      <w:proofErr w:type="spellStart"/>
      <w:r>
        <w:t>PlantsP</w:t>
      </w:r>
      <w:proofErr w:type="spellEnd"/>
      <w:r>
        <w:t xml:space="preserve"> </w:t>
      </w:r>
      <w:r w:rsidR="00C10EFE">
        <w:t xml:space="preserve">database </w:t>
      </w:r>
      <w:proofErr w:type="spellStart"/>
      <w:r>
        <w:t>myristoylation</w:t>
      </w:r>
      <w:proofErr w:type="spellEnd"/>
      <w:r>
        <w:t xml:space="preserve"> predictions; </w:t>
      </w:r>
      <w:proofErr w:type="spellStart"/>
      <w:r w:rsidR="005161D2">
        <w:t>palmi</w:t>
      </w:r>
      <w:r w:rsidR="005753C6">
        <w:t>t</w:t>
      </w:r>
      <w:r w:rsidR="005161D2">
        <w:t>o</w:t>
      </w:r>
      <w:r w:rsidR="005753C6">
        <w:t>y</w:t>
      </w:r>
      <w:r w:rsidR="005161D2">
        <w:t>lation</w:t>
      </w:r>
      <w:proofErr w:type="spellEnd"/>
      <w:r w:rsidR="005161D2">
        <w:t xml:space="preserve"> </w:t>
      </w:r>
      <w:r w:rsidR="006F7471">
        <w:t>evidence was</w:t>
      </w:r>
      <w:r w:rsidR="001C137C">
        <w:t xml:space="preserve"> obtained </w:t>
      </w:r>
      <w:r w:rsidR="005161D2">
        <w:t>from</w:t>
      </w:r>
      <w:r w:rsidR="00050C3A">
        <w:t xml:space="preserve"> experimental data (</w:t>
      </w:r>
      <w:r w:rsidR="005161D2">
        <w:t>Helmsley, 2012</w:t>
      </w:r>
      <w:r w:rsidR="00050C3A">
        <w:t>)</w:t>
      </w:r>
      <w:r w:rsidR="005161D2">
        <w:t xml:space="preserve">; </w:t>
      </w:r>
      <w:r w:rsidR="00D77C2F">
        <w:t xml:space="preserve">GPI anchor predictions </w:t>
      </w:r>
      <w:r w:rsidR="00C10EFE">
        <w:t xml:space="preserve">were </w:t>
      </w:r>
      <w:r w:rsidR="00D77C2F">
        <w:t xml:space="preserve">retrieved from </w:t>
      </w:r>
      <w:r>
        <w:t xml:space="preserve"> </w:t>
      </w:r>
      <w:r w:rsidR="00D77C2F">
        <w:t xml:space="preserve">the </w:t>
      </w:r>
      <w:proofErr w:type="spellStart"/>
      <w:r w:rsidR="00D77C2F">
        <w:t>Aramemnon</w:t>
      </w:r>
      <w:proofErr w:type="spellEnd"/>
      <w:r w:rsidR="00D77C2F">
        <w:t xml:space="preserve"> webserver</w:t>
      </w:r>
      <w:r w:rsidR="00D77C2F" w:rsidRPr="00AE2EB4">
        <w:rPr>
          <w:b/>
        </w:rPr>
        <w:t>;</w:t>
      </w:r>
      <w:r w:rsidR="00D77C2F">
        <w:t xml:space="preserve"> </w:t>
      </w:r>
      <w:proofErr w:type="spellStart"/>
      <w:r w:rsidR="00D77C2F">
        <w:t>prenylation</w:t>
      </w:r>
      <w:proofErr w:type="spellEnd"/>
      <w:r w:rsidR="00D77C2F">
        <w:t xml:space="preserve"> </w:t>
      </w:r>
      <w:r w:rsidR="00C10EFE">
        <w:t xml:space="preserve">was </w:t>
      </w:r>
      <w:r w:rsidR="00D77C2F">
        <w:t>predicted using.</w:t>
      </w:r>
      <w:r w:rsidR="001A1F87">
        <w:t xml:space="preserve"> Complete results can be found in Supplemental Table 1</w:t>
      </w:r>
      <w:r w:rsidR="00240B62">
        <w:t>3</w:t>
      </w:r>
      <w:r w:rsidR="001A1F87">
        <w:t>.</w:t>
      </w:r>
    </w:p>
    <w:p w:rsidR="00F41628" w:rsidRPr="0009188D" w:rsidRDefault="005161D2" w:rsidP="002F75E9">
      <w:pPr>
        <w:pStyle w:val="ListParagraph"/>
        <w:numPr>
          <w:ilvl w:val="0"/>
          <w:numId w:val="23"/>
        </w:numPr>
        <w:jc w:val="both"/>
      </w:pPr>
      <w:r w:rsidRPr="0009188D">
        <w:t>Predicted transmembrane do</w:t>
      </w:r>
      <w:r w:rsidR="001A1F87">
        <w:t>mains and lipid modifications found in</w:t>
      </w:r>
      <w:r w:rsidRPr="0009188D">
        <w:t xml:space="preserve"> </w:t>
      </w:r>
      <w:r>
        <w:t xml:space="preserve">filtered </w:t>
      </w:r>
      <w:r w:rsidR="00C10EFE">
        <w:t xml:space="preserve">proteins </w:t>
      </w:r>
      <w:r>
        <w:t xml:space="preserve">identified by MS/MS.  </w:t>
      </w:r>
      <w:r w:rsidR="00FD04F4">
        <w:t>The s</w:t>
      </w:r>
      <w:r>
        <w:t xml:space="preserve">ame resources </w:t>
      </w:r>
      <w:r w:rsidR="001C137C">
        <w:t xml:space="preserve">were </w:t>
      </w:r>
      <w:r>
        <w:t xml:space="preserve">used </w:t>
      </w:r>
      <w:r w:rsidR="001C137C">
        <w:t>as described in</w:t>
      </w:r>
      <w:r>
        <w:t xml:space="preserve"> (B).</w:t>
      </w:r>
    </w:p>
    <w:p w:rsidR="00973D24" w:rsidRPr="00E47177" w:rsidRDefault="00973D24" w:rsidP="00AE2EB4">
      <w:pPr>
        <w:jc w:val="both"/>
      </w:pPr>
      <w:r w:rsidRPr="00E47177">
        <w:t>Supplemental Table 13:</w:t>
      </w:r>
      <w:r w:rsidR="009D3351">
        <w:t xml:space="preserve"> </w:t>
      </w:r>
      <w:r w:rsidR="0072060D" w:rsidRPr="00E47177">
        <w:t xml:space="preserve"> </w:t>
      </w:r>
      <w:r w:rsidR="003B7AFD" w:rsidRPr="00E47177">
        <w:t>S</w:t>
      </w:r>
      <w:r w:rsidR="0072060D" w:rsidRPr="00E47177">
        <w:t>ummary of membrane association evidence from all prediction programs</w:t>
      </w:r>
    </w:p>
    <w:p w:rsidR="0030710F" w:rsidRPr="00E47177" w:rsidRDefault="00F95149" w:rsidP="0030710F">
      <w:pPr>
        <w:jc w:val="both"/>
      </w:pPr>
      <w:r>
        <w:t xml:space="preserve">Supplemental Figure </w:t>
      </w:r>
      <w:r w:rsidR="00883AAF" w:rsidRPr="00E47177">
        <w:t>3</w:t>
      </w:r>
      <w:r w:rsidR="00F44B9D" w:rsidRPr="00E47177">
        <w:t xml:space="preserve">: </w:t>
      </w:r>
      <w:r w:rsidR="009D3351">
        <w:t xml:space="preserve"> </w:t>
      </w:r>
      <w:r w:rsidR="00F44B9D" w:rsidRPr="00E47177">
        <w:t>Venn of overlap in PM association evidence</w:t>
      </w:r>
      <w:r w:rsidR="009D3351">
        <w:t xml:space="preserve"> from </w:t>
      </w:r>
      <w:proofErr w:type="spellStart"/>
      <w:r w:rsidR="009D3351">
        <w:t>GOslim</w:t>
      </w:r>
      <w:proofErr w:type="spellEnd"/>
      <w:r w:rsidR="009D3351">
        <w:t xml:space="preserve">, SUBA, and </w:t>
      </w:r>
      <w:proofErr w:type="spellStart"/>
      <w:r w:rsidR="009D3351">
        <w:t>AtSubP</w:t>
      </w:r>
      <w:proofErr w:type="spellEnd"/>
    </w:p>
    <w:p w:rsidR="00F44B9D" w:rsidRDefault="00F44B9D" w:rsidP="0030710F">
      <w:pPr>
        <w:jc w:val="both"/>
      </w:pPr>
    </w:p>
    <w:p w:rsidR="0030710F" w:rsidRPr="00435AA1" w:rsidRDefault="00FB4ED6" w:rsidP="0030710F">
      <w:pPr>
        <w:jc w:val="both"/>
        <w:rPr>
          <w:b/>
          <w:i/>
        </w:rPr>
      </w:pPr>
      <w:proofErr w:type="gramStart"/>
      <w:r>
        <w:lastRenderedPageBreak/>
        <w:t>Figure 4</w:t>
      </w:r>
      <w:r w:rsidR="0030710F">
        <w:t>.</w:t>
      </w:r>
      <w:proofErr w:type="gramEnd"/>
      <w:r w:rsidR="0030710F">
        <w:t xml:space="preserve"> </w:t>
      </w:r>
      <w:r w:rsidR="006F7471">
        <w:t>PM-associated proteins</w:t>
      </w:r>
      <w:r w:rsidR="0030710F">
        <w:t xml:space="preserve"> exhibit transcription dependent and independent regulation. </w:t>
      </w:r>
      <w:r w:rsidR="0030710F">
        <w:rPr>
          <w:b/>
          <w:i/>
        </w:rPr>
        <w:t xml:space="preserve"> </w:t>
      </w:r>
    </w:p>
    <w:p w:rsidR="0030710F" w:rsidRDefault="0030710F" w:rsidP="0030710F">
      <w:pPr>
        <w:pStyle w:val="ListParagraph"/>
        <w:numPr>
          <w:ilvl w:val="0"/>
          <w:numId w:val="6"/>
        </w:numPr>
        <w:jc w:val="both"/>
      </w:pPr>
      <w:r>
        <w:t>An overview of the percentage of genes that are differentially expressed (DE) in the RNA-</w:t>
      </w:r>
      <w:proofErr w:type="spellStart"/>
      <w:r>
        <w:t>seq</w:t>
      </w:r>
      <w:proofErr w:type="spellEnd"/>
      <w:r>
        <w:t xml:space="preserve"> and MS/MS data at the indicated time points. The largest percentage of RNA-DE genes was detected</w:t>
      </w:r>
      <w:r w:rsidR="004205CF">
        <w:t xml:space="preserve"> at 60 min</w:t>
      </w:r>
      <w:r>
        <w:t xml:space="preserve"> post-treatment while the largest percentage of protein-DE genes was detected at 720 min post-treatment. </w:t>
      </w:r>
    </w:p>
    <w:p w:rsidR="00E63A27" w:rsidRPr="00E63A27" w:rsidRDefault="0030710F" w:rsidP="0030710F">
      <w:pPr>
        <w:pStyle w:val="ListParagraph"/>
        <w:numPr>
          <w:ilvl w:val="0"/>
          <w:numId w:val="6"/>
        </w:numPr>
        <w:jc w:val="both"/>
      </w:pPr>
      <w:r>
        <w:t xml:space="preserve">An overall weak correlation is observed between RNA and protein </w:t>
      </w:r>
      <w:r w:rsidR="00FB4ED6">
        <w:t>regulation</w:t>
      </w:r>
      <w:r>
        <w:t xml:space="preserve">. </w:t>
      </w:r>
      <w:r w:rsidR="00FB4ED6">
        <w:t xml:space="preserve">Scatter plot of RNA and protein log2 fold changes for all mRNA and protein pairs identified. </w:t>
      </w:r>
      <w:r>
        <w:t xml:space="preserve">The red dotted line is a linear regression of the plotted data. </w:t>
      </w:r>
      <w:r w:rsidRPr="0051646F">
        <w:t>Pearson correlation coefficients</w:t>
      </w:r>
      <w:r>
        <w:t xml:space="preserve"> are</w:t>
      </w:r>
      <w:r w:rsidRPr="0051646F">
        <w:t xml:space="preserve"> reported</w:t>
      </w:r>
      <w:r w:rsidRPr="00E63A27">
        <w:rPr>
          <w:i/>
        </w:rPr>
        <w:t>.</w:t>
      </w:r>
      <w:r w:rsidRPr="00E63A27">
        <w:rPr>
          <w:b/>
          <w:i/>
        </w:rPr>
        <w:t xml:space="preserve"> </w:t>
      </w:r>
    </w:p>
    <w:p w:rsidR="00E63A27" w:rsidRDefault="0030710F" w:rsidP="0030710F">
      <w:pPr>
        <w:pStyle w:val="ListParagraph"/>
        <w:numPr>
          <w:ilvl w:val="0"/>
          <w:numId w:val="6"/>
        </w:numPr>
        <w:jc w:val="both"/>
        <w:rPr>
          <w:b/>
          <w:i/>
        </w:rPr>
      </w:pPr>
      <w:r>
        <w:t>A stronger correlation in fold change was observed for genes that were differentially expressed at both the RNA and protein level.</w:t>
      </w:r>
      <w:r w:rsidRPr="00E63A27">
        <w:rPr>
          <w:b/>
          <w:i/>
        </w:rPr>
        <w:t xml:space="preserve"> </w:t>
      </w:r>
      <w:r>
        <w:t xml:space="preserve">Scatter plot of RNA and protein log2 fold changes for all genes identified as differentially expressed in </w:t>
      </w:r>
      <w:r w:rsidR="00E63A27">
        <w:t>m</w:t>
      </w:r>
      <w:r>
        <w:t xml:space="preserve">RNA and protein datasets. The red dotted line is a linear regression of the plotted data. </w:t>
      </w:r>
      <w:r w:rsidRPr="0051646F">
        <w:t xml:space="preserve">Pearson correlation coefficients </w:t>
      </w:r>
      <w:r>
        <w:t xml:space="preserve">are </w:t>
      </w:r>
      <w:r w:rsidRPr="0051646F">
        <w:t>reported</w:t>
      </w:r>
      <w:r w:rsidRPr="00E63A27">
        <w:rPr>
          <w:i/>
        </w:rPr>
        <w:t>.</w:t>
      </w:r>
      <w:r w:rsidRPr="00E63A27">
        <w:rPr>
          <w:b/>
          <w:i/>
        </w:rPr>
        <w:t xml:space="preserve"> </w:t>
      </w:r>
    </w:p>
    <w:p w:rsidR="0030710F" w:rsidRPr="00E63A27" w:rsidRDefault="0030710F" w:rsidP="0030710F">
      <w:pPr>
        <w:pStyle w:val="ListParagraph"/>
        <w:numPr>
          <w:ilvl w:val="0"/>
          <w:numId w:val="6"/>
        </w:numPr>
        <w:jc w:val="both"/>
        <w:rPr>
          <w:b/>
          <w:i/>
        </w:rPr>
      </w:pPr>
      <w:r>
        <w:t xml:space="preserve">Hierarchical clustering of expression patterns for all genes detected as </w:t>
      </w:r>
      <w:r w:rsidR="00E63A27">
        <w:t xml:space="preserve">differentially expressed </w:t>
      </w:r>
      <w:r>
        <w:t xml:space="preserve">in the </w:t>
      </w:r>
      <w:r w:rsidR="00E63A27">
        <w:t xml:space="preserve">protein </w:t>
      </w:r>
      <w:r>
        <w:t xml:space="preserve">data (DE proteins and their associated RNA-DE expression). Asterisks on the </w:t>
      </w:r>
      <w:proofErr w:type="spellStart"/>
      <w:r>
        <w:t>dendrogram</w:t>
      </w:r>
      <w:proofErr w:type="spellEnd"/>
      <w:r>
        <w:t xml:space="preserve"> indicate the clades</w:t>
      </w:r>
      <w:r w:rsidR="00FB4ED6">
        <w:t xml:space="preserve"> (lowercase letters a-j)</w:t>
      </w:r>
      <w:r>
        <w:t xml:space="preserve"> </w:t>
      </w:r>
      <w:r w:rsidR="009C236A">
        <w:t>queried</w:t>
      </w:r>
      <w:r>
        <w:t xml:space="preserve"> for </w:t>
      </w:r>
      <w:r w:rsidR="009C236A">
        <w:t>term</w:t>
      </w:r>
      <w:r>
        <w:t xml:space="preserve"> enrichment analysis. </w:t>
      </w:r>
      <w:proofErr w:type="spellStart"/>
      <w:r>
        <w:t>ClueGO</w:t>
      </w:r>
      <w:proofErr w:type="spellEnd"/>
      <w:r>
        <w:t xml:space="preserve"> was used for </w:t>
      </w:r>
      <w:r w:rsidR="0026608C">
        <w:t>Gene Ontology (GO) term</w:t>
      </w:r>
      <w:r>
        <w:t xml:space="preserve"> enrichment with all identified proteins used as the background set. Selected GO </w:t>
      </w:r>
      <w:r w:rsidR="0026608C">
        <w:t xml:space="preserve">terms </w:t>
      </w:r>
      <w:r>
        <w:t xml:space="preserve">significantly </w:t>
      </w:r>
      <w:r w:rsidR="0026608C">
        <w:t>over-represented (p</w:t>
      </w:r>
      <w:r w:rsidR="009C236A">
        <w:t xml:space="preserve"> </w:t>
      </w:r>
      <w:r w:rsidR="0026608C">
        <w:t>&lt;</w:t>
      </w:r>
      <w:r w:rsidR="009C236A">
        <w:t xml:space="preserve"> </w:t>
      </w:r>
      <w:r w:rsidR="0026608C">
        <w:t>0.1</w:t>
      </w:r>
      <w:r w:rsidR="00FB4ED6">
        <w:t xml:space="preserve"> after </w:t>
      </w:r>
      <w:proofErr w:type="spellStart"/>
      <w:r w:rsidR="00FB4ED6">
        <w:t>Benjamini</w:t>
      </w:r>
      <w:proofErr w:type="spellEnd"/>
      <w:r w:rsidR="00FB4ED6">
        <w:t>-Hochberg adjustment</w:t>
      </w:r>
      <w:r w:rsidR="0026608C">
        <w:t>)</w:t>
      </w:r>
      <w:r>
        <w:t xml:space="preserve"> </w:t>
      </w:r>
      <w:r w:rsidR="00E63A27">
        <w:t>in</w:t>
      </w:r>
      <w:r>
        <w:t xml:space="preserve"> specific clusters are indicated on the right. Red boxes highlight clusters where differential protein expression was detected without corresponding changes detected at the transcript level. </w:t>
      </w:r>
      <w:r w:rsidR="001A6820" w:rsidRPr="00DB4EF5">
        <w:t>See S</w:t>
      </w:r>
      <w:r w:rsidR="00E63A27" w:rsidRPr="00DB4EF5">
        <w:t>upplement</w:t>
      </w:r>
      <w:r w:rsidR="00FB4ED6">
        <w:t>al T</w:t>
      </w:r>
      <w:r w:rsidR="00DB4EF5" w:rsidRPr="00DB4EF5">
        <w:t>able 13</w:t>
      </w:r>
      <w:r w:rsidR="00E63A27">
        <w:rPr>
          <w:b/>
        </w:rPr>
        <w:t xml:space="preserve"> </w:t>
      </w:r>
      <w:r>
        <w:t>for full GO term enrichment results.</w:t>
      </w:r>
    </w:p>
    <w:p w:rsidR="00C63CC9" w:rsidRPr="00E47177" w:rsidRDefault="00E63A27" w:rsidP="00AE2EB4">
      <w:pPr>
        <w:jc w:val="both"/>
      </w:pPr>
      <w:r w:rsidRPr="00E47177">
        <w:t>Supplemental Table 1</w:t>
      </w:r>
      <w:r w:rsidR="00240B62" w:rsidRPr="00E47177">
        <w:t>4</w:t>
      </w:r>
      <w:r w:rsidRPr="00E47177">
        <w:t xml:space="preserve">: </w:t>
      </w:r>
      <w:r w:rsidR="009D3351">
        <w:t xml:space="preserve"> GO term enrichment in hierarchical </w:t>
      </w:r>
      <w:r w:rsidR="00DB4EF5" w:rsidRPr="00E47177">
        <w:t>cl</w:t>
      </w:r>
      <w:r w:rsidR="009D3351">
        <w:t>ustering</w:t>
      </w:r>
      <w:r w:rsidR="00DB4EF5" w:rsidRPr="00E47177">
        <w:t xml:space="preserve"> clades in Figure 4D</w:t>
      </w:r>
    </w:p>
    <w:p w:rsidR="00F44B9D" w:rsidRDefault="00F44B9D" w:rsidP="00AE2EB4">
      <w:pPr>
        <w:jc w:val="both"/>
      </w:pPr>
    </w:p>
    <w:p w:rsidR="00F44B9D" w:rsidRDefault="00447C4F" w:rsidP="00AE2EB4">
      <w:pPr>
        <w:jc w:val="both"/>
      </w:pPr>
      <w:proofErr w:type="gramStart"/>
      <w:r>
        <w:t xml:space="preserve">Figure </w:t>
      </w:r>
      <w:r w:rsidR="0030710F">
        <w:t>5</w:t>
      </w:r>
      <w:r w:rsidR="0009188D" w:rsidRPr="0009188D">
        <w:t>.</w:t>
      </w:r>
      <w:proofErr w:type="gramEnd"/>
      <w:r w:rsidR="0009188D" w:rsidRPr="0009188D">
        <w:t xml:space="preserve"> </w:t>
      </w:r>
      <w:proofErr w:type="gramStart"/>
      <w:r w:rsidR="00F44B9D">
        <w:t>Overview of cellular responses to FLS2 activation.</w:t>
      </w:r>
      <w:proofErr w:type="gramEnd"/>
    </w:p>
    <w:p w:rsidR="00F44B9D" w:rsidRDefault="00F44B9D" w:rsidP="00F44B9D">
      <w:pPr>
        <w:pStyle w:val="ListParagraph"/>
        <w:ind w:left="0"/>
        <w:jc w:val="both"/>
      </w:pPr>
      <w:proofErr w:type="gramStart"/>
      <w:r>
        <w:t xml:space="preserve">Stacked bar charts depicting the number of differentially expressed genes and proteins with the </w:t>
      </w:r>
      <w:r w:rsidR="009C236A">
        <w:t>indicated</w:t>
      </w:r>
      <w:r>
        <w:t xml:space="preserve"> </w:t>
      </w:r>
      <w:proofErr w:type="spellStart"/>
      <w:r>
        <w:t>GOslim</w:t>
      </w:r>
      <w:proofErr w:type="spellEnd"/>
      <w:r>
        <w:t xml:space="preserve"> Biological Process annotations at each time point.</w:t>
      </w:r>
      <w:proofErr w:type="gramEnd"/>
      <w:r>
        <w:t xml:space="preserve"> </w:t>
      </w:r>
      <w:proofErr w:type="spellStart"/>
      <w:r>
        <w:t>Astericks</w:t>
      </w:r>
      <w:proofErr w:type="spellEnd"/>
      <w:r>
        <w:t xml:space="preserve"> (*) indicate time points where the corresponding term is significantly enriched </w:t>
      </w:r>
      <w:r w:rsidR="000B29C7">
        <w:t>(</w:t>
      </w:r>
      <w:proofErr w:type="spellStart"/>
      <w:r w:rsidR="000B29C7">
        <w:t>hypergeometric</w:t>
      </w:r>
      <w:proofErr w:type="spellEnd"/>
      <w:r w:rsidR="000B29C7">
        <w:t xml:space="preserve"> test with </w:t>
      </w:r>
      <w:proofErr w:type="spellStart"/>
      <w:r w:rsidR="000B29C7">
        <w:t>Benja</w:t>
      </w:r>
      <w:r>
        <w:t>mini</w:t>
      </w:r>
      <w:proofErr w:type="spellEnd"/>
      <w:r>
        <w:t>-Hochberg multiple test correction</w:t>
      </w:r>
      <w:r w:rsidR="00610D9B">
        <w:t>,</w:t>
      </w:r>
      <w:r>
        <w:t xml:space="preserve"> p&lt;0.1) relative to the background sets of filtered </w:t>
      </w:r>
      <w:r w:rsidR="00610D9B">
        <w:t>m</w:t>
      </w:r>
      <w:r>
        <w:t>RNA and protein identifications, respectively.</w:t>
      </w:r>
    </w:p>
    <w:p w:rsidR="00F44B9D" w:rsidRDefault="004B6B9F" w:rsidP="004B6B9F">
      <w:pPr>
        <w:pStyle w:val="ListParagraph"/>
        <w:numPr>
          <w:ilvl w:val="0"/>
          <w:numId w:val="21"/>
        </w:numPr>
        <w:ind w:left="720"/>
        <w:jc w:val="both"/>
      </w:pPr>
      <w:r>
        <w:t xml:space="preserve">Immune system, protein targeting, stress and transmembrane transport processes are up-regulated </w:t>
      </w:r>
      <w:r w:rsidR="0054696B">
        <w:t xml:space="preserve">at the </w:t>
      </w:r>
      <w:r w:rsidR="00F44B9D">
        <w:t>m</w:t>
      </w:r>
      <w:r w:rsidR="0054696B">
        <w:t>RNA and PM protein level during FLS2-PTI</w:t>
      </w:r>
      <w:r>
        <w:t xml:space="preserve">. </w:t>
      </w:r>
    </w:p>
    <w:p w:rsidR="00F44B9D" w:rsidRDefault="004B6B9F" w:rsidP="004B6B9F">
      <w:pPr>
        <w:pStyle w:val="ListParagraph"/>
        <w:numPr>
          <w:ilvl w:val="0"/>
          <w:numId w:val="21"/>
        </w:numPr>
        <w:ind w:left="720"/>
        <w:jc w:val="both"/>
      </w:pPr>
      <w:r>
        <w:t>Kinase and transmembrane transporters are highly up-regulated at the PM in response to flg22</w:t>
      </w:r>
      <w:r w:rsidR="00537871">
        <w:t xml:space="preserve"> perception</w:t>
      </w:r>
      <w:r>
        <w:t xml:space="preserve">. </w:t>
      </w:r>
    </w:p>
    <w:p w:rsidR="004B6B9F" w:rsidRPr="004B6B9F" w:rsidRDefault="004B6B9F" w:rsidP="004B6B9F">
      <w:pPr>
        <w:pStyle w:val="ListParagraph"/>
        <w:numPr>
          <w:ilvl w:val="0"/>
          <w:numId w:val="21"/>
        </w:numPr>
        <w:ind w:left="720"/>
        <w:jc w:val="both"/>
      </w:pPr>
      <w:r>
        <w:t xml:space="preserve">Major </w:t>
      </w:r>
      <w:proofErr w:type="spellStart"/>
      <w:proofErr w:type="gramStart"/>
      <w:r>
        <w:t>transcriptome</w:t>
      </w:r>
      <w:proofErr w:type="spellEnd"/>
      <w:proofErr w:type="gramEnd"/>
      <w:r>
        <w:t xml:space="preserve"> changes are associated with the cell wall, extracellular region, and plasma membrane. </w:t>
      </w:r>
    </w:p>
    <w:p w:rsidR="003B7AFD" w:rsidRPr="00E47177" w:rsidRDefault="003B7AFD" w:rsidP="001254A7">
      <w:pPr>
        <w:jc w:val="both"/>
      </w:pPr>
      <w:r w:rsidRPr="00E47177">
        <w:t xml:space="preserve">Supplemental Table 15: </w:t>
      </w:r>
      <w:r w:rsidR="009D3351">
        <w:t xml:space="preserve"> </w:t>
      </w:r>
      <w:r w:rsidRPr="00E47177">
        <w:t xml:space="preserve">Summary of </w:t>
      </w:r>
      <w:proofErr w:type="spellStart"/>
      <w:r w:rsidRPr="00E47177">
        <w:t>GOSlim</w:t>
      </w:r>
      <w:proofErr w:type="spellEnd"/>
      <w:r w:rsidRPr="00E47177">
        <w:t xml:space="preserve"> term enrichment at each RNA-</w:t>
      </w:r>
      <w:proofErr w:type="spellStart"/>
      <w:r w:rsidRPr="00E47177">
        <w:t>seq</w:t>
      </w:r>
      <w:proofErr w:type="spellEnd"/>
      <w:r w:rsidRPr="00E47177">
        <w:t xml:space="preserve"> and MS/MS </w:t>
      </w:r>
      <w:proofErr w:type="spellStart"/>
      <w:r w:rsidRPr="00E47177">
        <w:t>timepoint</w:t>
      </w:r>
      <w:proofErr w:type="spellEnd"/>
    </w:p>
    <w:p w:rsidR="001254A7" w:rsidRPr="00E47177" w:rsidRDefault="003B7AFD" w:rsidP="001254A7">
      <w:pPr>
        <w:jc w:val="both"/>
      </w:pPr>
      <w:r w:rsidRPr="00E47177">
        <w:t>Supplemental Table 16</w:t>
      </w:r>
      <w:r w:rsidR="00DE1884" w:rsidRPr="00E47177">
        <w:t>:</w:t>
      </w:r>
      <w:r w:rsidR="001254A7" w:rsidRPr="00E47177">
        <w:t xml:space="preserve"> </w:t>
      </w:r>
      <w:r w:rsidR="009D3351">
        <w:t xml:space="preserve"> </w:t>
      </w:r>
      <w:r w:rsidR="001254A7" w:rsidRPr="00E47177">
        <w:t>Identified transporters exhibiting differential protein regulation during FLS2-PTI</w:t>
      </w:r>
    </w:p>
    <w:p w:rsidR="004E2A96" w:rsidRDefault="004E2A96" w:rsidP="00AE2EB4">
      <w:pPr>
        <w:jc w:val="both"/>
      </w:pPr>
    </w:p>
    <w:p w:rsidR="00566913" w:rsidRDefault="0009188D" w:rsidP="00AE2EB4">
      <w:pPr>
        <w:jc w:val="both"/>
      </w:pPr>
      <w:proofErr w:type="gramStart"/>
      <w:r>
        <w:t xml:space="preserve">Figure </w:t>
      </w:r>
      <w:r w:rsidR="00447C4F">
        <w:t>6</w:t>
      </w:r>
      <w:r>
        <w:t>.</w:t>
      </w:r>
      <w:proofErr w:type="gramEnd"/>
      <w:r>
        <w:t xml:space="preserve"> </w:t>
      </w:r>
      <w:r w:rsidR="00C17E88">
        <w:t>Major temporal expression patterns during FLS2-PTI</w:t>
      </w:r>
    </w:p>
    <w:p w:rsidR="004E2A96" w:rsidRDefault="004E2A96" w:rsidP="00AE2EB4">
      <w:pPr>
        <w:jc w:val="both"/>
      </w:pPr>
      <w:r>
        <w:rPr>
          <w:b/>
          <w:highlight w:val="yellow"/>
        </w:rPr>
        <w:t>I am s</w:t>
      </w:r>
      <w:r w:rsidRPr="009C236A">
        <w:rPr>
          <w:b/>
          <w:highlight w:val="yellow"/>
        </w:rPr>
        <w:t xml:space="preserve">till working on </w:t>
      </w:r>
      <w:r w:rsidRPr="004E2A96">
        <w:rPr>
          <w:b/>
          <w:highlight w:val="yellow"/>
        </w:rPr>
        <w:t>this figure. We should know by next week whether it will be worth it to include the TF/</w:t>
      </w:r>
      <w:proofErr w:type="spellStart"/>
      <w:r w:rsidRPr="004E2A96">
        <w:rPr>
          <w:b/>
          <w:highlight w:val="yellow"/>
        </w:rPr>
        <w:t>cis</w:t>
      </w:r>
      <w:proofErr w:type="spellEnd"/>
      <w:r w:rsidRPr="004E2A96">
        <w:rPr>
          <w:b/>
          <w:highlight w:val="yellow"/>
        </w:rPr>
        <w:t xml:space="preserve"> element analysis of RNA-</w:t>
      </w:r>
      <w:proofErr w:type="spellStart"/>
      <w:r w:rsidRPr="004E2A96">
        <w:rPr>
          <w:b/>
          <w:highlight w:val="yellow"/>
        </w:rPr>
        <w:t>seq</w:t>
      </w:r>
      <w:proofErr w:type="spellEnd"/>
      <w:r w:rsidRPr="004E2A96">
        <w:rPr>
          <w:b/>
          <w:highlight w:val="yellow"/>
        </w:rPr>
        <w:t xml:space="preserve"> clusters. If not, we will not include Fig. 6A or Sup</w:t>
      </w:r>
      <w:r w:rsidR="00F95149">
        <w:rPr>
          <w:b/>
          <w:highlight w:val="yellow"/>
        </w:rPr>
        <w:t>p</w:t>
      </w:r>
      <w:r w:rsidRPr="004E2A96">
        <w:rPr>
          <w:b/>
          <w:highlight w:val="yellow"/>
        </w:rPr>
        <w:t>l. Fig.4 in the manuscript.</w:t>
      </w:r>
      <w:r>
        <w:rPr>
          <w:b/>
        </w:rPr>
        <w:t xml:space="preserve"> </w:t>
      </w:r>
    </w:p>
    <w:p w:rsidR="00D748E6" w:rsidRDefault="00D748E6" w:rsidP="00D748E6">
      <w:pPr>
        <w:pStyle w:val="ListParagraph"/>
        <w:numPr>
          <w:ilvl w:val="0"/>
          <w:numId w:val="22"/>
        </w:numPr>
        <w:spacing w:after="0"/>
      </w:pPr>
      <w:r>
        <w:t xml:space="preserve">RNA expression clusters identified using </w:t>
      </w:r>
      <w:proofErr w:type="spellStart"/>
      <w:r>
        <w:t>Splin</w:t>
      </w:r>
      <w:r w:rsidR="00CC2E7C">
        <w:t>ecluster</w:t>
      </w:r>
      <w:proofErr w:type="spellEnd"/>
      <w:r w:rsidR="00CC2E7C">
        <w:t xml:space="preserve"> in Supplemental Figure4</w:t>
      </w:r>
      <w:r>
        <w:t xml:space="preserve"> were </w:t>
      </w:r>
      <w:r w:rsidR="009C236A">
        <w:t>combined</w:t>
      </w:r>
      <w:r w:rsidR="005753C6">
        <w:t xml:space="preserve"> into</w:t>
      </w:r>
      <w:r w:rsidR="00A721DF">
        <w:t xml:space="preserve"> thirteen non-overlapping groups </w:t>
      </w:r>
      <w:r>
        <w:t xml:space="preserve">according the first </w:t>
      </w:r>
      <w:r w:rsidR="00CC2E7C">
        <w:t xml:space="preserve">major </w:t>
      </w:r>
      <w:r>
        <w:t>time</w:t>
      </w:r>
      <w:r w:rsidR="00CC2E7C">
        <w:t xml:space="preserve"> </w:t>
      </w:r>
      <w:r>
        <w:t>point of differential expression and expression pattern</w:t>
      </w:r>
      <w:r w:rsidR="009C236A">
        <w:t>s</w:t>
      </w:r>
      <w:r>
        <w:t xml:space="preserve"> over the course of the experiment. </w:t>
      </w:r>
      <w:r w:rsidR="00CC2E7C">
        <w:t xml:space="preserve">Transcription factors and over-represented </w:t>
      </w:r>
      <w:proofErr w:type="spellStart"/>
      <w:r w:rsidR="00CC2E7C">
        <w:t>cis</w:t>
      </w:r>
      <w:proofErr w:type="spellEnd"/>
      <w:r w:rsidR="00CC2E7C">
        <w:t xml:space="preserve">-element that are present in each cluster are indicated on the graphs. Complete transcription factor and </w:t>
      </w:r>
      <w:proofErr w:type="spellStart"/>
      <w:r w:rsidR="00CC2E7C">
        <w:t>cis</w:t>
      </w:r>
      <w:proofErr w:type="spellEnd"/>
      <w:r w:rsidR="00CC2E7C">
        <w:t>-element analysis are located in Supplemental Tables 16 and 17.</w:t>
      </w:r>
      <w:r w:rsidR="009C236A">
        <w:t xml:space="preserve"> </w:t>
      </w:r>
    </w:p>
    <w:p w:rsidR="00D748E6" w:rsidRDefault="00D748E6" w:rsidP="00D748E6">
      <w:pPr>
        <w:pStyle w:val="ListParagraph"/>
        <w:numPr>
          <w:ilvl w:val="0"/>
          <w:numId w:val="22"/>
        </w:numPr>
        <w:spacing w:after="0"/>
      </w:pPr>
      <w:r>
        <w:t xml:space="preserve">Protein expression clusters identified from </w:t>
      </w:r>
      <w:proofErr w:type="spellStart"/>
      <w:r>
        <w:t>Splinecluster</w:t>
      </w:r>
      <w:proofErr w:type="spellEnd"/>
      <w:r>
        <w:t xml:space="preserve"> in Supplemental Figure5 were partitioned into seven non-overlapping groups according the first </w:t>
      </w:r>
      <w:proofErr w:type="spellStart"/>
      <w:r>
        <w:t>timepoint</w:t>
      </w:r>
      <w:proofErr w:type="spellEnd"/>
      <w:r>
        <w:t xml:space="preserve"> of differential expression </w:t>
      </w:r>
      <w:r w:rsidR="007D3C70">
        <w:t xml:space="preserve">and </w:t>
      </w:r>
      <w:r>
        <w:t>expression pattern</w:t>
      </w:r>
      <w:r w:rsidR="009C236A">
        <w:t>s</w:t>
      </w:r>
      <w:r>
        <w:t xml:space="preserve"> over the course of the experiment. Enriched domains (based on the </w:t>
      </w:r>
      <w:proofErr w:type="spellStart"/>
      <w:r>
        <w:t>hypergeometric</w:t>
      </w:r>
      <w:proofErr w:type="spellEnd"/>
      <w:r>
        <w:t xml:space="preserve"> test with </w:t>
      </w:r>
      <w:proofErr w:type="spellStart"/>
      <w:r>
        <w:t>Benjamini</w:t>
      </w:r>
      <w:proofErr w:type="spellEnd"/>
      <w:r>
        <w:t>-Hochberg adjustment, p</w:t>
      </w:r>
      <w:r w:rsidR="009C236A">
        <w:t xml:space="preserve"> &lt; 0.1) present in </w:t>
      </w:r>
      <w:r>
        <w:t xml:space="preserve">at least two proteins within each cluster group are indicated on the plots. Complete protein domain enrichment results are </w:t>
      </w:r>
      <w:r w:rsidR="007D3C70">
        <w:t>located in Supplemental Table 18</w:t>
      </w:r>
      <w:r w:rsidR="004E2A96">
        <w:t xml:space="preserve">. </w:t>
      </w:r>
      <w:r w:rsidR="004E2A96" w:rsidRPr="004E2A96">
        <w:rPr>
          <w:b/>
          <w:highlight w:val="yellow"/>
        </w:rPr>
        <w:t>I will rework the protein group names to be in order</w:t>
      </w:r>
    </w:p>
    <w:p w:rsidR="001D7F3B" w:rsidRDefault="001D7F3B" w:rsidP="001D7F3B">
      <w:pPr>
        <w:jc w:val="both"/>
        <w:rPr>
          <w:b/>
        </w:rPr>
      </w:pPr>
    </w:p>
    <w:p w:rsidR="001D7F3B" w:rsidRPr="00E47177" w:rsidRDefault="00F95149" w:rsidP="001D7F3B">
      <w:pPr>
        <w:jc w:val="both"/>
      </w:pPr>
      <w:r>
        <w:t xml:space="preserve">Supplemental Figure </w:t>
      </w:r>
      <w:r w:rsidR="001D7F3B" w:rsidRPr="00E47177">
        <w:t xml:space="preserve">4:  </w:t>
      </w:r>
      <w:proofErr w:type="spellStart"/>
      <w:r w:rsidR="001D7F3B" w:rsidRPr="00E47177">
        <w:t>Splinec</w:t>
      </w:r>
      <w:r w:rsidR="009D3351">
        <w:t>luster</w:t>
      </w:r>
      <w:proofErr w:type="spellEnd"/>
      <w:r w:rsidR="009D3351">
        <w:t xml:space="preserve"> analysis RNA-</w:t>
      </w:r>
      <w:proofErr w:type="spellStart"/>
      <w:r w:rsidR="009D3351">
        <w:t>seq</w:t>
      </w:r>
      <w:proofErr w:type="spellEnd"/>
      <w:r w:rsidR="009D3351">
        <w:t xml:space="preserve"> data - i</w:t>
      </w:r>
      <w:r w:rsidR="001D7F3B" w:rsidRPr="00E47177">
        <w:t>ndividual clusters</w:t>
      </w:r>
    </w:p>
    <w:p w:rsidR="001D7F3B" w:rsidRPr="00E47177" w:rsidRDefault="001D7F3B" w:rsidP="001D7F3B">
      <w:pPr>
        <w:jc w:val="both"/>
      </w:pPr>
      <w:r w:rsidRPr="00E47177">
        <w:t>Supplemental Table 1</w:t>
      </w:r>
      <w:r w:rsidR="00EB7645" w:rsidRPr="00E47177">
        <w:t>7</w:t>
      </w:r>
      <w:r w:rsidRPr="00E47177">
        <w:t>:</w:t>
      </w:r>
      <w:r w:rsidR="009D3351">
        <w:t xml:space="preserve"> </w:t>
      </w:r>
      <w:r w:rsidRPr="00E47177">
        <w:t xml:space="preserve"> </w:t>
      </w:r>
      <w:r w:rsidR="00CC2E7C" w:rsidRPr="00E47177">
        <w:t>T</w:t>
      </w:r>
      <w:r w:rsidRPr="00E47177">
        <w:t>ranscription factor</w:t>
      </w:r>
      <w:r w:rsidR="00CC2E7C" w:rsidRPr="00E47177">
        <w:t>s</w:t>
      </w:r>
      <w:r w:rsidRPr="00E47177">
        <w:t xml:space="preserve"> </w:t>
      </w:r>
      <w:r w:rsidR="00CC2E7C" w:rsidRPr="00E47177">
        <w:t>differentially expressed during FLS2-PTI</w:t>
      </w:r>
    </w:p>
    <w:p w:rsidR="00CC2E7C" w:rsidRPr="00E47177" w:rsidRDefault="00EB7645" w:rsidP="00CC2E7C">
      <w:pPr>
        <w:jc w:val="both"/>
      </w:pPr>
      <w:r w:rsidRPr="00E47177">
        <w:t>Supplemental Table 18</w:t>
      </w:r>
      <w:r w:rsidR="00CC2E7C" w:rsidRPr="00E47177">
        <w:t xml:space="preserve">: </w:t>
      </w:r>
      <w:r w:rsidR="009D3351">
        <w:t xml:space="preserve"> </w:t>
      </w:r>
      <w:proofErr w:type="spellStart"/>
      <w:r w:rsidR="00CC2E7C" w:rsidRPr="00E47177">
        <w:t>cis</w:t>
      </w:r>
      <w:proofErr w:type="spellEnd"/>
      <w:r w:rsidR="00CC2E7C" w:rsidRPr="00E47177">
        <w:t>-element over-representation in temporal RNA-</w:t>
      </w:r>
      <w:proofErr w:type="spellStart"/>
      <w:r w:rsidR="00CC2E7C" w:rsidRPr="00E47177">
        <w:t>seq</w:t>
      </w:r>
      <w:proofErr w:type="spellEnd"/>
      <w:r w:rsidR="00CC2E7C" w:rsidRPr="00E47177">
        <w:t xml:space="preserve"> clusters</w:t>
      </w:r>
    </w:p>
    <w:p w:rsidR="001D7F3B" w:rsidRPr="00E47177" w:rsidRDefault="00F95149" w:rsidP="001D7F3B">
      <w:pPr>
        <w:jc w:val="both"/>
      </w:pPr>
      <w:r>
        <w:t xml:space="preserve">Supplemental Figure </w:t>
      </w:r>
      <w:r w:rsidR="001D7F3B" w:rsidRPr="00E47177">
        <w:t xml:space="preserve">5:  </w:t>
      </w:r>
      <w:proofErr w:type="spellStart"/>
      <w:r w:rsidR="001D7F3B" w:rsidRPr="00E47177">
        <w:t>Splinecluster</w:t>
      </w:r>
      <w:proofErr w:type="spellEnd"/>
      <w:r w:rsidR="001D7F3B" w:rsidRPr="00E47177">
        <w:t xml:space="preserve"> analysis MS/MS data - Individual clusters</w:t>
      </w:r>
    </w:p>
    <w:p w:rsidR="001D7F3B" w:rsidRPr="00E47177" w:rsidRDefault="001D7F3B" w:rsidP="001D7F3B">
      <w:pPr>
        <w:jc w:val="both"/>
      </w:pPr>
      <w:r w:rsidRPr="00E47177">
        <w:t xml:space="preserve">Supplemental </w:t>
      </w:r>
      <w:r w:rsidR="00CC2E7C" w:rsidRPr="00E47177">
        <w:t>Table 18</w:t>
      </w:r>
      <w:r w:rsidRPr="00E47177">
        <w:t>:</w:t>
      </w:r>
      <w:r w:rsidR="009D3351">
        <w:t xml:space="preserve"> </w:t>
      </w:r>
      <w:r w:rsidRPr="00E47177">
        <w:t xml:space="preserve"> Protein domain over-representation in PM protein temporal clusters</w:t>
      </w:r>
    </w:p>
    <w:p w:rsidR="001D7F3B" w:rsidRPr="00E47177" w:rsidRDefault="001D7F3B" w:rsidP="00AE2EB4">
      <w:pPr>
        <w:jc w:val="both"/>
      </w:pPr>
    </w:p>
    <w:p w:rsidR="00A049D0" w:rsidRPr="00E47177" w:rsidRDefault="00252703" w:rsidP="00AE2EB4">
      <w:pPr>
        <w:jc w:val="both"/>
      </w:pPr>
      <w:r w:rsidRPr="00E47177">
        <w:t>Supplemental</w:t>
      </w:r>
      <w:r w:rsidR="00BA423D" w:rsidRPr="00E47177">
        <w:t xml:space="preserve"> Figure</w:t>
      </w:r>
      <w:r w:rsidR="00113222" w:rsidRPr="00E47177">
        <w:t xml:space="preserve"> </w:t>
      </w:r>
      <w:r w:rsidR="00832113" w:rsidRPr="00E47177">
        <w:t>6</w:t>
      </w:r>
      <w:r w:rsidR="00DE1884" w:rsidRPr="00E47177">
        <w:t>:</w:t>
      </w:r>
      <w:r w:rsidRPr="00E47177">
        <w:t xml:space="preserve"> </w:t>
      </w:r>
      <w:r w:rsidR="009D3351">
        <w:t xml:space="preserve"> </w:t>
      </w:r>
      <w:r w:rsidRPr="00E47177">
        <w:t>LRR-RLK full phylogeny</w:t>
      </w:r>
      <w:r w:rsidR="001D7F3B" w:rsidRPr="00E47177">
        <w:t>, expression patterns, and PM relative abundance</w:t>
      </w:r>
    </w:p>
    <w:p w:rsidR="00252703" w:rsidRPr="00E47177" w:rsidRDefault="00252703" w:rsidP="00AE2EB4">
      <w:pPr>
        <w:jc w:val="both"/>
      </w:pPr>
      <w:r w:rsidRPr="00E47177">
        <w:t>Supplemental</w:t>
      </w:r>
      <w:r w:rsidR="00BA423D" w:rsidRPr="00E47177">
        <w:t xml:space="preserve"> Figure</w:t>
      </w:r>
      <w:r w:rsidR="00832113" w:rsidRPr="00E47177">
        <w:t xml:space="preserve"> 7</w:t>
      </w:r>
      <w:r w:rsidR="00DE1884" w:rsidRPr="00E47177">
        <w:t>:</w:t>
      </w:r>
      <w:r w:rsidR="001D7F3B" w:rsidRPr="00E47177">
        <w:t xml:space="preserve"> </w:t>
      </w:r>
      <w:r w:rsidR="009D3351">
        <w:t xml:space="preserve"> N</w:t>
      </w:r>
      <w:r w:rsidR="001D7F3B" w:rsidRPr="00E47177">
        <w:t>on-LRR RLK</w:t>
      </w:r>
      <w:r w:rsidRPr="00E47177">
        <w:t xml:space="preserve"> full phylogeny</w:t>
      </w:r>
      <w:r w:rsidR="001D7F3B" w:rsidRPr="00E47177">
        <w:t>, expression patterns, and PM relative abundance</w:t>
      </w:r>
    </w:p>
    <w:p w:rsidR="00252703" w:rsidRPr="00252703" w:rsidRDefault="00252703" w:rsidP="00AE2EB4">
      <w:pPr>
        <w:jc w:val="both"/>
        <w:rPr>
          <w:b/>
        </w:rPr>
      </w:pPr>
    </w:p>
    <w:p w:rsidR="0009188D" w:rsidRDefault="0010032C" w:rsidP="00AE2EB4">
      <w:pPr>
        <w:jc w:val="both"/>
      </w:pPr>
      <w:proofErr w:type="gramStart"/>
      <w:r>
        <w:t>Figure 7</w:t>
      </w:r>
      <w:r w:rsidR="0009188D">
        <w:t>.</w:t>
      </w:r>
      <w:proofErr w:type="gramEnd"/>
      <w:r w:rsidR="0009188D">
        <w:t xml:space="preserve"> N</w:t>
      </w:r>
      <w:r w:rsidR="000A5765">
        <w:t>etwork expression clustering highlights known regulators of plant immunity and development</w:t>
      </w:r>
    </w:p>
    <w:p w:rsidR="00CF1916" w:rsidRDefault="000A5765" w:rsidP="00AE2EB4">
      <w:pPr>
        <w:pStyle w:val="ListParagraph"/>
        <w:numPr>
          <w:ilvl w:val="0"/>
          <w:numId w:val="19"/>
        </w:numPr>
        <w:jc w:val="both"/>
      </w:pPr>
      <w:r>
        <w:t xml:space="preserve">BAK1-interacting proteins represent a major expression module </w:t>
      </w:r>
      <w:r w:rsidR="00FA1EF8">
        <w:t>identified through Autosome clustering</w:t>
      </w:r>
      <w:r w:rsidR="00081FF5">
        <w:t xml:space="preserve"> (Morris, et al. 2011</w:t>
      </w:r>
      <w:r w:rsidR="00356DF8">
        <w:t>)</w:t>
      </w:r>
      <w:r w:rsidR="00FA1EF8">
        <w:t xml:space="preserve"> of </w:t>
      </w:r>
      <w:r w:rsidR="00CF1916">
        <w:t>differentially expressed mRNA and protein fold changes</w:t>
      </w:r>
      <w:r w:rsidR="00CF1916" w:rsidRPr="00CF1916">
        <w:t xml:space="preserve"> </w:t>
      </w:r>
      <w:r w:rsidR="00CF1916">
        <w:t xml:space="preserve">using physical interactions within the RLK + first neighbor </w:t>
      </w:r>
      <w:r w:rsidR="00940F90">
        <w:t xml:space="preserve">protein-protein interaction </w:t>
      </w:r>
      <w:r w:rsidR="00CF1916">
        <w:t>network.</w:t>
      </w:r>
      <w:r w:rsidR="00FA1EF8">
        <w:t xml:space="preserve"> Nodes are colored according to their expression index in the RNA-</w:t>
      </w:r>
      <w:proofErr w:type="spellStart"/>
      <w:r w:rsidR="00FA1EF8">
        <w:t>seq</w:t>
      </w:r>
      <w:proofErr w:type="spellEnd"/>
      <w:r w:rsidR="00FA1EF8">
        <w:t xml:space="preserve"> data.</w:t>
      </w:r>
      <w:r w:rsidR="00940F90">
        <w:t xml:space="preserve"> The expression index is</w:t>
      </w:r>
      <w:r w:rsidR="00FA1EF8">
        <w:t xml:space="preserve"> the </w:t>
      </w:r>
      <w:r w:rsidR="00FA1EF8">
        <w:lastRenderedPageBreak/>
        <w:t>sum of the number of time points a gene is identified as up-regulated minus the number of time points a gene was identified as down-regulated. Nodes that were significantly up- and down- regulated at different time points are represented by a triangle.</w:t>
      </w:r>
      <w:r w:rsidR="00E4236D">
        <w:t xml:space="preserve"> </w:t>
      </w:r>
    </w:p>
    <w:p w:rsidR="00FA1EF8" w:rsidRDefault="00FA1EF8" w:rsidP="00AE2EB4">
      <w:pPr>
        <w:pStyle w:val="ListParagraph"/>
        <w:numPr>
          <w:ilvl w:val="0"/>
          <w:numId w:val="19"/>
        </w:numPr>
        <w:jc w:val="both"/>
      </w:pPr>
      <w:r>
        <w:t>Nodes within the BAK1 sub</w:t>
      </w:r>
      <w:r w:rsidR="00940F90">
        <w:t>-</w:t>
      </w:r>
      <w:r>
        <w:t xml:space="preserve">network exhibit different patterns of RNA and protein expression over time. Line charts representing </w:t>
      </w:r>
      <w:r w:rsidR="00940F90">
        <w:t>m</w:t>
      </w:r>
      <w:r>
        <w:t xml:space="preserve">RNA and protein </w:t>
      </w:r>
      <w:r w:rsidR="00081FF5">
        <w:t xml:space="preserve">fold change values for the indicated </w:t>
      </w:r>
      <w:r>
        <w:t>gene</w:t>
      </w:r>
      <w:r w:rsidR="00081FF5">
        <w:t xml:space="preserve">s over time. Asterisks indicate time points with significant differential expression </w:t>
      </w:r>
      <w:r w:rsidR="00940F90">
        <w:t>for</w:t>
      </w:r>
      <w:r w:rsidR="00081FF5">
        <w:t xml:space="preserve"> either </w:t>
      </w:r>
      <w:r w:rsidR="00940F90">
        <w:t>m</w:t>
      </w:r>
      <w:r w:rsidR="00081FF5">
        <w:t>RNA (red line) or protein (blue line).</w:t>
      </w:r>
      <w:r w:rsidR="00D45ED9">
        <w:t xml:space="preserve"> </w:t>
      </w:r>
    </w:p>
    <w:p w:rsidR="00081FF5" w:rsidRPr="001D1B39" w:rsidRDefault="00081FF5" w:rsidP="00AE2EB4">
      <w:pPr>
        <w:pStyle w:val="ListParagraph"/>
        <w:numPr>
          <w:ilvl w:val="0"/>
          <w:numId w:val="19"/>
        </w:numPr>
        <w:jc w:val="both"/>
      </w:pPr>
      <w:r>
        <w:t>Same as in (A) but nodes are colored according their protein expression index.</w:t>
      </w:r>
    </w:p>
    <w:p w:rsidR="00C5633D" w:rsidRPr="00E47177" w:rsidRDefault="00356DF8" w:rsidP="00AE2EB4">
      <w:pPr>
        <w:jc w:val="both"/>
      </w:pPr>
      <w:r w:rsidRPr="00E47177">
        <w:t>Supplemental Figure</w:t>
      </w:r>
      <w:r w:rsidR="00D50AFA" w:rsidRPr="00E47177">
        <w:t xml:space="preserve"> </w:t>
      </w:r>
      <w:r w:rsidR="00832113" w:rsidRPr="00E47177">
        <w:t>8</w:t>
      </w:r>
      <w:r w:rsidR="00DE1884" w:rsidRPr="00E47177">
        <w:t>:</w:t>
      </w:r>
      <w:r w:rsidRPr="00E47177">
        <w:t xml:space="preserve"> </w:t>
      </w:r>
      <w:r w:rsidR="009D3351">
        <w:t xml:space="preserve"> </w:t>
      </w:r>
      <w:r w:rsidR="00C35AB2" w:rsidRPr="00E47177">
        <w:t>Complete results of Autosome network expression clustering</w:t>
      </w:r>
    </w:p>
    <w:p w:rsidR="00AA4EB8" w:rsidRDefault="00AA4EB8" w:rsidP="00AE2EB4">
      <w:pPr>
        <w:jc w:val="both"/>
      </w:pPr>
    </w:p>
    <w:p w:rsidR="00827E55" w:rsidRPr="00AA4EB8" w:rsidRDefault="00AA4EB8" w:rsidP="00AE2EB4">
      <w:pPr>
        <w:jc w:val="both"/>
      </w:pPr>
      <w:proofErr w:type="gramStart"/>
      <w:r w:rsidRPr="00AA4EB8">
        <w:t>Figure 8.</w:t>
      </w:r>
      <w:proofErr w:type="gramEnd"/>
      <w:r w:rsidRPr="00AA4EB8">
        <w:t xml:space="preserve"> </w:t>
      </w:r>
      <w:proofErr w:type="spellStart"/>
      <w:r>
        <w:t>Calmodulin</w:t>
      </w:r>
      <w:proofErr w:type="spellEnd"/>
      <w:r>
        <w:t>-like protein TCH3/CML12 interacts with Receptor-like kinases and contributes to plant immunity</w:t>
      </w:r>
    </w:p>
    <w:p w:rsidR="00CF1916" w:rsidRDefault="00CF1916" w:rsidP="00AA4EB8">
      <w:pPr>
        <w:pStyle w:val="ListParagraph"/>
        <w:numPr>
          <w:ilvl w:val="0"/>
          <w:numId w:val="24"/>
        </w:numPr>
        <w:jc w:val="both"/>
      </w:pPr>
      <w:r>
        <w:t>TCH3/CML12</w:t>
      </w:r>
      <w:r w:rsidR="00AA4EB8">
        <w:t xml:space="preserve"> </w:t>
      </w:r>
      <w:r w:rsidR="00940F90">
        <w:t xml:space="preserve">and RLK </w:t>
      </w:r>
      <w:r w:rsidR="00AA4EB8">
        <w:t xml:space="preserve">expression </w:t>
      </w:r>
      <w:r w:rsidR="00940F90">
        <w:t xml:space="preserve">sub-network </w:t>
      </w:r>
      <w:r w:rsidR="00AA4EB8">
        <w:t>identified through Autosome clustering</w:t>
      </w:r>
      <w:r w:rsidR="00940F90">
        <w:t xml:space="preserve"> (see Figure 7A for details)</w:t>
      </w:r>
      <w:r>
        <w:t xml:space="preserve">. </w:t>
      </w:r>
    </w:p>
    <w:p w:rsidR="00AA4EB8" w:rsidRDefault="00AA4EB8" w:rsidP="00AA4EB8">
      <w:pPr>
        <w:pStyle w:val="ListParagraph"/>
        <w:numPr>
          <w:ilvl w:val="0"/>
          <w:numId w:val="24"/>
        </w:numPr>
        <w:jc w:val="both"/>
      </w:pPr>
      <w:r>
        <w:t xml:space="preserve">Nodes within the </w:t>
      </w:r>
      <w:r w:rsidR="00CF1916">
        <w:t>TCH3/RLK</w:t>
      </w:r>
      <w:r>
        <w:t xml:space="preserve"> sub</w:t>
      </w:r>
      <w:r w:rsidR="00CF1916">
        <w:t>-</w:t>
      </w:r>
      <w:r>
        <w:t>network exhibit different patterns of RNA and protein expression over tim</w:t>
      </w:r>
      <w:r w:rsidR="00940F90">
        <w:t>e. Line charts representing m</w:t>
      </w:r>
      <w:r>
        <w:t xml:space="preserve">RNA and protein fold change values for the indicated genes over time. Asterisks indicate time points with significant differential expression </w:t>
      </w:r>
      <w:r w:rsidR="00940F90">
        <w:t>for</w:t>
      </w:r>
      <w:r>
        <w:t xml:space="preserve"> either </w:t>
      </w:r>
      <w:r w:rsidR="00940F90">
        <w:t>m</w:t>
      </w:r>
      <w:r>
        <w:t xml:space="preserve">RNA (red line) or protein (blue line). </w:t>
      </w:r>
    </w:p>
    <w:p w:rsidR="00AA4EB8" w:rsidRDefault="00AA4EB8" w:rsidP="00AA4EB8">
      <w:pPr>
        <w:pStyle w:val="ListParagraph"/>
        <w:numPr>
          <w:ilvl w:val="0"/>
          <w:numId w:val="24"/>
        </w:numPr>
        <w:jc w:val="both"/>
      </w:pPr>
      <w:r>
        <w:t>Same as in (A) but nodes are colored according their protein expression index.</w:t>
      </w:r>
    </w:p>
    <w:p w:rsidR="00F6659D" w:rsidRDefault="00ED22DD" w:rsidP="00AA4EB8">
      <w:pPr>
        <w:pStyle w:val="ListParagraph"/>
        <w:numPr>
          <w:ilvl w:val="0"/>
          <w:numId w:val="24"/>
        </w:numPr>
        <w:jc w:val="both"/>
      </w:pPr>
      <w:r>
        <w:t>Enhanced p</w:t>
      </w:r>
      <w:r w:rsidR="00CF1916">
        <w:t xml:space="preserve">athogen growth </w:t>
      </w:r>
      <w:r>
        <w:t>is observed in</w:t>
      </w:r>
      <w:r w:rsidR="00CF1916">
        <w:t xml:space="preserve"> </w:t>
      </w:r>
      <w:r w:rsidR="00CF1916" w:rsidRPr="00F6659D">
        <w:rPr>
          <w:i/>
        </w:rPr>
        <w:t>tch3-1</w:t>
      </w:r>
      <w:r w:rsidR="00F6659D">
        <w:t xml:space="preserve"> knockout plants</w:t>
      </w:r>
      <w:r>
        <w:t xml:space="preserve"> (Student’s t-test, p&lt;0.05)</w:t>
      </w:r>
      <w:r w:rsidR="00CF1916">
        <w:t xml:space="preserve">. </w:t>
      </w:r>
      <w:r w:rsidR="00940F90">
        <w:t xml:space="preserve">Wild-type Col-0 and </w:t>
      </w:r>
      <w:r w:rsidR="00940F90" w:rsidRPr="00F6659D">
        <w:rPr>
          <w:i/>
        </w:rPr>
        <w:t>tch3-1</w:t>
      </w:r>
      <w:r w:rsidR="00940F90">
        <w:t xml:space="preserve"> plants were sprayed with </w:t>
      </w:r>
      <w:r w:rsidR="00940F90" w:rsidRPr="00F6659D">
        <w:rPr>
          <w:i/>
        </w:rPr>
        <w:t xml:space="preserve">Pseudomonas </w:t>
      </w:r>
      <w:proofErr w:type="spellStart"/>
      <w:r w:rsidR="00940F90" w:rsidRPr="00F6659D">
        <w:rPr>
          <w:i/>
        </w:rPr>
        <w:t>syringae</w:t>
      </w:r>
      <w:proofErr w:type="spellEnd"/>
      <w:r w:rsidR="00940F90">
        <w:t xml:space="preserve"> </w:t>
      </w:r>
      <w:proofErr w:type="spellStart"/>
      <w:proofErr w:type="gramStart"/>
      <w:r w:rsidR="00940F90">
        <w:t>pv</w:t>
      </w:r>
      <w:proofErr w:type="spellEnd"/>
      <w:proofErr w:type="gramEnd"/>
      <w:r w:rsidR="00940F90">
        <w:t xml:space="preserve">. </w:t>
      </w:r>
      <w:proofErr w:type="gramStart"/>
      <w:r w:rsidR="00940F90">
        <w:t>tomato</w:t>
      </w:r>
      <w:proofErr w:type="gramEnd"/>
      <w:r w:rsidR="00940F90">
        <w:t xml:space="preserve"> DC3000 (</w:t>
      </w:r>
      <w:proofErr w:type="spellStart"/>
      <w:r w:rsidR="00940F90" w:rsidRPr="00F6659D">
        <w:rPr>
          <w:i/>
        </w:rPr>
        <w:t>Pto</w:t>
      </w:r>
      <w:proofErr w:type="spellEnd"/>
      <w:r w:rsidR="00940F90">
        <w:t>) at a concentration of 1x10</w:t>
      </w:r>
      <w:r w:rsidR="00940F90" w:rsidRPr="00F6659D">
        <w:rPr>
          <w:vertAlign w:val="superscript"/>
        </w:rPr>
        <w:t>8</w:t>
      </w:r>
      <w:r w:rsidR="00940F90">
        <w:t xml:space="preserve"> </w:t>
      </w:r>
      <w:proofErr w:type="spellStart"/>
      <w:r w:rsidR="00940F90">
        <w:t>cfu</w:t>
      </w:r>
      <w:proofErr w:type="spellEnd"/>
      <w:r w:rsidR="00940F90">
        <w:t>/</w:t>
      </w:r>
      <w:proofErr w:type="spellStart"/>
      <w:r w:rsidR="00940F90">
        <w:t>mL.</w:t>
      </w:r>
      <w:proofErr w:type="spellEnd"/>
      <w:r w:rsidR="00940F90">
        <w:t xml:space="preserve"> Leaf tissue was harvested at four days post-inoculation, homogenized, and dilution plated to assay </w:t>
      </w:r>
      <w:proofErr w:type="spellStart"/>
      <w:proofErr w:type="gramStart"/>
      <w:r w:rsidR="00940F90" w:rsidRPr="00F6659D">
        <w:rPr>
          <w:i/>
        </w:rPr>
        <w:t>Pto</w:t>
      </w:r>
      <w:proofErr w:type="spellEnd"/>
      <w:proofErr w:type="gramEnd"/>
      <w:r w:rsidR="00940F90">
        <w:t xml:space="preserve"> growth.</w:t>
      </w:r>
      <w:r>
        <w:t xml:space="preserve"> </w:t>
      </w:r>
    </w:p>
    <w:p w:rsidR="00CF1916" w:rsidRPr="001D1B39" w:rsidRDefault="00CF1916" w:rsidP="00AA4EB8">
      <w:pPr>
        <w:pStyle w:val="ListParagraph"/>
        <w:numPr>
          <w:ilvl w:val="0"/>
          <w:numId w:val="24"/>
        </w:numPr>
        <w:jc w:val="both"/>
      </w:pPr>
      <w:r>
        <w:t xml:space="preserve">TCH3 associates with the PM during plant immune responses </w:t>
      </w:r>
      <w:r w:rsidRPr="00F6659D">
        <w:rPr>
          <w:b/>
          <w:highlight w:val="yellow"/>
        </w:rPr>
        <w:t>Should have this data early next week</w:t>
      </w:r>
    </w:p>
    <w:p w:rsidR="00AA4EB8" w:rsidRPr="00E47177" w:rsidRDefault="00832113" w:rsidP="00AE2EB4">
      <w:pPr>
        <w:jc w:val="both"/>
      </w:pPr>
      <w:r w:rsidRPr="00E47177">
        <w:t xml:space="preserve">Supplemental Figure </w:t>
      </w:r>
      <w:r w:rsidR="00DF1D69" w:rsidRPr="00E47177">
        <w:t>9</w:t>
      </w:r>
      <w:r w:rsidR="007A789F" w:rsidRPr="00E47177">
        <w:t xml:space="preserve">: </w:t>
      </w:r>
      <w:r w:rsidR="009D3351">
        <w:t xml:space="preserve"> </w:t>
      </w:r>
      <w:r w:rsidR="007A789F" w:rsidRPr="00E47177">
        <w:t xml:space="preserve">T-DNA insertion </w:t>
      </w:r>
      <w:r w:rsidR="009D3351">
        <w:t xml:space="preserve">lines </w:t>
      </w:r>
      <w:r w:rsidR="007A789F" w:rsidRPr="00E47177">
        <w:t>(tch3-1 and crk14-1) and RT-PCR knockout validation</w:t>
      </w:r>
    </w:p>
    <w:p w:rsidR="007A789F" w:rsidRPr="00827E55" w:rsidRDefault="007A789F" w:rsidP="00AE2EB4">
      <w:pPr>
        <w:jc w:val="both"/>
        <w:rPr>
          <w:b/>
        </w:rPr>
      </w:pPr>
    </w:p>
    <w:p w:rsidR="0009188D" w:rsidRDefault="00AA4EB8" w:rsidP="00AE2EB4">
      <w:pPr>
        <w:jc w:val="both"/>
      </w:pPr>
      <w:proofErr w:type="gramStart"/>
      <w:r>
        <w:t>Figure 9</w:t>
      </w:r>
      <w:r w:rsidR="0009188D">
        <w:t>.</w:t>
      </w:r>
      <w:proofErr w:type="gramEnd"/>
      <w:r w:rsidR="0009188D">
        <w:t xml:space="preserve"> Cysteine-rich receptor-like kinases </w:t>
      </w:r>
      <w:r w:rsidR="00311ABF">
        <w:t xml:space="preserve">(CRKs) are coordinately expressed </w:t>
      </w:r>
      <w:r w:rsidR="0053315C">
        <w:t xml:space="preserve">after FLS2 activation </w:t>
      </w:r>
      <w:r w:rsidR="00311ABF">
        <w:t xml:space="preserve">and </w:t>
      </w:r>
      <w:r w:rsidR="00602B4B">
        <w:t xml:space="preserve">CRK14 </w:t>
      </w:r>
      <w:r w:rsidR="0009188D">
        <w:t>contribute</w:t>
      </w:r>
      <w:r w:rsidR="00602B4B">
        <w:t>s</w:t>
      </w:r>
      <w:r w:rsidR="0009188D">
        <w:t xml:space="preserve"> to plant immunity</w:t>
      </w:r>
    </w:p>
    <w:p w:rsidR="00D036F6" w:rsidRDefault="009D3351" w:rsidP="00AE2EB4">
      <w:pPr>
        <w:pStyle w:val="ListParagraph"/>
        <w:numPr>
          <w:ilvl w:val="0"/>
          <w:numId w:val="5"/>
        </w:numPr>
        <w:jc w:val="both"/>
      </w:pPr>
      <w:r>
        <w:t xml:space="preserve">Most of the CRK family is up-regulated at the mRNA level. CRK PM </w:t>
      </w:r>
      <w:proofErr w:type="gramStart"/>
      <w:r>
        <w:t>protein</w:t>
      </w:r>
      <w:proofErr w:type="gramEnd"/>
      <w:r>
        <w:t xml:space="preserve"> changes </w:t>
      </w:r>
      <w:r w:rsidR="001055E8" w:rsidRPr="00D036F6">
        <w:t xml:space="preserve">Left: </w:t>
      </w:r>
      <w:proofErr w:type="spellStart"/>
      <w:r w:rsidR="00D036F6">
        <w:t>Unrooted</w:t>
      </w:r>
      <w:proofErr w:type="spellEnd"/>
      <w:r w:rsidR="00D036F6">
        <w:t xml:space="preserve"> p</w:t>
      </w:r>
      <w:r w:rsidR="001055E8" w:rsidRPr="00D036F6">
        <w:t>hylogeny of</w:t>
      </w:r>
      <w:r w:rsidR="00D036F6">
        <w:t xml:space="preserve"> the annotated</w:t>
      </w:r>
      <w:r w:rsidR="001055E8" w:rsidRPr="00D036F6">
        <w:t xml:space="preserve"> CRK family in Arabidopsis generated from full</w:t>
      </w:r>
      <w:r w:rsidR="00D036F6">
        <w:t>-length</w:t>
      </w:r>
      <w:r w:rsidR="001055E8" w:rsidRPr="00D036F6">
        <w:t xml:space="preserve"> protein sequence</w:t>
      </w:r>
      <w:r w:rsidR="000F1FAE" w:rsidRPr="00D036F6">
        <w:t>s</w:t>
      </w:r>
      <w:r w:rsidR="001055E8" w:rsidRPr="00D036F6">
        <w:t xml:space="preserve">. </w:t>
      </w:r>
      <w:r w:rsidR="001055E8">
        <w:t xml:space="preserve">Middle: </w:t>
      </w:r>
      <w:proofErr w:type="spellStart"/>
      <w:r w:rsidR="001055E8">
        <w:t>Heatmap</w:t>
      </w:r>
      <w:proofErr w:type="spellEnd"/>
      <w:r w:rsidR="001055E8">
        <w:t xml:space="preserve"> of RNA and protein </w:t>
      </w:r>
      <w:r w:rsidR="00F6659D">
        <w:t>differential expression</w:t>
      </w:r>
      <w:r w:rsidR="001055E8">
        <w:t>. Right: Bar chart of RLK relative protein expression in PM-enriched fractions.</w:t>
      </w:r>
      <w:r w:rsidR="00311ABF">
        <w:t xml:space="preserve"> </w:t>
      </w:r>
      <w:r w:rsidR="00D036F6">
        <w:t>#, kinase domain only; *, no kinase domain present.</w:t>
      </w:r>
    </w:p>
    <w:p w:rsidR="00F6659D" w:rsidRDefault="00F6659D" w:rsidP="00AE2EB4">
      <w:pPr>
        <w:pStyle w:val="ListParagraph"/>
        <w:numPr>
          <w:ilvl w:val="0"/>
          <w:numId w:val="5"/>
        </w:numPr>
        <w:jc w:val="both"/>
      </w:pPr>
      <w:r>
        <w:t xml:space="preserve">Enhanced pathogen growth is observed in </w:t>
      </w:r>
      <w:r>
        <w:rPr>
          <w:i/>
        </w:rPr>
        <w:t>crk14</w:t>
      </w:r>
      <w:r w:rsidRPr="00F6659D">
        <w:rPr>
          <w:i/>
        </w:rPr>
        <w:t>-1</w:t>
      </w:r>
      <w:r>
        <w:t xml:space="preserve"> knockout plants (Student’s t-test, p&lt;0.001).</w:t>
      </w:r>
    </w:p>
    <w:p w:rsidR="009A3588" w:rsidRPr="007A789F" w:rsidRDefault="00195A01" w:rsidP="00AE2EB4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Several </w:t>
      </w:r>
      <w:r w:rsidR="005A3FE4">
        <w:t xml:space="preserve">CRK </w:t>
      </w:r>
      <w:proofErr w:type="spellStart"/>
      <w:r w:rsidR="005A3FE4">
        <w:t>p</w:t>
      </w:r>
      <w:r w:rsidR="001055E8">
        <w:t>hosphopeptides</w:t>
      </w:r>
      <w:proofErr w:type="spellEnd"/>
      <w:r w:rsidR="001055E8">
        <w:t xml:space="preserve"> </w:t>
      </w:r>
      <w:r w:rsidR="005A3FE4">
        <w:t xml:space="preserve">identified by MS/MS </w:t>
      </w:r>
      <w:r>
        <w:t xml:space="preserve">are </w:t>
      </w:r>
      <w:r w:rsidR="001572A4">
        <w:t>conserved across multiple</w:t>
      </w:r>
      <w:r w:rsidR="001055E8">
        <w:t xml:space="preserve"> CRK proteins</w:t>
      </w:r>
      <w:r>
        <w:t xml:space="preserve">. Conserved phosphorylated residues are </w:t>
      </w:r>
      <w:r w:rsidR="00BA423D">
        <w:t xml:space="preserve">represented on </w:t>
      </w:r>
      <w:r>
        <w:t xml:space="preserve">the </w:t>
      </w:r>
      <w:r w:rsidR="00BA423D">
        <w:t>CRK13 domain architecture</w:t>
      </w:r>
      <w:r w:rsidR="009A3588">
        <w:t>.</w:t>
      </w:r>
    </w:p>
    <w:p w:rsidR="00AA4EB8" w:rsidRPr="007A789F" w:rsidRDefault="001055E8" w:rsidP="00AE2EB4">
      <w:pPr>
        <w:pStyle w:val="ListParagraph"/>
        <w:numPr>
          <w:ilvl w:val="0"/>
          <w:numId w:val="5"/>
        </w:numPr>
        <w:jc w:val="both"/>
      </w:pPr>
      <w:r w:rsidRPr="007A789F">
        <w:t xml:space="preserve">Functional analysis of </w:t>
      </w:r>
      <w:r w:rsidR="004238A0" w:rsidRPr="007A789F">
        <w:t xml:space="preserve">the role of </w:t>
      </w:r>
      <w:r w:rsidRPr="007A789F">
        <w:t xml:space="preserve">CRK13 phosphorylation in </w:t>
      </w:r>
      <w:r w:rsidR="003D625B" w:rsidRPr="007A789F">
        <w:t xml:space="preserve">inducing </w:t>
      </w:r>
      <w:r w:rsidRPr="007A789F">
        <w:t>cell death</w:t>
      </w:r>
      <w:r w:rsidR="00184ADD" w:rsidRPr="007A789F">
        <w:t>.</w:t>
      </w:r>
      <w:r w:rsidR="00670130" w:rsidRPr="007A789F">
        <w:t xml:space="preserve"> </w:t>
      </w:r>
      <w:r w:rsidR="006E33E9">
        <w:t>Alanine mutants of CRK13</w:t>
      </w:r>
      <w:r w:rsidR="006E33E9" w:rsidRPr="006E33E9">
        <w:rPr>
          <w:vertAlign w:val="superscript"/>
        </w:rPr>
        <w:t>T392</w:t>
      </w:r>
      <w:r w:rsidR="006E33E9">
        <w:rPr>
          <w:vertAlign w:val="superscript"/>
        </w:rPr>
        <w:t xml:space="preserve"> </w:t>
      </w:r>
      <w:r w:rsidR="006E33E9">
        <w:t>and CRK13</w:t>
      </w:r>
      <w:r w:rsidR="006E33E9">
        <w:rPr>
          <w:vertAlign w:val="superscript"/>
        </w:rPr>
        <w:t>S438</w:t>
      </w:r>
      <w:r w:rsidR="006E33E9">
        <w:t xml:space="preserve"> do not elicit cell death when transiently expressed </w:t>
      </w:r>
      <w:r w:rsidR="006E33E9" w:rsidRPr="007A789F">
        <w:t xml:space="preserve">in </w:t>
      </w:r>
      <w:proofErr w:type="spellStart"/>
      <w:r w:rsidR="006E33E9" w:rsidRPr="007A789F">
        <w:rPr>
          <w:i/>
        </w:rPr>
        <w:t>Nicotiana</w:t>
      </w:r>
      <w:proofErr w:type="spellEnd"/>
      <w:r w:rsidR="006E33E9" w:rsidRPr="007A789F">
        <w:rPr>
          <w:i/>
        </w:rPr>
        <w:t xml:space="preserve"> </w:t>
      </w:r>
      <w:proofErr w:type="spellStart"/>
      <w:r w:rsidR="006E33E9" w:rsidRPr="007A789F">
        <w:rPr>
          <w:i/>
        </w:rPr>
        <w:t>tabacum</w:t>
      </w:r>
      <w:proofErr w:type="spellEnd"/>
      <w:r w:rsidR="006E33E9">
        <w:rPr>
          <w:i/>
        </w:rPr>
        <w:t>.</w:t>
      </w:r>
    </w:p>
    <w:p w:rsidR="00BA423D" w:rsidRPr="00E47177" w:rsidRDefault="00BA423D" w:rsidP="00AE2EB4">
      <w:pPr>
        <w:jc w:val="both"/>
      </w:pPr>
      <w:r w:rsidRPr="00E47177">
        <w:t>Supplemental Figure</w:t>
      </w:r>
      <w:r w:rsidR="00D50AFA" w:rsidRPr="00E47177">
        <w:t xml:space="preserve"> 1</w:t>
      </w:r>
      <w:r w:rsidR="00E47177">
        <w:t>0</w:t>
      </w:r>
      <w:r w:rsidRPr="00E47177">
        <w:t>:</w:t>
      </w:r>
      <w:r w:rsidR="009D3351">
        <w:t xml:space="preserve">  A</w:t>
      </w:r>
      <w:r w:rsidRPr="00E47177">
        <w:t xml:space="preserve">mino acid alignment of identified </w:t>
      </w:r>
      <w:proofErr w:type="spellStart"/>
      <w:r w:rsidRPr="00E47177">
        <w:t>phosphopeptides</w:t>
      </w:r>
      <w:proofErr w:type="spellEnd"/>
    </w:p>
    <w:p w:rsidR="005A3FE4" w:rsidRPr="00E47177" w:rsidRDefault="005A3FE4" w:rsidP="00AE2EB4">
      <w:pPr>
        <w:jc w:val="both"/>
      </w:pPr>
      <w:r w:rsidRPr="00E47177">
        <w:t>Supplemental Table</w:t>
      </w:r>
      <w:r w:rsidR="006E33E9" w:rsidRPr="00E47177">
        <w:t xml:space="preserve"> 1</w:t>
      </w:r>
      <w:r w:rsidR="00CC2E7C" w:rsidRPr="00E47177">
        <w:t>9</w:t>
      </w:r>
      <w:r w:rsidRPr="00E47177">
        <w:t xml:space="preserve">: </w:t>
      </w:r>
      <w:r w:rsidR="009D3351">
        <w:t xml:space="preserve"> Complete list of </w:t>
      </w:r>
      <w:proofErr w:type="spellStart"/>
      <w:r w:rsidR="009D3351">
        <w:t>phosphopeptide</w:t>
      </w:r>
      <w:proofErr w:type="spellEnd"/>
      <w:r w:rsidR="009D3351">
        <w:t xml:space="preserve"> identifications </w:t>
      </w:r>
    </w:p>
    <w:p w:rsidR="00D05E58" w:rsidRDefault="00D05E58" w:rsidP="00AE2EB4">
      <w:pPr>
        <w:jc w:val="both"/>
        <w:rPr>
          <w:b/>
        </w:rPr>
      </w:pPr>
    </w:p>
    <w:sectPr w:rsidR="00D05E58" w:rsidSect="0073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FF2"/>
    <w:multiLevelType w:val="hybridMultilevel"/>
    <w:tmpl w:val="9376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01620"/>
    <w:multiLevelType w:val="hybridMultilevel"/>
    <w:tmpl w:val="138C5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BE1C27"/>
    <w:multiLevelType w:val="hybridMultilevel"/>
    <w:tmpl w:val="58588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D2D58"/>
    <w:multiLevelType w:val="hybridMultilevel"/>
    <w:tmpl w:val="940C0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C5B1D"/>
    <w:multiLevelType w:val="hybridMultilevel"/>
    <w:tmpl w:val="6990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8D2"/>
    <w:multiLevelType w:val="hybridMultilevel"/>
    <w:tmpl w:val="C0C6E0A6"/>
    <w:lvl w:ilvl="0" w:tplc="057476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478034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31C41B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5C6D4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67C790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8162EC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4052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86AA81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03A08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3A3507"/>
    <w:multiLevelType w:val="hybridMultilevel"/>
    <w:tmpl w:val="FB0C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C3971"/>
    <w:multiLevelType w:val="hybridMultilevel"/>
    <w:tmpl w:val="BF689A6C"/>
    <w:lvl w:ilvl="0" w:tplc="33687478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2C1BD6"/>
    <w:multiLevelType w:val="hybridMultilevel"/>
    <w:tmpl w:val="98A440A4"/>
    <w:lvl w:ilvl="0" w:tplc="3368747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CD90A4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9AABE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5E80A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5544E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38273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2903FB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3F4E2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0928FB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E36BF"/>
    <w:multiLevelType w:val="hybridMultilevel"/>
    <w:tmpl w:val="E86655A4"/>
    <w:lvl w:ilvl="0" w:tplc="11D2F5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BE03B7"/>
    <w:multiLevelType w:val="hybridMultilevel"/>
    <w:tmpl w:val="516C056C"/>
    <w:lvl w:ilvl="0" w:tplc="7AFA618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BA641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0A8EFB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0EE67A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D3248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05CBB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3A60A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46A7A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D26B0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542A72"/>
    <w:multiLevelType w:val="hybridMultilevel"/>
    <w:tmpl w:val="68A858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C77D8"/>
    <w:multiLevelType w:val="hybridMultilevel"/>
    <w:tmpl w:val="68A858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01116"/>
    <w:multiLevelType w:val="hybridMultilevel"/>
    <w:tmpl w:val="4C941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F4A62"/>
    <w:multiLevelType w:val="hybridMultilevel"/>
    <w:tmpl w:val="BD1E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338BA"/>
    <w:multiLevelType w:val="hybridMultilevel"/>
    <w:tmpl w:val="D9FAE6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FC4CBC"/>
    <w:multiLevelType w:val="hybridMultilevel"/>
    <w:tmpl w:val="F1D2A04A"/>
    <w:lvl w:ilvl="0" w:tplc="E4A08FA8">
      <w:start w:val="1"/>
      <w:numFmt w:val="upperLetter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C4BC3"/>
    <w:multiLevelType w:val="hybridMultilevel"/>
    <w:tmpl w:val="9376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32C27"/>
    <w:multiLevelType w:val="hybridMultilevel"/>
    <w:tmpl w:val="0C9C0FA2"/>
    <w:lvl w:ilvl="0" w:tplc="D61210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FD7744"/>
    <w:multiLevelType w:val="hybridMultilevel"/>
    <w:tmpl w:val="A1AA9F04"/>
    <w:lvl w:ilvl="0" w:tplc="33687478">
      <w:start w:val="1"/>
      <w:numFmt w:val="upperLetter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53153AA"/>
    <w:multiLevelType w:val="hybridMultilevel"/>
    <w:tmpl w:val="856E3426"/>
    <w:lvl w:ilvl="0" w:tplc="180E2248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534652"/>
    <w:multiLevelType w:val="hybridMultilevel"/>
    <w:tmpl w:val="36EA0910"/>
    <w:lvl w:ilvl="0" w:tplc="EB8299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F7CB2"/>
    <w:multiLevelType w:val="hybridMultilevel"/>
    <w:tmpl w:val="31226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D4697"/>
    <w:multiLevelType w:val="hybridMultilevel"/>
    <w:tmpl w:val="BB985270"/>
    <w:lvl w:ilvl="0" w:tplc="B610311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2"/>
  </w:num>
  <w:num w:numId="6">
    <w:abstractNumId w:val="16"/>
  </w:num>
  <w:num w:numId="7">
    <w:abstractNumId w:val="22"/>
  </w:num>
  <w:num w:numId="8">
    <w:abstractNumId w:val="6"/>
  </w:num>
  <w:num w:numId="9">
    <w:abstractNumId w:val="14"/>
  </w:num>
  <w:num w:numId="10">
    <w:abstractNumId w:val="4"/>
  </w:num>
  <w:num w:numId="11">
    <w:abstractNumId w:val="18"/>
  </w:num>
  <w:num w:numId="12">
    <w:abstractNumId w:val="21"/>
  </w:num>
  <w:num w:numId="13">
    <w:abstractNumId w:val="9"/>
  </w:num>
  <w:num w:numId="14">
    <w:abstractNumId w:val="20"/>
  </w:num>
  <w:num w:numId="15">
    <w:abstractNumId w:val="15"/>
  </w:num>
  <w:num w:numId="16">
    <w:abstractNumId w:val="7"/>
  </w:num>
  <w:num w:numId="17">
    <w:abstractNumId w:val="17"/>
  </w:num>
  <w:num w:numId="18">
    <w:abstractNumId w:val="0"/>
  </w:num>
  <w:num w:numId="19">
    <w:abstractNumId w:val="11"/>
  </w:num>
  <w:num w:numId="20">
    <w:abstractNumId w:val="13"/>
  </w:num>
  <w:num w:numId="21">
    <w:abstractNumId w:val="19"/>
  </w:num>
  <w:num w:numId="22">
    <w:abstractNumId w:val="3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188D"/>
    <w:rsid w:val="00007115"/>
    <w:rsid w:val="0001543C"/>
    <w:rsid w:val="00016B16"/>
    <w:rsid w:val="000370C7"/>
    <w:rsid w:val="00041704"/>
    <w:rsid w:val="00043221"/>
    <w:rsid w:val="00045525"/>
    <w:rsid w:val="00047D23"/>
    <w:rsid w:val="00050C3A"/>
    <w:rsid w:val="00061D29"/>
    <w:rsid w:val="0006705E"/>
    <w:rsid w:val="00081FF5"/>
    <w:rsid w:val="000853EC"/>
    <w:rsid w:val="0009188D"/>
    <w:rsid w:val="000966D2"/>
    <w:rsid w:val="000A5765"/>
    <w:rsid w:val="000B1346"/>
    <w:rsid w:val="000B29C7"/>
    <w:rsid w:val="000C03FE"/>
    <w:rsid w:val="000C6FCE"/>
    <w:rsid w:val="000F1D35"/>
    <w:rsid w:val="000F1FAE"/>
    <w:rsid w:val="0010032C"/>
    <w:rsid w:val="001055E8"/>
    <w:rsid w:val="00113222"/>
    <w:rsid w:val="00116F0E"/>
    <w:rsid w:val="00122FB1"/>
    <w:rsid w:val="001254A7"/>
    <w:rsid w:val="001378FB"/>
    <w:rsid w:val="0014069D"/>
    <w:rsid w:val="001572A4"/>
    <w:rsid w:val="001630D7"/>
    <w:rsid w:val="00177380"/>
    <w:rsid w:val="001808ED"/>
    <w:rsid w:val="00184ADD"/>
    <w:rsid w:val="001943AB"/>
    <w:rsid w:val="00195160"/>
    <w:rsid w:val="00195A01"/>
    <w:rsid w:val="001A1F87"/>
    <w:rsid w:val="001A6820"/>
    <w:rsid w:val="001B31C1"/>
    <w:rsid w:val="001C082A"/>
    <w:rsid w:val="001C137C"/>
    <w:rsid w:val="001D1B39"/>
    <w:rsid w:val="001D7F3B"/>
    <w:rsid w:val="002054CA"/>
    <w:rsid w:val="0020624C"/>
    <w:rsid w:val="002121DE"/>
    <w:rsid w:val="00240B62"/>
    <w:rsid w:val="0024556F"/>
    <w:rsid w:val="00250DAA"/>
    <w:rsid w:val="00252703"/>
    <w:rsid w:val="0026608C"/>
    <w:rsid w:val="00276AA3"/>
    <w:rsid w:val="00286E8F"/>
    <w:rsid w:val="00295041"/>
    <w:rsid w:val="002A386F"/>
    <w:rsid w:val="002B502B"/>
    <w:rsid w:val="002E506F"/>
    <w:rsid w:val="002F0155"/>
    <w:rsid w:val="002F02B9"/>
    <w:rsid w:val="002F4D45"/>
    <w:rsid w:val="002F75E9"/>
    <w:rsid w:val="003059BF"/>
    <w:rsid w:val="0030710F"/>
    <w:rsid w:val="003113BE"/>
    <w:rsid w:val="00311ABF"/>
    <w:rsid w:val="00311B78"/>
    <w:rsid w:val="00313198"/>
    <w:rsid w:val="00356DF8"/>
    <w:rsid w:val="00364DD2"/>
    <w:rsid w:val="00372DDE"/>
    <w:rsid w:val="0038015B"/>
    <w:rsid w:val="00383EAF"/>
    <w:rsid w:val="00396F33"/>
    <w:rsid w:val="003A4093"/>
    <w:rsid w:val="003A443C"/>
    <w:rsid w:val="003B0F60"/>
    <w:rsid w:val="003B5C2D"/>
    <w:rsid w:val="003B7AFD"/>
    <w:rsid w:val="003D5F81"/>
    <w:rsid w:val="003D625B"/>
    <w:rsid w:val="003E19B3"/>
    <w:rsid w:val="003E542B"/>
    <w:rsid w:val="004006E2"/>
    <w:rsid w:val="00404BE8"/>
    <w:rsid w:val="004130A2"/>
    <w:rsid w:val="004134B4"/>
    <w:rsid w:val="004205CF"/>
    <w:rsid w:val="004238A0"/>
    <w:rsid w:val="00430EC3"/>
    <w:rsid w:val="00434782"/>
    <w:rsid w:val="00435AA1"/>
    <w:rsid w:val="00447C4F"/>
    <w:rsid w:val="00456E3A"/>
    <w:rsid w:val="004714F5"/>
    <w:rsid w:val="00490BBF"/>
    <w:rsid w:val="0049627E"/>
    <w:rsid w:val="00497F3E"/>
    <w:rsid w:val="004A0ED6"/>
    <w:rsid w:val="004A672D"/>
    <w:rsid w:val="004B6B9F"/>
    <w:rsid w:val="004C6EB3"/>
    <w:rsid w:val="004D1A0D"/>
    <w:rsid w:val="004D45E6"/>
    <w:rsid w:val="004E2A96"/>
    <w:rsid w:val="004E3E8E"/>
    <w:rsid w:val="004F4C8E"/>
    <w:rsid w:val="00513351"/>
    <w:rsid w:val="005161D2"/>
    <w:rsid w:val="0051646F"/>
    <w:rsid w:val="0052050A"/>
    <w:rsid w:val="00520CA9"/>
    <w:rsid w:val="00527CE9"/>
    <w:rsid w:val="00530B92"/>
    <w:rsid w:val="0053315C"/>
    <w:rsid w:val="00534967"/>
    <w:rsid w:val="00537871"/>
    <w:rsid w:val="005414C9"/>
    <w:rsid w:val="0054486A"/>
    <w:rsid w:val="0054696B"/>
    <w:rsid w:val="00563660"/>
    <w:rsid w:val="0056597A"/>
    <w:rsid w:val="00566913"/>
    <w:rsid w:val="00570062"/>
    <w:rsid w:val="005753C6"/>
    <w:rsid w:val="005A3FE4"/>
    <w:rsid w:val="005B2756"/>
    <w:rsid w:val="005D28B1"/>
    <w:rsid w:val="005D4A5D"/>
    <w:rsid w:val="005F12B8"/>
    <w:rsid w:val="005F6F97"/>
    <w:rsid w:val="00602B4B"/>
    <w:rsid w:val="00610D9B"/>
    <w:rsid w:val="00613E34"/>
    <w:rsid w:val="00614095"/>
    <w:rsid w:val="00623F2A"/>
    <w:rsid w:val="0063429A"/>
    <w:rsid w:val="00644FC8"/>
    <w:rsid w:val="00655FEA"/>
    <w:rsid w:val="006610A8"/>
    <w:rsid w:val="00663D55"/>
    <w:rsid w:val="00670130"/>
    <w:rsid w:val="00670F27"/>
    <w:rsid w:val="006A5F91"/>
    <w:rsid w:val="006B5668"/>
    <w:rsid w:val="006C15AF"/>
    <w:rsid w:val="006C5037"/>
    <w:rsid w:val="006E33E9"/>
    <w:rsid w:val="006E6076"/>
    <w:rsid w:val="006E7C38"/>
    <w:rsid w:val="006F3798"/>
    <w:rsid w:val="006F7471"/>
    <w:rsid w:val="006F7E0A"/>
    <w:rsid w:val="0072060D"/>
    <w:rsid w:val="00731478"/>
    <w:rsid w:val="0073372A"/>
    <w:rsid w:val="0073378D"/>
    <w:rsid w:val="00764AF7"/>
    <w:rsid w:val="007659CF"/>
    <w:rsid w:val="007723C7"/>
    <w:rsid w:val="00773FFD"/>
    <w:rsid w:val="007742AF"/>
    <w:rsid w:val="007772ED"/>
    <w:rsid w:val="00783929"/>
    <w:rsid w:val="00797BBC"/>
    <w:rsid w:val="007A72E6"/>
    <w:rsid w:val="007A789F"/>
    <w:rsid w:val="007C020D"/>
    <w:rsid w:val="007C6398"/>
    <w:rsid w:val="007D267A"/>
    <w:rsid w:val="007D3C70"/>
    <w:rsid w:val="007D4181"/>
    <w:rsid w:val="007E69EF"/>
    <w:rsid w:val="008041C6"/>
    <w:rsid w:val="00804E59"/>
    <w:rsid w:val="00811C5C"/>
    <w:rsid w:val="008146F5"/>
    <w:rsid w:val="00821C00"/>
    <w:rsid w:val="00827E55"/>
    <w:rsid w:val="00832113"/>
    <w:rsid w:val="00847E73"/>
    <w:rsid w:val="008529D3"/>
    <w:rsid w:val="0087779D"/>
    <w:rsid w:val="00883AAF"/>
    <w:rsid w:val="008847B2"/>
    <w:rsid w:val="00892697"/>
    <w:rsid w:val="008A1809"/>
    <w:rsid w:val="008A4329"/>
    <w:rsid w:val="008A7544"/>
    <w:rsid w:val="008B34D3"/>
    <w:rsid w:val="008D0D95"/>
    <w:rsid w:val="008D0ED2"/>
    <w:rsid w:val="008D23D6"/>
    <w:rsid w:val="008F6F3C"/>
    <w:rsid w:val="0092626C"/>
    <w:rsid w:val="00940F90"/>
    <w:rsid w:val="00941CB9"/>
    <w:rsid w:val="0094763F"/>
    <w:rsid w:val="0095146F"/>
    <w:rsid w:val="00972796"/>
    <w:rsid w:val="00973140"/>
    <w:rsid w:val="00973D24"/>
    <w:rsid w:val="009741B9"/>
    <w:rsid w:val="009A3588"/>
    <w:rsid w:val="009A70FF"/>
    <w:rsid w:val="009B0F11"/>
    <w:rsid w:val="009C236A"/>
    <w:rsid w:val="009C595D"/>
    <w:rsid w:val="009D3351"/>
    <w:rsid w:val="009D6AC6"/>
    <w:rsid w:val="009E6CF3"/>
    <w:rsid w:val="009F4F07"/>
    <w:rsid w:val="00A0229D"/>
    <w:rsid w:val="00A049D0"/>
    <w:rsid w:val="00A12CA3"/>
    <w:rsid w:val="00A263CD"/>
    <w:rsid w:val="00A30D78"/>
    <w:rsid w:val="00A328C8"/>
    <w:rsid w:val="00A721DF"/>
    <w:rsid w:val="00A7417A"/>
    <w:rsid w:val="00A76A13"/>
    <w:rsid w:val="00A80CBE"/>
    <w:rsid w:val="00A84111"/>
    <w:rsid w:val="00A961CF"/>
    <w:rsid w:val="00AA4EB8"/>
    <w:rsid w:val="00AB1104"/>
    <w:rsid w:val="00AB5C33"/>
    <w:rsid w:val="00AB7AE8"/>
    <w:rsid w:val="00AE2EB4"/>
    <w:rsid w:val="00AE7CC2"/>
    <w:rsid w:val="00AF05CE"/>
    <w:rsid w:val="00B07875"/>
    <w:rsid w:val="00B32BC3"/>
    <w:rsid w:val="00B41749"/>
    <w:rsid w:val="00B44844"/>
    <w:rsid w:val="00B46755"/>
    <w:rsid w:val="00B640DB"/>
    <w:rsid w:val="00B65090"/>
    <w:rsid w:val="00B669EE"/>
    <w:rsid w:val="00B762BF"/>
    <w:rsid w:val="00BA327A"/>
    <w:rsid w:val="00BA423D"/>
    <w:rsid w:val="00BC362E"/>
    <w:rsid w:val="00BC6793"/>
    <w:rsid w:val="00BC76B5"/>
    <w:rsid w:val="00BD7E5B"/>
    <w:rsid w:val="00BE4E6F"/>
    <w:rsid w:val="00BE51DC"/>
    <w:rsid w:val="00BE7627"/>
    <w:rsid w:val="00BE7765"/>
    <w:rsid w:val="00C04FC4"/>
    <w:rsid w:val="00C10A1A"/>
    <w:rsid w:val="00C10EFE"/>
    <w:rsid w:val="00C17E88"/>
    <w:rsid w:val="00C204C8"/>
    <w:rsid w:val="00C23C40"/>
    <w:rsid w:val="00C272E2"/>
    <w:rsid w:val="00C310A4"/>
    <w:rsid w:val="00C311EE"/>
    <w:rsid w:val="00C35AB2"/>
    <w:rsid w:val="00C54DB6"/>
    <w:rsid w:val="00C5633D"/>
    <w:rsid w:val="00C62065"/>
    <w:rsid w:val="00C63CC9"/>
    <w:rsid w:val="00C648B6"/>
    <w:rsid w:val="00C65C88"/>
    <w:rsid w:val="00C66EF9"/>
    <w:rsid w:val="00C7285B"/>
    <w:rsid w:val="00C73AEF"/>
    <w:rsid w:val="00C862B3"/>
    <w:rsid w:val="00CB4E7C"/>
    <w:rsid w:val="00CC2E7C"/>
    <w:rsid w:val="00CF1916"/>
    <w:rsid w:val="00CF2105"/>
    <w:rsid w:val="00D036F6"/>
    <w:rsid w:val="00D05E58"/>
    <w:rsid w:val="00D1609E"/>
    <w:rsid w:val="00D34D9A"/>
    <w:rsid w:val="00D358AC"/>
    <w:rsid w:val="00D45ED9"/>
    <w:rsid w:val="00D50AFA"/>
    <w:rsid w:val="00D60441"/>
    <w:rsid w:val="00D70DDB"/>
    <w:rsid w:val="00D7299D"/>
    <w:rsid w:val="00D748E6"/>
    <w:rsid w:val="00D77C2F"/>
    <w:rsid w:val="00DA66AA"/>
    <w:rsid w:val="00DB4EF5"/>
    <w:rsid w:val="00DE1884"/>
    <w:rsid w:val="00DF1D69"/>
    <w:rsid w:val="00E04672"/>
    <w:rsid w:val="00E11920"/>
    <w:rsid w:val="00E237D8"/>
    <w:rsid w:val="00E25C53"/>
    <w:rsid w:val="00E41443"/>
    <w:rsid w:val="00E4236D"/>
    <w:rsid w:val="00E47177"/>
    <w:rsid w:val="00E606F3"/>
    <w:rsid w:val="00E63A27"/>
    <w:rsid w:val="00E84BD0"/>
    <w:rsid w:val="00E91FB4"/>
    <w:rsid w:val="00EA5929"/>
    <w:rsid w:val="00EB11E8"/>
    <w:rsid w:val="00EB24CD"/>
    <w:rsid w:val="00EB7645"/>
    <w:rsid w:val="00EC3BFF"/>
    <w:rsid w:val="00ED22DD"/>
    <w:rsid w:val="00ED6C16"/>
    <w:rsid w:val="00F21163"/>
    <w:rsid w:val="00F41628"/>
    <w:rsid w:val="00F44B9D"/>
    <w:rsid w:val="00F46BE1"/>
    <w:rsid w:val="00F6659D"/>
    <w:rsid w:val="00F70FEC"/>
    <w:rsid w:val="00F73931"/>
    <w:rsid w:val="00F744C2"/>
    <w:rsid w:val="00F95149"/>
    <w:rsid w:val="00FA14D6"/>
    <w:rsid w:val="00FA1EF8"/>
    <w:rsid w:val="00FB4ED6"/>
    <w:rsid w:val="00FD04F4"/>
    <w:rsid w:val="00FE6B32"/>
    <w:rsid w:val="00FF13EE"/>
    <w:rsid w:val="00FF1688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7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0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63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7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0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6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2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5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6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Plant Pathology - UCD</Company>
  <LinksUpToDate>false</LinksUpToDate>
  <CharactersWithSpaces>13735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----------</dc:creator>
  <cp:lastModifiedBy>----------</cp:lastModifiedBy>
  <cp:revision>67</cp:revision>
  <cp:lastPrinted>2014-01-02T20:50:00Z</cp:lastPrinted>
  <dcterms:created xsi:type="dcterms:W3CDTF">2014-03-20T11:54:00Z</dcterms:created>
  <dcterms:modified xsi:type="dcterms:W3CDTF">2014-03-22T00:45:00Z</dcterms:modified>
</cp:coreProperties>
</file>