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F7DA0" w14:textId="77777777" w:rsidR="009B5D37" w:rsidRDefault="009B5D37">
      <w:pPr>
        <w:shd w:val="clear" w:color="auto" w:fill="FFFFFF"/>
        <w:spacing w:before="180" w:after="180"/>
        <w:rPr>
          <w:rFonts w:ascii="Times New Roman" w:eastAsia="Times New Roman" w:hAnsi="Times New Roman" w:cs="Times New Roman"/>
          <w:sz w:val="24"/>
          <w:szCs w:val="24"/>
        </w:rPr>
      </w:pPr>
    </w:p>
    <w:p w14:paraId="018341FD" w14:textId="77777777" w:rsidR="009B5D37" w:rsidRDefault="009B5D37">
      <w:pPr>
        <w:shd w:val="clear" w:color="auto" w:fill="FFFFFF"/>
        <w:spacing w:before="180" w:after="180"/>
        <w:rPr>
          <w:rFonts w:ascii="Times New Roman" w:eastAsia="Times New Roman" w:hAnsi="Times New Roman" w:cs="Times New Roman"/>
          <w:sz w:val="24"/>
          <w:szCs w:val="24"/>
        </w:rPr>
      </w:pPr>
    </w:p>
    <w:p w14:paraId="238738BD" w14:textId="77777777" w:rsidR="009B5D37" w:rsidRDefault="009B5D37">
      <w:pPr>
        <w:shd w:val="clear" w:color="auto" w:fill="FFFFFF"/>
        <w:spacing w:before="180" w:after="180"/>
        <w:rPr>
          <w:rFonts w:ascii="Times New Roman" w:eastAsia="Times New Roman" w:hAnsi="Times New Roman" w:cs="Times New Roman"/>
          <w:sz w:val="24"/>
          <w:szCs w:val="24"/>
        </w:rPr>
      </w:pPr>
    </w:p>
    <w:p w14:paraId="15987C7C" w14:textId="77777777" w:rsidR="009B5D37" w:rsidRDefault="009B5D37">
      <w:pPr>
        <w:shd w:val="clear" w:color="auto" w:fill="FFFFFF"/>
        <w:spacing w:before="180" w:after="180"/>
        <w:rPr>
          <w:rFonts w:ascii="Times New Roman" w:eastAsia="Times New Roman" w:hAnsi="Times New Roman" w:cs="Times New Roman"/>
          <w:sz w:val="24"/>
          <w:szCs w:val="24"/>
        </w:rPr>
      </w:pPr>
    </w:p>
    <w:p w14:paraId="15EC6D84" w14:textId="77777777" w:rsidR="009B5D37" w:rsidRDefault="009B5D37">
      <w:pPr>
        <w:shd w:val="clear" w:color="auto" w:fill="FFFFFF"/>
        <w:spacing w:before="180" w:after="180"/>
        <w:rPr>
          <w:rFonts w:ascii="Times New Roman" w:eastAsia="Times New Roman" w:hAnsi="Times New Roman" w:cs="Times New Roman"/>
          <w:sz w:val="24"/>
          <w:szCs w:val="24"/>
        </w:rPr>
      </w:pPr>
    </w:p>
    <w:p w14:paraId="2A320F39" w14:textId="77777777" w:rsidR="009B5D37" w:rsidRDefault="003A5260">
      <w:pPr>
        <w:widowControl w:val="0"/>
        <w:spacing w:line="240" w:lineRule="auto"/>
        <w:jc w:val="center"/>
        <w:rPr>
          <w:rFonts w:ascii="Times New Roman" w:eastAsia="Times New Roman" w:hAnsi="Times New Roman" w:cs="Times New Roman"/>
          <w:b/>
          <w:sz w:val="90"/>
          <w:szCs w:val="90"/>
        </w:rPr>
      </w:pPr>
      <w:r>
        <w:rPr>
          <w:rFonts w:ascii="Times New Roman" w:eastAsia="Times New Roman" w:hAnsi="Times New Roman" w:cs="Times New Roman"/>
          <w:b/>
          <w:sz w:val="90"/>
          <w:szCs w:val="90"/>
        </w:rPr>
        <w:t xml:space="preserve">Forecasting Study In </w:t>
      </w:r>
    </w:p>
    <w:p w14:paraId="5D7ECA9F" w14:textId="77777777" w:rsidR="009B5D37" w:rsidRDefault="003A526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90"/>
          <w:szCs w:val="90"/>
        </w:rPr>
        <w:t>The Diabetic Drugs Market</w:t>
      </w:r>
    </w:p>
    <w:p w14:paraId="64300DD7" w14:textId="77777777" w:rsidR="009B5D37" w:rsidRDefault="009B5D37">
      <w:pPr>
        <w:shd w:val="clear" w:color="auto" w:fill="FFFFFF"/>
        <w:spacing w:before="180" w:after="180"/>
        <w:rPr>
          <w:rFonts w:ascii="Times New Roman" w:eastAsia="Times New Roman" w:hAnsi="Times New Roman" w:cs="Times New Roman"/>
          <w:sz w:val="24"/>
          <w:szCs w:val="24"/>
        </w:rPr>
      </w:pPr>
    </w:p>
    <w:p w14:paraId="228FCB9F"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183566D"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69747E6"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4AE1428"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547FA16" w14:textId="77777777" w:rsidR="009B5D37" w:rsidRDefault="003A5260">
      <w:pPr>
        <w:shd w:val="clear" w:color="auto" w:fill="FFFFFF"/>
        <w:spacing w:before="180" w:after="1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65522559" w14:textId="77777777" w:rsidR="009B5D37" w:rsidRDefault="003A5260">
      <w:pPr>
        <w:shd w:val="clear" w:color="auto" w:fill="FFFFFF"/>
        <w:spacing w:before="180" w:after="180"/>
        <w:jc w:val="center"/>
        <w:rPr>
          <w:rFonts w:ascii="Times New Roman" w:eastAsia="Times New Roman" w:hAnsi="Times New Roman" w:cs="Times New Roman"/>
          <w:sz w:val="28"/>
          <w:szCs w:val="28"/>
        </w:rPr>
      </w:pPr>
      <w:r w:rsidRPr="00597711">
        <w:rPr>
          <w:rFonts w:ascii="Times New Roman" w:eastAsia="Times New Roman" w:hAnsi="Times New Roman" w:cs="Times New Roman"/>
          <w:sz w:val="28"/>
          <w:szCs w:val="28"/>
          <w:highlight w:val="black"/>
        </w:rPr>
        <w:t>Yu Ming</w:t>
      </w:r>
      <w:r>
        <w:rPr>
          <w:rFonts w:ascii="Times New Roman" w:eastAsia="Times New Roman" w:hAnsi="Times New Roman" w:cs="Times New Roman"/>
          <w:sz w:val="28"/>
          <w:szCs w:val="28"/>
        </w:rPr>
        <w:t xml:space="preserve">, </w:t>
      </w:r>
      <w:r w:rsidRPr="00597711">
        <w:rPr>
          <w:rFonts w:ascii="Times New Roman" w:eastAsia="Times New Roman" w:hAnsi="Times New Roman" w:cs="Times New Roman"/>
          <w:sz w:val="28"/>
          <w:szCs w:val="28"/>
          <w:highlight w:val="black"/>
        </w:rPr>
        <w:t>Yu-Chen Hsiao</w:t>
      </w:r>
      <w:r>
        <w:rPr>
          <w:rFonts w:ascii="Times New Roman" w:eastAsia="Times New Roman" w:hAnsi="Times New Roman" w:cs="Times New Roman"/>
          <w:sz w:val="28"/>
          <w:szCs w:val="28"/>
        </w:rPr>
        <w:t xml:space="preserve">, </w:t>
      </w:r>
      <w:r w:rsidR="00597711">
        <w:rPr>
          <w:rFonts w:ascii="Times New Roman" w:eastAsia="Times New Roman" w:hAnsi="Times New Roman" w:cs="Times New Roman"/>
          <w:sz w:val="28"/>
          <w:szCs w:val="28"/>
        </w:rPr>
        <w:t xml:space="preserve">&amp; </w:t>
      </w:r>
      <w:r>
        <w:rPr>
          <w:rFonts w:ascii="Times New Roman" w:eastAsia="Times New Roman" w:hAnsi="Times New Roman" w:cs="Times New Roman"/>
          <w:sz w:val="28"/>
          <w:szCs w:val="28"/>
        </w:rPr>
        <w:t>Hadiza Mamman</w:t>
      </w:r>
    </w:p>
    <w:p w14:paraId="1B6FB99A" w14:textId="77777777" w:rsidR="009B5D37" w:rsidRDefault="003A5260">
      <w:pPr>
        <w:shd w:val="clear" w:color="auto" w:fill="FFFFFF"/>
        <w:spacing w:before="180" w:after="1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82FFC7F" w14:textId="77777777" w:rsidR="009B5D37" w:rsidRDefault="003A5260">
      <w:pPr>
        <w:shd w:val="clear" w:color="auto" w:fill="FFFFFF"/>
        <w:spacing w:before="180" w:after="1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April 16, 2019 </w:t>
      </w:r>
    </w:p>
    <w:p w14:paraId="53F66CC7"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FB7E390"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CA1D9EA" w14:textId="77777777" w:rsidR="009B5D37" w:rsidRDefault="003A5260">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831AE3E" w14:textId="77777777" w:rsidR="00597711" w:rsidRDefault="00597711">
      <w:pPr>
        <w:shd w:val="clear" w:color="auto" w:fill="FFFFFF"/>
        <w:spacing w:before="180" w:after="180" w:line="480" w:lineRule="auto"/>
        <w:rPr>
          <w:rFonts w:ascii="Times New Roman" w:eastAsia="Times New Roman" w:hAnsi="Times New Roman" w:cs="Times New Roman"/>
          <w:b/>
          <w:sz w:val="24"/>
          <w:szCs w:val="24"/>
        </w:rPr>
      </w:pPr>
    </w:p>
    <w:p w14:paraId="14F637E6"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44CB2EF2" w14:textId="00708B62"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 1980, the population of diabetic patients has steadily increased. With the increasing population of diabetic patients, how do the sales of dia</w:t>
      </w:r>
      <w:r w:rsidR="00A266CA">
        <w:rPr>
          <w:rFonts w:ascii="Times New Roman" w:eastAsia="Times New Roman" w:hAnsi="Times New Roman" w:cs="Times New Roman"/>
          <w:sz w:val="24"/>
          <w:szCs w:val="24"/>
        </w:rPr>
        <w:t>betes drugs compare and why? What</w:t>
      </w:r>
      <w:r>
        <w:rPr>
          <w:rFonts w:ascii="Times New Roman" w:eastAsia="Times New Roman" w:hAnsi="Times New Roman" w:cs="Times New Roman"/>
          <w:sz w:val="24"/>
          <w:szCs w:val="24"/>
        </w:rPr>
        <w:t xml:space="preserve"> will their future development trend be? To find an answer that best fits our problem statement, we analyzed past and current demands and sales performances of three possible treatments for type 2 diabetes including,  SGLT2 inhibitors, Insulin, and DPP-4 inhibitors. We also found the competitive advantages of SGLT2 inhibitors, Insulin, and DPP-4 inhibitors treatments. Base</w:t>
      </w:r>
      <w:r w:rsidR="00A266CA">
        <w:rPr>
          <w:rFonts w:ascii="Times New Roman" w:eastAsia="Times New Roman" w:hAnsi="Times New Roman" w:cs="Times New Roman"/>
          <w:sz w:val="24"/>
          <w:szCs w:val="24"/>
        </w:rPr>
        <w:t>d on all the information that was</w:t>
      </w:r>
      <w:r>
        <w:rPr>
          <w:rFonts w:ascii="Times New Roman" w:eastAsia="Times New Roman" w:hAnsi="Times New Roman" w:cs="Times New Roman"/>
          <w:sz w:val="24"/>
          <w:szCs w:val="24"/>
        </w:rPr>
        <w:t xml:space="preserve"> collected, we performed demand forecasting studies on these three markets to predict their future trends. The forecasting result showed that the sale of SGLT2 inhibitors and DPP-4 inhibitors will increase for the next two years and capture most of market share in the type 2 diabetic drugs market. However, the sale of Insulin will continue to decrease for the next two years. </w:t>
      </w:r>
    </w:p>
    <w:p w14:paraId="41D4E330"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SGLT2 Inhibitors</w:t>
      </w:r>
    </w:p>
    <w:p w14:paraId="24EC81E3" w14:textId="2D6ED2EE" w:rsidR="009B5D37" w:rsidRPr="00532DCE" w:rsidRDefault="003A5260" w:rsidP="00532DCE">
      <w:pPr>
        <w:shd w:val="clear" w:color="auto" w:fill="FFFFFF"/>
        <w:spacing w:before="180" w:after="18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Invokana</w:t>
      </w:r>
      <w:proofErr w:type="spellEnd"/>
      <w:r>
        <w:rPr>
          <w:rFonts w:ascii="Times New Roman" w:eastAsia="Times New Roman" w:hAnsi="Times New Roman" w:cs="Times New Roman"/>
          <w:sz w:val="24"/>
          <w:szCs w:val="24"/>
        </w:rPr>
        <w:t xml:space="preserve">, the first drug that entered the SGLT2 Inhibitors market, has experienced a sharp decline in sales, since 2015. By 2017, they had a negative growth rate, which further increased the following year. We believe this was mainly due to a new warning label enforced by the Federal Drug Administration, that was placed on their products, claiming that there is a higher risk of leg and foot amputation. Subsequently, competitors used this opportunity to push their products into the market. Additionally, higher discounts for managed care contracts, and more sales coming from the Medicaid channel, contributed to </w:t>
      </w:r>
      <w:proofErr w:type="spellStart"/>
      <w:r>
        <w:rPr>
          <w:rFonts w:ascii="Times New Roman" w:eastAsia="Times New Roman" w:hAnsi="Times New Roman" w:cs="Times New Roman"/>
          <w:sz w:val="24"/>
          <w:szCs w:val="24"/>
        </w:rPr>
        <w:t>Invokana</w:t>
      </w:r>
      <w:r w:rsidR="00A266CA">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decline in sales. </w:t>
      </w:r>
      <w:r w:rsidR="00532D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a result, the forecasting sale of </w:t>
      </w:r>
      <w:proofErr w:type="spellStart"/>
      <w:r>
        <w:rPr>
          <w:rFonts w:ascii="Times New Roman" w:eastAsia="Times New Roman" w:hAnsi="Times New Roman" w:cs="Times New Roman"/>
          <w:sz w:val="24"/>
          <w:szCs w:val="24"/>
        </w:rPr>
        <w:t>Invokana</w:t>
      </w:r>
      <w:proofErr w:type="spellEnd"/>
      <w:r>
        <w:rPr>
          <w:rFonts w:ascii="Times New Roman" w:eastAsia="Times New Roman" w:hAnsi="Times New Roman" w:cs="Times New Roman"/>
          <w:sz w:val="24"/>
          <w:szCs w:val="24"/>
        </w:rPr>
        <w:t xml:space="preserve"> will continue to decrease in the next two years. Please see Figure 1 in Appendix B for </w:t>
      </w:r>
      <w:proofErr w:type="spellStart"/>
      <w:r>
        <w:rPr>
          <w:rFonts w:ascii="Times New Roman" w:eastAsia="Times New Roman" w:hAnsi="Times New Roman" w:cs="Times New Roman"/>
          <w:sz w:val="24"/>
          <w:szCs w:val="24"/>
        </w:rPr>
        <w:t>Invokana’s</w:t>
      </w:r>
      <w:proofErr w:type="spellEnd"/>
      <w:r>
        <w:rPr>
          <w:rFonts w:ascii="Times New Roman" w:eastAsia="Times New Roman" w:hAnsi="Times New Roman" w:cs="Times New Roman"/>
          <w:sz w:val="24"/>
          <w:szCs w:val="24"/>
        </w:rPr>
        <w:t xml:space="preserve"> forecast.</w:t>
      </w:r>
    </w:p>
    <w:p w14:paraId="203FB024" w14:textId="77777777"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sz w:val="24"/>
          <w:szCs w:val="24"/>
        </w:rPr>
        <w:lastRenderedPageBreak/>
        <w:t>Farxiga</w:t>
      </w:r>
      <w:proofErr w:type="spellEnd"/>
      <w:r>
        <w:rPr>
          <w:rFonts w:ascii="Times New Roman" w:eastAsia="Times New Roman" w:hAnsi="Times New Roman" w:cs="Times New Roman"/>
          <w:sz w:val="24"/>
          <w:szCs w:val="24"/>
        </w:rPr>
        <w:t xml:space="preserve"> won its FDA approval in January 2014, making it the second product to enter this market. Although </w:t>
      </w:r>
      <w:proofErr w:type="spellStart"/>
      <w:r>
        <w:rPr>
          <w:rFonts w:ascii="Times New Roman" w:eastAsia="Times New Roman" w:hAnsi="Times New Roman" w:cs="Times New Roman"/>
          <w:sz w:val="24"/>
          <w:szCs w:val="24"/>
        </w:rPr>
        <w:t>Farxiga</w:t>
      </w:r>
      <w:proofErr w:type="spellEnd"/>
      <w:r>
        <w:rPr>
          <w:rFonts w:ascii="Times New Roman" w:eastAsia="Times New Roman" w:hAnsi="Times New Roman" w:cs="Times New Roman"/>
          <w:sz w:val="24"/>
          <w:szCs w:val="24"/>
        </w:rPr>
        <w:t xml:space="preserve"> had a positive year growth rate, it did not grow as fast as Jardiance, due to unknown cardiovascular benefits. This allowed Jardiance to have competitive advantage until </w:t>
      </w:r>
      <w:proofErr w:type="spellStart"/>
      <w:r>
        <w:rPr>
          <w:rFonts w:ascii="Times New Roman" w:eastAsia="Times New Roman" w:hAnsi="Times New Roman" w:cs="Times New Roman"/>
          <w:sz w:val="24"/>
          <w:szCs w:val="24"/>
        </w:rPr>
        <w:t>Farxiga</w:t>
      </w:r>
      <w:proofErr w:type="spellEnd"/>
      <w:r>
        <w:rPr>
          <w:rFonts w:ascii="Times New Roman" w:eastAsia="Times New Roman" w:hAnsi="Times New Roman" w:cs="Times New Roman"/>
          <w:sz w:val="24"/>
          <w:szCs w:val="24"/>
        </w:rPr>
        <w:t xml:space="preserve"> was proven to have cardiovascular benefits as well. Based on current research and data, we predict that the sale of </w:t>
      </w:r>
      <w:proofErr w:type="spellStart"/>
      <w:r>
        <w:rPr>
          <w:rFonts w:ascii="Times New Roman" w:eastAsia="Times New Roman" w:hAnsi="Times New Roman" w:cs="Times New Roman"/>
          <w:sz w:val="24"/>
          <w:szCs w:val="24"/>
        </w:rPr>
        <w:t>Farxiga</w:t>
      </w:r>
      <w:proofErr w:type="spellEnd"/>
      <w:r>
        <w:rPr>
          <w:rFonts w:ascii="Times New Roman" w:eastAsia="Times New Roman" w:hAnsi="Times New Roman" w:cs="Times New Roman"/>
          <w:sz w:val="24"/>
          <w:szCs w:val="24"/>
        </w:rPr>
        <w:t xml:space="preserve"> will steadily increase in the next two years. Please see Figure 2 in Appendix B for more details on </w:t>
      </w:r>
      <w:proofErr w:type="spellStart"/>
      <w:r>
        <w:rPr>
          <w:rFonts w:ascii="Times New Roman" w:eastAsia="Times New Roman" w:hAnsi="Times New Roman" w:cs="Times New Roman"/>
          <w:sz w:val="24"/>
          <w:szCs w:val="24"/>
        </w:rPr>
        <w:t>Farxiga</w:t>
      </w:r>
      <w:proofErr w:type="spellEnd"/>
      <w:r>
        <w:rPr>
          <w:rFonts w:ascii="Times New Roman" w:eastAsia="Times New Roman" w:hAnsi="Times New Roman" w:cs="Times New Roman"/>
          <w:sz w:val="24"/>
          <w:szCs w:val="24"/>
        </w:rPr>
        <w:t>.</w:t>
      </w:r>
    </w:p>
    <w:p w14:paraId="1DDB4166" w14:textId="5A10514B" w:rsidR="00597711" w:rsidRPr="00C719C9" w:rsidRDefault="003A5260" w:rsidP="00C719C9">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Jardiance was the third product to reach the SGLT2 inhibitors market, it is currently the best seller in this market. It generated more than $250 million sales revenue in February 2019. A report proved that Jardiance can ‘reduce overall risk of  having a heart attack or stroke, or of dying from cardiovascular causes, by 14%’. This is remarkable result, in that cardiovascular disease is the leading cause of death for people who have diabetes. Our forecasting test for Jardiance shows that it will continue to increase in the future. Please see Figure 3 in Appendix B</w:t>
      </w:r>
      <w:r w:rsidR="00C719C9">
        <w:rPr>
          <w:rFonts w:ascii="Times New Roman" w:eastAsia="Times New Roman" w:hAnsi="Times New Roman" w:cs="Times New Roman"/>
          <w:sz w:val="24"/>
          <w:szCs w:val="24"/>
        </w:rPr>
        <w:t xml:space="preserve"> for Jardiance’s forecast graph.</w:t>
      </w:r>
    </w:p>
    <w:p w14:paraId="7F68B327"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Insulin</w:t>
      </w:r>
    </w:p>
    <w:p w14:paraId="6EADDBD9" w14:textId="040BD671"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Because of payment incentives, and outdated patent regulations, </w:t>
      </w:r>
      <w:r w:rsidR="00597711">
        <w:rPr>
          <w:rFonts w:ascii="Times New Roman" w:eastAsia="Times New Roman" w:hAnsi="Times New Roman" w:cs="Times New Roman"/>
          <w:sz w:val="24"/>
          <w:szCs w:val="24"/>
        </w:rPr>
        <w:t>drug makers</w:t>
      </w:r>
      <w:r>
        <w:rPr>
          <w:rFonts w:ascii="Times New Roman" w:eastAsia="Times New Roman" w:hAnsi="Times New Roman" w:cs="Times New Roman"/>
          <w:sz w:val="24"/>
          <w:szCs w:val="24"/>
        </w:rPr>
        <w:t xml:space="preserve"> have increased the price of Insulin by nearly 300% from 2002 to 2013. From 2012 to 2016, the price of insulin increased from 13 cents a unit, to 25 cents a unit. As a result, the sale</w:t>
      </w:r>
      <w:r w:rsidR="00A8399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unit volume and revenue has sharply declined, since 2015. Diabetic patients have had an extremely difficult time adjustin</w:t>
      </w:r>
      <w:r w:rsidR="00A83997">
        <w:rPr>
          <w:rFonts w:ascii="Times New Roman" w:eastAsia="Times New Roman" w:hAnsi="Times New Roman" w:cs="Times New Roman"/>
          <w:sz w:val="24"/>
          <w:szCs w:val="24"/>
        </w:rPr>
        <w:t>g to Insulin’s high list prices</w:t>
      </w:r>
      <w:r>
        <w:rPr>
          <w:rFonts w:ascii="Times New Roman" w:eastAsia="Times New Roman" w:hAnsi="Times New Roman" w:cs="Times New Roman"/>
          <w:sz w:val="24"/>
          <w:szCs w:val="24"/>
        </w:rPr>
        <w:t xml:space="preserve"> and have resorted to various short term solutions. In Los Angeles, patients have crossed borders to Tijuana, Mexico, where a monthly supply of Insulin is $600, compared to $3700, in the United States. Additionally, many patients have begun trading prescriptions via Facebook, based on ins</w:t>
      </w:r>
      <w:r w:rsidR="003C04BC">
        <w:rPr>
          <w:rFonts w:ascii="Times New Roman" w:eastAsia="Times New Roman" w:hAnsi="Times New Roman" w:cs="Times New Roman"/>
          <w:sz w:val="24"/>
          <w:szCs w:val="24"/>
        </w:rPr>
        <w:t>urance coverage. Other patients</w:t>
      </w:r>
      <w:r>
        <w:rPr>
          <w:rFonts w:ascii="Times New Roman" w:eastAsia="Times New Roman" w:hAnsi="Times New Roman" w:cs="Times New Roman"/>
          <w:sz w:val="24"/>
          <w:szCs w:val="24"/>
        </w:rPr>
        <w:t xml:space="preserve"> have simply been rationing their Insulin, in order to budget and manage their expenses. Please see Figure 2 in </w:t>
      </w:r>
      <w:r>
        <w:rPr>
          <w:rFonts w:ascii="Times New Roman" w:eastAsia="Times New Roman" w:hAnsi="Times New Roman" w:cs="Times New Roman"/>
          <w:sz w:val="24"/>
          <w:szCs w:val="24"/>
        </w:rPr>
        <w:lastRenderedPageBreak/>
        <w:t>Appendix A for a chart on Insulin’s sale unit volume and revenue, and Figure 6 in Appendix B for the forecasting sale of Insulin.</w:t>
      </w:r>
    </w:p>
    <w:p w14:paraId="1ED7F744"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DPP-4 Inhibitors</w:t>
      </w:r>
    </w:p>
    <w:p w14:paraId="5E35A0AD" w14:textId="64CC0E66"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Januvia is the first drug that reached the DPP-4 inhibitors market since 2006. Because Januvia has been in the market alone for several years, it has the chance to get ahead with many payers. Additionally, Januvia has racked up solid coverage i</w:t>
      </w:r>
      <w:r w:rsidR="00FB43F1">
        <w:rPr>
          <w:rFonts w:ascii="Times New Roman" w:eastAsia="Times New Roman" w:hAnsi="Times New Roman" w:cs="Times New Roman"/>
          <w:sz w:val="24"/>
          <w:szCs w:val="24"/>
        </w:rPr>
        <w:t>n DPP-4 inhibitors market</w:t>
      </w:r>
      <w:r w:rsidR="00125A0A">
        <w:rPr>
          <w:rFonts w:ascii="Times New Roman" w:eastAsia="Times New Roman" w:hAnsi="Times New Roman" w:cs="Times New Roman"/>
          <w:sz w:val="24"/>
          <w:szCs w:val="24"/>
        </w:rPr>
        <w:t xml:space="preserve"> thus</w:t>
      </w:r>
      <w:r w:rsidR="00FB43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its sales did not decrease after the 18%  price increase in 2017.</w:t>
      </w:r>
    </w:p>
    <w:p w14:paraId="4A61F6CC" w14:textId="70DABFF1"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Onglyza</w:t>
      </w:r>
      <w:proofErr w:type="spellEnd"/>
      <w:r>
        <w:rPr>
          <w:rFonts w:ascii="Times New Roman" w:eastAsia="Times New Roman" w:hAnsi="Times New Roman" w:cs="Times New Roman"/>
          <w:sz w:val="24"/>
          <w:szCs w:val="24"/>
        </w:rPr>
        <w:t xml:space="preserve">, the second DPP-4 inhibitors product to enter the market in 2009, did not substantially develop after 2015, due to observed heart failure risks in its cardiovascular safety studies. This actually helped Januvia to become more success by taking over </w:t>
      </w:r>
      <w:proofErr w:type="spellStart"/>
      <w:r>
        <w:rPr>
          <w:rFonts w:ascii="Times New Roman" w:eastAsia="Times New Roman" w:hAnsi="Times New Roman" w:cs="Times New Roman"/>
          <w:sz w:val="24"/>
          <w:szCs w:val="24"/>
        </w:rPr>
        <w:t>Onglyza</w:t>
      </w:r>
      <w:r w:rsidR="002F0307">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market share in DPP-4 inhibitors market.</w:t>
      </w:r>
    </w:p>
    <w:p w14:paraId="2B45C3CE" w14:textId="6E89B995"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Tradj</w:t>
      </w:r>
      <w:r w:rsidR="00AB311C">
        <w:rPr>
          <w:rFonts w:ascii="Times New Roman" w:eastAsia="Times New Roman" w:hAnsi="Times New Roman" w:cs="Times New Roman"/>
          <w:sz w:val="24"/>
          <w:szCs w:val="24"/>
        </w:rPr>
        <w:t>enta</w:t>
      </w:r>
      <w:proofErr w:type="spellEnd"/>
      <w:r w:rsidR="00AB311C">
        <w:rPr>
          <w:rFonts w:ascii="Times New Roman" w:eastAsia="Times New Roman" w:hAnsi="Times New Roman" w:cs="Times New Roman"/>
          <w:sz w:val="24"/>
          <w:szCs w:val="24"/>
        </w:rPr>
        <w:t xml:space="preserve"> entered the market in 2011</w:t>
      </w:r>
      <w:r>
        <w:rPr>
          <w:rFonts w:ascii="Times New Roman" w:eastAsia="Times New Roman" w:hAnsi="Times New Roman" w:cs="Times New Roman"/>
          <w:sz w:val="24"/>
          <w:szCs w:val="24"/>
        </w:rPr>
        <w:t xml:space="preserve"> and had a $130 million sales revenue at the end of January 2019. In addition, the sales of </w:t>
      </w:r>
      <w:proofErr w:type="spellStart"/>
      <w:r>
        <w:rPr>
          <w:rFonts w:ascii="Times New Roman" w:eastAsia="Times New Roman" w:hAnsi="Times New Roman" w:cs="Times New Roman"/>
          <w:sz w:val="24"/>
          <w:szCs w:val="24"/>
        </w:rPr>
        <w:t>Tradjenta</w:t>
      </w:r>
      <w:proofErr w:type="spellEnd"/>
      <w:r>
        <w:rPr>
          <w:rFonts w:ascii="Times New Roman" w:eastAsia="Times New Roman" w:hAnsi="Times New Roman" w:cs="Times New Roman"/>
          <w:sz w:val="24"/>
          <w:szCs w:val="24"/>
        </w:rPr>
        <w:t xml:space="preserve"> has continued to increase in the past few years. </w:t>
      </w:r>
      <w:proofErr w:type="spellStart"/>
      <w:r>
        <w:rPr>
          <w:rFonts w:ascii="Times New Roman" w:eastAsia="Times New Roman" w:hAnsi="Times New Roman" w:cs="Times New Roman"/>
          <w:sz w:val="24"/>
          <w:szCs w:val="24"/>
        </w:rPr>
        <w:t>Tradjenta</w:t>
      </w:r>
      <w:proofErr w:type="spellEnd"/>
      <w:r>
        <w:rPr>
          <w:rFonts w:ascii="Times New Roman" w:eastAsia="Times New Roman" w:hAnsi="Times New Roman" w:cs="Times New Roman"/>
          <w:sz w:val="24"/>
          <w:szCs w:val="24"/>
        </w:rPr>
        <w:t xml:space="preserve"> also has its own safety data which shows it does not increase the risk of cardiovascular events. This data will help </w:t>
      </w:r>
      <w:proofErr w:type="spellStart"/>
      <w:r>
        <w:rPr>
          <w:rFonts w:ascii="Times New Roman" w:eastAsia="Times New Roman" w:hAnsi="Times New Roman" w:cs="Times New Roman"/>
          <w:sz w:val="24"/>
          <w:szCs w:val="24"/>
        </w:rPr>
        <w:t>Tradjenta</w:t>
      </w:r>
      <w:proofErr w:type="spellEnd"/>
      <w:r>
        <w:rPr>
          <w:rFonts w:ascii="Times New Roman" w:eastAsia="Times New Roman" w:hAnsi="Times New Roman" w:cs="Times New Roman"/>
          <w:sz w:val="24"/>
          <w:szCs w:val="24"/>
        </w:rPr>
        <w:t xml:space="preserve"> to compete with Januvia and chip away some of Januvia sales leads. According to past, </w:t>
      </w:r>
      <w:r w:rsidR="00AB311C">
        <w:rPr>
          <w:rFonts w:ascii="Times New Roman" w:eastAsia="Times New Roman" w:hAnsi="Times New Roman" w:cs="Times New Roman"/>
          <w:sz w:val="24"/>
          <w:szCs w:val="24"/>
        </w:rPr>
        <w:t xml:space="preserve">and current data, and </w:t>
      </w:r>
      <w:r>
        <w:rPr>
          <w:rFonts w:ascii="Times New Roman" w:eastAsia="Times New Roman" w:hAnsi="Times New Roman" w:cs="Times New Roman"/>
          <w:sz w:val="24"/>
          <w:szCs w:val="24"/>
        </w:rPr>
        <w:t>the forecasting sale of DPP-4 inhibitors for the next two year will increase. Please see more details on Figure 7 in Appendix B.</w:t>
      </w:r>
    </w:p>
    <w:p w14:paraId="2E758B8E" w14:textId="77777777" w:rsidR="009B5D37" w:rsidRDefault="009B5D37">
      <w:pPr>
        <w:pBdr>
          <w:top w:val="nil"/>
          <w:left w:val="nil"/>
          <w:bottom w:val="nil"/>
          <w:right w:val="nil"/>
          <w:between w:val="nil"/>
        </w:pBdr>
        <w:shd w:val="clear" w:color="auto" w:fill="FFFFFF"/>
        <w:spacing w:before="180" w:after="180" w:line="480" w:lineRule="auto"/>
        <w:rPr>
          <w:rFonts w:ascii="Times New Roman" w:eastAsia="Times New Roman" w:hAnsi="Times New Roman" w:cs="Times New Roman"/>
          <w:b/>
          <w:sz w:val="24"/>
          <w:szCs w:val="24"/>
        </w:rPr>
      </w:pPr>
    </w:p>
    <w:p w14:paraId="34A16BF6" w14:textId="77777777" w:rsidR="00AB311C" w:rsidRDefault="00AB311C">
      <w:pPr>
        <w:pBdr>
          <w:top w:val="nil"/>
          <w:left w:val="nil"/>
          <w:bottom w:val="nil"/>
          <w:right w:val="nil"/>
          <w:between w:val="nil"/>
        </w:pBdr>
        <w:shd w:val="clear" w:color="auto" w:fill="FFFFFF"/>
        <w:spacing w:before="180" w:after="180" w:line="480" w:lineRule="auto"/>
        <w:rPr>
          <w:rFonts w:ascii="Times New Roman" w:eastAsia="Times New Roman" w:hAnsi="Times New Roman" w:cs="Times New Roman"/>
          <w:b/>
          <w:sz w:val="24"/>
          <w:szCs w:val="24"/>
        </w:rPr>
      </w:pPr>
    </w:p>
    <w:p w14:paraId="2FB78653" w14:textId="77777777" w:rsidR="00AB311C" w:rsidRDefault="00AB311C">
      <w:pPr>
        <w:pBdr>
          <w:top w:val="nil"/>
          <w:left w:val="nil"/>
          <w:bottom w:val="nil"/>
          <w:right w:val="nil"/>
          <w:between w:val="nil"/>
        </w:pBdr>
        <w:shd w:val="clear" w:color="auto" w:fill="FFFFFF"/>
        <w:spacing w:before="180" w:after="180" w:line="480" w:lineRule="auto"/>
        <w:rPr>
          <w:rFonts w:ascii="Times New Roman" w:eastAsia="Times New Roman" w:hAnsi="Times New Roman" w:cs="Times New Roman"/>
          <w:b/>
          <w:sz w:val="24"/>
          <w:szCs w:val="24"/>
        </w:rPr>
      </w:pPr>
    </w:p>
    <w:p w14:paraId="2EA8DC58" w14:textId="77777777" w:rsidR="00AB311C" w:rsidRDefault="00AB311C">
      <w:pPr>
        <w:pBdr>
          <w:top w:val="nil"/>
          <w:left w:val="nil"/>
          <w:bottom w:val="nil"/>
          <w:right w:val="nil"/>
          <w:between w:val="nil"/>
        </w:pBdr>
        <w:shd w:val="clear" w:color="auto" w:fill="FFFFFF"/>
        <w:spacing w:before="180" w:after="180" w:line="480" w:lineRule="auto"/>
        <w:rPr>
          <w:rFonts w:ascii="Times New Roman" w:eastAsia="Times New Roman" w:hAnsi="Times New Roman" w:cs="Times New Roman"/>
          <w:b/>
          <w:sz w:val="24"/>
          <w:szCs w:val="24"/>
        </w:rPr>
      </w:pPr>
    </w:p>
    <w:p w14:paraId="6E7798A1" w14:textId="77777777" w:rsidR="009B5D37" w:rsidRDefault="003A5260">
      <w:pPr>
        <w:pBdr>
          <w:top w:val="nil"/>
          <w:left w:val="nil"/>
          <w:bottom w:val="nil"/>
          <w:right w:val="nil"/>
          <w:between w:val="nil"/>
        </w:pBd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7D2754B7" w14:textId="5FB21F73" w:rsidR="009B5D37" w:rsidRDefault="000766A1">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w:t>
      </w:r>
      <w:r w:rsidR="003A5260">
        <w:rPr>
          <w:rFonts w:ascii="Times New Roman" w:eastAsia="Times New Roman" w:hAnsi="Times New Roman" w:cs="Times New Roman"/>
          <w:sz w:val="24"/>
          <w:szCs w:val="24"/>
        </w:rPr>
        <w:t xml:space="preserve"> past and current sale</w:t>
      </w:r>
      <w:r>
        <w:rPr>
          <w:rFonts w:ascii="Times New Roman" w:eastAsia="Times New Roman" w:hAnsi="Times New Roman" w:cs="Times New Roman"/>
          <w:sz w:val="24"/>
          <w:szCs w:val="24"/>
        </w:rPr>
        <w:t>s</w:t>
      </w:r>
      <w:r w:rsidR="003A5260">
        <w:rPr>
          <w:rFonts w:ascii="Times New Roman" w:eastAsia="Times New Roman" w:hAnsi="Times New Roman" w:cs="Times New Roman"/>
          <w:sz w:val="24"/>
          <w:szCs w:val="24"/>
        </w:rPr>
        <w:t xml:space="preserve"> performance, the sale of SGLT2 inhibitor is attempting to chase the sale of D</w:t>
      </w:r>
      <w:bookmarkStart w:id="0" w:name="_GoBack"/>
      <w:bookmarkEnd w:id="0"/>
      <w:r w:rsidR="003A5260">
        <w:rPr>
          <w:rFonts w:ascii="Times New Roman" w:eastAsia="Times New Roman" w:hAnsi="Times New Roman" w:cs="Times New Roman"/>
          <w:sz w:val="24"/>
          <w:szCs w:val="24"/>
        </w:rPr>
        <w:t>PP-4 inhibitors and may exceed the DPP-4 in the future. The sale of insulin in the diabetic drug market is falling down gradually. Please see Figure 8 in Appendix B for the forecasting sale of three markets.</w:t>
      </w:r>
    </w:p>
    <w:p w14:paraId="68E9F6F9" w14:textId="5E161348" w:rsidR="009B5D37" w:rsidRDefault="003A5260">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verify our </w:t>
      </w:r>
      <w:r w:rsidR="00597711">
        <w:rPr>
          <w:rFonts w:ascii="Times New Roman" w:eastAsia="Times New Roman" w:hAnsi="Times New Roman" w:cs="Times New Roman"/>
          <w:sz w:val="24"/>
          <w:szCs w:val="24"/>
        </w:rPr>
        <w:t>forecasting result, we found</w:t>
      </w:r>
      <w:r>
        <w:rPr>
          <w:rFonts w:ascii="Times New Roman" w:eastAsia="Times New Roman" w:hAnsi="Times New Roman" w:cs="Times New Roman"/>
          <w:sz w:val="24"/>
          <w:szCs w:val="24"/>
        </w:rPr>
        <w:t xml:space="preserve"> that DPP-4 inhibitors and SGLT2 inhibitors do not only compete with each other, but also cooperate with each other. This is why these two markets will likely increase together in the future. The competitive advantage chart in Appendix C shows the competitions between them. For</w:t>
      </w:r>
      <w:r w:rsidR="009A5099">
        <w:rPr>
          <w:rFonts w:ascii="Times New Roman" w:eastAsia="Times New Roman" w:hAnsi="Times New Roman" w:cs="Times New Roman"/>
          <w:sz w:val="24"/>
          <w:szCs w:val="24"/>
        </w:rPr>
        <w:t xml:space="preserve"> the relationship on cooperation</w:t>
      </w:r>
      <w:r>
        <w:rPr>
          <w:rFonts w:ascii="Times New Roman" w:eastAsia="Times New Roman" w:hAnsi="Times New Roman" w:cs="Times New Roman"/>
          <w:sz w:val="24"/>
          <w:szCs w:val="24"/>
        </w:rPr>
        <w:t>, we found out that DPP-4 inhibitors and SGLT2 inhibitors can be used alone or they can be used together as a combination therapy. The combination therapy has complementary effect in pharmacology. For example: it can inhibit glucagon and simulate the insulin secretion, which causes an additional glucose-lowering effect than using SGLT2 inhibitors or DPP-4 inhibitors alone.</w:t>
      </w:r>
    </w:p>
    <w:p w14:paraId="72B4B074" w14:textId="77777777" w:rsidR="009B5D37" w:rsidRPr="00597711" w:rsidRDefault="003A5260" w:rsidP="00597711">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combination of SGLT2 and DPP-4 is safe and more efficacious, it is likely that the sale of both SGLT2 inhibitor and DPP-4 inhibitor will increase together. Because this combination theory can stimulate insulin, it may be one of reasons that the sale of insulin will decrease.  As a result, we believe that the DPP-4 inhibitor and SGLT2 inhibitor will have good development in the future.</w:t>
      </w:r>
    </w:p>
    <w:p w14:paraId="042DD9D3" w14:textId="77777777" w:rsidR="00386F35" w:rsidRDefault="00386F35">
      <w:pPr>
        <w:pBdr>
          <w:top w:val="nil"/>
          <w:left w:val="nil"/>
          <w:bottom w:val="nil"/>
          <w:right w:val="nil"/>
          <w:between w:val="nil"/>
        </w:pBd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6E0A19A3" w14:textId="77777777" w:rsidR="00386F35" w:rsidRDefault="00386F35">
      <w:pPr>
        <w:pBdr>
          <w:top w:val="nil"/>
          <w:left w:val="nil"/>
          <w:bottom w:val="nil"/>
          <w:right w:val="nil"/>
          <w:between w:val="nil"/>
        </w:pBd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148685F1" w14:textId="77777777" w:rsidR="00386F35" w:rsidRDefault="00386F35">
      <w:pPr>
        <w:pBdr>
          <w:top w:val="nil"/>
          <w:left w:val="nil"/>
          <w:bottom w:val="nil"/>
          <w:right w:val="nil"/>
          <w:between w:val="nil"/>
        </w:pBd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18E257F7" w14:textId="77777777" w:rsidR="009B5D37" w:rsidRDefault="003A5260">
      <w:pPr>
        <w:pBdr>
          <w:top w:val="nil"/>
          <w:left w:val="nil"/>
          <w:bottom w:val="nil"/>
          <w:right w:val="nil"/>
          <w:between w:val="nil"/>
        </w:pBdr>
        <w:shd w:val="clear" w:color="auto" w:fill="FFFFFF"/>
        <w:spacing w:before="180" w:after="18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w:t>
      </w:r>
    </w:p>
    <w:p w14:paraId="3E556217" w14:textId="77777777"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14:paraId="6CA0F182" w14:textId="77777777" w:rsidR="009B5D37" w:rsidRDefault="003A5260">
      <w:pPr>
        <w:pBdr>
          <w:top w:val="nil"/>
          <w:left w:val="nil"/>
          <w:bottom w:val="nil"/>
          <w:right w:val="nil"/>
          <w:between w:val="nil"/>
        </w:pBdr>
        <w:shd w:val="clear" w:color="auto" w:fill="FFFFFF"/>
        <w:spacing w:before="180" w:after="18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14:anchorId="092C10A3" wp14:editId="7A86E333">
            <wp:extent cx="4424363" cy="267014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24363" cy="2670142"/>
                    </a:xfrm>
                    <a:prstGeom prst="rect">
                      <a:avLst/>
                    </a:prstGeom>
                    <a:ln/>
                  </pic:spPr>
                </pic:pic>
              </a:graphicData>
            </a:graphic>
          </wp:inline>
        </w:drawing>
      </w:r>
    </w:p>
    <w:p w14:paraId="755DEA4E" w14:textId="77777777"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w:t>
      </w:r>
      <w:r>
        <w:rPr>
          <w:rFonts w:ascii="Times New Roman" w:eastAsia="Times New Roman" w:hAnsi="Times New Roman" w:cs="Times New Roman"/>
          <w:sz w:val="24"/>
          <w:szCs w:val="24"/>
        </w:rPr>
        <w:t xml:space="preserve">The sale unit volume(green)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sale revenue(blue) of Lantus )</w:t>
      </w:r>
    </w:p>
    <w:p w14:paraId="2EF2A9B3" w14:textId="77777777" w:rsidR="009B5D37" w:rsidRDefault="003A5260" w:rsidP="00597711">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14:anchorId="51D99C48" wp14:editId="244D5B89">
            <wp:extent cx="5533044" cy="244316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533044" cy="2443163"/>
                    </a:xfrm>
                    <a:prstGeom prst="rect">
                      <a:avLst/>
                    </a:prstGeom>
                    <a:ln/>
                  </pic:spPr>
                </pic:pic>
              </a:graphicData>
            </a:graphic>
          </wp:inline>
        </w:drawing>
      </w:r>
    </w:p>
    <w:p w14:paraId="2E64F924"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 (</w:t>
      </w:r>
      <w:r>
        <w:rPr>
          <w:rFonts w:ascii="Times New Roman" w:eastAsia="Times New Roman" w:hAnsi="Times New Roman" w:cs="Times New Roman"/>
          <w:sz w:val="24"/>
          <w:szCs w:val="24"/>
        </w:rPr>
        <w:t xml:space="preserve">The sale of </w:t>
      </w:r>
      <w:proofErr w:type="spellStart"/>
      <w:r>
        <w:rPr>
          <w:rFonts w:ascii="Times New Roman" w:eastAsia="Times New Roman" w:hAnsi="Times New Roman" w:cs="Times New Roman"/>
          <w:sz w:val="24"/>
          <w:szCs w:val="24"/>
        </w:rPr>
        <w:t>Invokana</w:t>
      </w:r>
      <w:proofErr w:type="spellEnd"/>
      <w:r>
        <w:rPr>
          <w:rFonts w:ascii="Times New Roman" w:eastAsia="Times New Roman" w:hAnsi="Times New Roman" w:cs="Times New Roman"/>
          <w:sz w:val="24"/>
          <w:szCs w:val="24"/>
        </w:rPr>
        <w:t xml:space="preserve">(BLUE), </w:t>
      </w:r>
      <w:proofErr w:type="spellStart"/>
      <w:r>
        <w:rPr>
          <w:rFonts w:ascii="Times New Roman" w:eastAsia="Times New Roman" w:hAnsi="Times New Roman" w:cs="Times New Roman"/>
          <w:sz w:val="24"/>
          <w:szCs w:val="24"/>
        </w:rPr>
        <w:t>Farxiga</w:t>
      </w:r>
      <w:proofErr w:type="spellEnd"/>
      <w:r>
        <w:rPr>
          <w:rFonts w:ascii="Times New Roman" w:eastAsia="Times New Roman" w:hAnsi="Times New Roman" w:cs="Times New Roman"/>
          <w:sz w:val="24"/>
          <w:szCs w:val="24"/>
        </w:rPr>
        <w:t>(GREEN), Jardiance(RED))</w:t>
      </w:r>
    </w:p>
    <w:p w14:paraId="72B6ADFF" w14:textId="77777777" w:rsidR="009B5D37" w:rsidRDefault="003A5260">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9050" distB="19050" distL="19050" distR="19050" wp14:anchorId="031A924E" wp14:editId="2D6B6B91">
            <wp:extent cx="5943600" cy="27305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2730500"/>
                    </a:xfrm>
                    <a:prstGeom prst="rect">
                      <a:avLst/>
                    </a:prstGeom>
                    <a:ln/>
                  </pic:spPr>
                </pic:pic>
              </a:graphicData>
            </a:graphic>
          </wp:inline>
        </w:drawing>
      </w:r>
    </w:p>
    <w:p w14:paraId="653DFA42" w14:textId="77777777" w:rsidR="009B5D37" w:rsidRDefault="009B5D37">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sz w:val="24"/>
          <w:szCs w:val="24"/>
        </w:rPr>
      </w:pPr>
    </w:p>
    <w:p w14:paraId="15B6A21A"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 (</w:t>
      </w:r>
      <w:r>
        <w:rPr>
          <w:rFonts w:ascii="Times New Roman" w:eastAsia="Times New Roman" w:hAnsi="Times New Roman" w:cs="Times New Roman"/>
          <w:sz w:val="24"/>
          <w:szCs w:val="24"/>
        </w:rPr>
        <w:t>Sale Revenues of Januvia(green),</w:t>
      </w:r>
      <w:proofErr w:type="spellStart"/>
      <w:r>
        <w:rPr>
          <w:rFonts w:ascii="Times New Roman" w:eastAsia="Times New Roman" w:hAnsi="Times New Roman" w:cs="Times New Roman"/>
          <w:sz w:val="24"/>
          <w:szCs w:val="24"/>
        </w:rPr>
        <w:t>Onglyza</w:t>
      </w:r>
      <w:proofErr w:type="spellEnd"/>
      <w:r>
        <w:rPr>
          <w:rFonts w:ascii="Times New Roman" w:eastAsia="Times New Roman" w:hAnsi="Times New Roman" w:cs="Times New Roman"/>
          <w:sz w:val="24"/>
          <w:szCs w:val="24"/>
        </w:rPr>
        <w:t>(blue),</w:t>
      </w:r>
      <w:proofErr w:type="spellStart"/>
      <w:r>
        <w:rPr>
          <w:rFonts w:ascii="Times New Roman" w:eastAsia="Times New Roman" w:hAnsi="Times New Roman" w:cs="Times New Roman"/>
          <w:sz w:val="24"/>
          <w:szCs w:val="24"/>
        </w:rPr>
        <w:t>Tradjenta</w:t>
      </w:r>
      <w:proofErr w:type="spellEnd"/>
      <w:r>
        <w:rPr>
          <w:rFonts w:ascii="Times New Roman" w:eastAsia="Times New Roman" w:hAnsi="Times New Roman" w:cs="Times New Roman"/>
          <w:sz w:val="24"/>
          <w:szCs w:val="24"/>
        </w:rPr>
        <w:t>(red))</w:t>
      </w:r>
    </w:p>
    <w:p w14:paraId="1A75770B" w14:textId="77777777" w:rsidR="009B5D37" w:rsidRDefault="003A5260">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14:anchorId="0D0A5A1F" wp14:editId="61300378">
            <wp:extent cx="5943600" cy="2870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870200"/>
                    </a:xfrm>
                    <a:prstGeom prst="rect">
                      <a:avLst/>
                    </a:prstGeom>
                    <a:ln/>
                  </pic:spPr>
                </pic:pic>
              </a:graphicData>
            </a:graphic>
          </wp:inline>
        </w:drawing>
      </w:r>
    </w:p>
    <w:p w14:paraId="2764B24C" w14:textId="77777777" w:rsidR="009B5D37" w:rsidRDefault="009B5D37">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sz w:val="24"/>
          <w:szCs w:val="24"/>
        </w:rPr>
      </w:pPr>
    </w:p>
    <w:p w14:paraId="5D18C428" w14:textId="77777777" w:rsidR="009B5D37" w:rsidRDefault="009B5D37">
      <w:pPr>
        <w:shd w:val="clear" w:color="auto" w:fill="FFFFFF"/>
        <w:spacing w:before="180" w:after="180" w:line="480" w:lineRule="auto"/>
        <w:ind w:firstLine="720"/>
        <w:rPr>
          <w:rFonts w:ascii="Times New Roman" w:eastAsia="Times New Roman" w:hAnsi="Times New Roman" w:cs="Times New Roman"/>
          <w:b/>
          <w:sz w:val="24"/>
          <w:szCs w:val="24"/>
        </w:rPr>
      </w:pPr>
    </w:p>
    <w:p w14:paraId="1A2A155D"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5 (</w:t>
      </w:r>
      <w:r>
        <w:rPr>
          <w:rFonts w:ascii="Times New Roman" w:eastAsia="Times New Roman" w:hAnsi="Times New Roman" w:cs="Times New Roman"/>
          <w:sz w:val="24"/>
          <w:szCs w:val="24"/>
        </w:rPr>
        <w:t>Units sale of Januvia(green),</w:t>
      </w:r>
      <w:proofErr w:type="spellStart"/>
      <w:r>
        <w:rPr>
          <w:rFonts w:ascii="Times New Roman" w:eastAsia="Times New Roman" w:hAnsi="Times New Roman" w:cs="Times New Roman"/>
          <w:sz w:val="24"/>
          <w:szCs w:val="24"/>
        </w:rPr>
        <w:t>Onglyza</w:t>
      </w:r>
      <w:proofErr w:type="spellEnd"/>
      <w:r>
        <w:rPr>
          <w:rFonts w:ascii="Times New Roman" w:eastAsia="Times New Roman" w:hAnsi="Times New Roman" w:cs="Times New Roman"/>
          <w:sz w:val="24"/>
          <w:szCs w:val="24"/>
        </w:rPr>
        <w:t>(blue),</w:t>
      </w:r>
      <w:proofErr w:type="spellStart"/>
      <w:r>
        <w:rPr>
          <w:rFonts w:ascii="Times New Roman" w:eastAsia="Times New Roman" w:hAnsi="Times New Roman" w:cs="Times New Roman"/>
          <w:sz w:val="24"/>
          <w:szCs w:val="24"/>
        </w:rPr>
        <w:t>Tradjenta</w:t>
      </w:r>
      <w:proofErr w:type="spellEnd"/>
      <w:r>
        <w:rPr>
          <w:rFonts w:ascii="Times New Roman" w:eastAsia="Times New Roman" w:hAnsi="Times New Roman" w:cs="Times New Roman"/>
          <w:sz w:val="24"/>
          <w:szCs w:val="24"/>
        </w:rPr>
        <w:t>(red))</w:t>
      </w:r>
    </w:p>
    <w:p w14:paraId="5B825AAA" w14:textId="77777777" w:rsidR="009B5D37" w:rsidRDefault="003A5260">
      <w:pPr>
        <w:pBdr>
          <w:top w:val="nil"/>
          <w:left w:val="nil"/>
          <w:bottom w:val="nil"/>
          <w:right w:val="nil"/>
          <w:between w:val="nil"/>
        </w:pBd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9050" distB="19050" distL="19050" distR="19050" wp14:anchorId="0A01F2E1" wp14:editId="07CF64E1">
            <wp:extent cx="5943600" cy="2832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832100"/>
                    </a:xfrm>
                    <a:prstGeom prst="rect">
                      <a:avLst/>
                    </a:prstGeom>
                    <a:ln/>
                  </pic:spPr>
                </pic:pic>
              </a:graphicData>
            </a:graphic>
          </wp:inline>
        </w:drawing>
      </w:r>
    </w:p>
    <w:p w14:paraId="32DD0958"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64BC49C9"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2667958A"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6EE089B9"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3710800F"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0F0D910D"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16824BC9" w14:textId="77777777" w:rsidR="009B5D37" w:rsidRDefault="009B5D37">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1FA20A01"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p w14:paraId="266693BE" w14:textId="77777777" w:rsidR="00597711" w:rsidRDefault="00597711">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483EAF86" w14:textId="77777777" w:rsidR="00597711" w:rsidRDefault="00597711">
      <w:pPr>
        <w:shd w:val="clear" w:color="auto" w:fill="FFFFFF"/>
        <w:spacing w:before="180" w:after="180" w:line="480" w:lineRule="auto"/>
        <w:ind w:firstLine="720"/>
        <w:jc w:val="center"/>
        <w:rPr>
          <w:rFonts w:ascii="Times New Roman" w:eastAsia="Times New Roman" w:hAnsi="Times New Roman" w:cs="Times New Roman"/>
          <w:b/>
          <w:sz w:val="24"/>
          <w:szCs w:val="24"/>
        </w:rPr>
      </w:pPr>
    </w:p>
    <w:p w14:paraId="27E076CE" w14:textId="77777777" w:rsidR="009B5D37" w:rsidRDefault="003A5260">
      <w:pPr>
        <w:shd w:val="clear" w:color="auto" w:fill="FFFFFF"/>
        <w:spacing w:before="180" w:after="18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w:t>
      </w:r>
    </w:p>
    <w:p w14:paraId="693A8F7B"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Forecasting Sale of </w:t>
      </w:r>
      <w:proofErr w:type="spellStart"/>
      <w:r>
        <w:rPr>
          <w:rFonts w:ascii="Times New Roman" w:eastAsia="Times New Roman" w:hAnsi="Times New Roman" w:cs="Times New Roman"/>
          <w:b/>
          <w:sz w:val="24"/>
          <w:szCs w:val="24"/>
        </w:rPr>
        <w:t>Invokana</w:t>
      </w:r>
      <w:proofErr w:type="spellEnd"/>
      <w:r>
        <w:rPr>
          <w:rFonts w:ascii="Times New Roman" w:eastAsia="Times New Roman" w:hAnsi="Times New Roman" w:cs="Times New Roman"/>
          <w:b/>
          <w:sz w:val="24"/>
          <w:szCs w:val="24"/>
        </w:rPr>
        <w:t xml:space="preserve"> (Figure 1)</w:t>
      </w:r>
    </w:p>
    <w:p w14:paraId="069F48F0"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forecasting sale of </w:t>
      </w:r>
      <w:proofErr w:type="spellStart"/>
      <w:r>
        <w:rPr>
          <w:rFonts w:ascii="Times New Roman" w:eastAsia="Times New Roman" w:hAnsi="Times New Roman" w:cs="Times New Roman"/>
          <w:sz w:val="24"/>
          <w:szCs w:val="24"/>
        </w:rPr>
        <w:t>Invokana</w:t>
      </w:r>
      <w:proofErr w:type="spellEnd"/>
      <w:r>
        <w:rPr>
          <w:rFonts w:ascii="Times New Roman" w:eastAsia="Times New Roman" w:hAnsi="Times New Roman" w:cs="Times New Roman"/>
          <w:sz w:val="24"/>
          <w:szCs w:val="24"/>
        </w:rPr>
        <w:t xml:space="preserve"> for next two year. The dashed line represent where we cut the data. The part after the vertical solid line is our forecasting result. </w:t>
      </w:r>
    </w:p>
    <w:p w14:paraId="27BDDE34"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3A5DB5A0" wp14:editId="380D8335">
            <wp:extent cx="3622020" cy="30353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622020" cy="3035300"/>
                    </a:xfrm>
                    <a:prstGeom prst="rect">
                      <a:avLst/>
                    </a:prstGeom>
                    <a:ln/>
                  </pic:spPr>
                </pic:pic>
              </a:graphicData>
            </a:graphic>
          </wp:inline>
        </w:drawing>
      </w:r>
    </w:p>
    <w:p w14:paraId="3A024184"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beginning, we tried to use the entire dataset to do the model fitting. However, the forecasting result decrease faster as the time go by, which may be affected by the beginning part where the sale increase rapidly. Thus, we only use the data after April, 2015 and do the model fitting with ARIMA(1,2,1). Moreover, we also compared the AIC of the model that with original data and the model with </w:t>
      </w:r>
      <w:proofErr w:type="spellStart"/>
      <w:r>
        <w:rPr>
          <w:rFonts w:ascii="Times New Roman" w:eastAsia="Times New Roman" w:hAnsi="Times New Roman" w:cs="Times New Roman"/>
          <w:sz w:val="24"/>
          <w:szCs w:val="24"/>
        </w:rPr>
        <w:t>cutted</w:t>
      </w:r>
      <w:proofErr w:type="spellEnd"/>
      <w:r>
        <w:rPr>
          <w:rFonts w:ascii="Times New Roman" w:eastAsia="Times New Roman" w:hAnsi="Times New Roman" w:cs="Times New Roman"/>
          <w:sz w:val="24"/>
          <w:szCs w:val="24"/>
        </w:rPr>
        <w:t xml:space="preserve"> data. The model fitted with the </w:t>
      </w:r>
      <w:proofErr w:type="spellStart"/>
      <w:r>
        <w:rPr>
          <w:rFonts w:ascii="Times New Roman" w:eastAsia="Times New Roman" w:hAnsi="Times New Roman" w:cs="Times New Roman"/>
          <w:sz w:val="24"/>
          <w:szCs w:val="24"/>
        </w:rPr>
        <w:t>cutted</w:t>
      </w:r>
      <w:proofErr w:type="spellEnd"/>
      <w:r>
        <w:rPr>
          <w:rFonts w:ascii="Times New Roman" w:eastAsia="Times New Roman" w:hAnsi="Times New Roman" w:cs="Times New Roman"/>
          <w:sz w:val="24"/>
          <w:szCs w:val="24"/>
        </w:rPr>
        <w:t xml:space="preserve"> data has lower AIC, so that is another reason why we used the </w:t>
      </w:r>
      <w:proofErr w:type="spellStart"/>
      <w:r>
        <w:rPr>
          <w:rFonts w:ascii="Times New Roman" w:eastAsia="Times New Roman" w:hAnsi="Times New Roman" w:cs="Times New Roman"/>
          <w:sz w:val="24"/>
          <w:szCs w:val="24"/>
        </w:rPr>
        <w:t>cutted</w:t>
      </w:r>
      <w:proofErr w:type="spellEnd"/>
      <w:r>
        <w:rPr>
          <w:rFonts w:ascii="Times New Roman" w:eastAsia="Times New Roman" w:hAnsi="Times New Roman" w:cs="Times New Roman"/>
          <w:sz w:val="24"/>
          <w:szCs w:val="24"/>
        </w:rPr>
        <w:t xml:space="preserve"> dataset to do the model fitting.</w:t>
      </w:r>
    </w:p>
    <w:p w14:paraId="03982984"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p w14:paraId="7F7D6825" w14:textId="77777777" w:rsidR="00597711" w:rsidRDefault="00597711">
      <w:pPr>
        <w:shd w:val="clear" w:color="auto" w:fill="FFFFFF"/>
        <w:spacing w:before="180" w:after="180" w:line="480" w:lineRule="auto"/>
        <w:rPr>
          <w:rFonts w:ascii="Times New Roman" w:eastAsia="Times New Roman" w:hAnsi="Times New Roman" w:cs="Times New Roman"/>
          <w:b/>
          <w:sz w:val="24"/>
          <w:szCs w:val="24"/>
        </w:rPr>
      </w:pPr>
    </w:p>
    <w:p w14:paraId="09114051"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forecasting sale of </w:t>
      </w:r>
      <w:proofErr w:type="spellStart"/>
      <w:r>
        <w:rPr>
          <w:rFonts w:ascii="Times New Roman" w:eastAsia="Times New Roman" w:hAnsi="Times New Roman" w:cs="Times New Roman"/>
          <w:b/>
          <w:sz w:val="24"/>
          <w:szCs w:val="24"/>
        </w:rPr>
        <w:t>Farxiga</w:t>
      </w:r>
      <w:proofErr w:type="spellEnd"/>
      <w:r>
        <w:rPr>
          <w:rFonts w:ascii="Times New Roman" w:eastAsia="Times New Roman" w:hAnsi="Times New Roman" w:cs="Times New Roman"/>
          <w:b/>
          <w:sz w:val="24"/>
          <w:szCs w:val="24"/>
        </w:rPr>
        <w:t xml:space="preserve"> (Figure 2)</w:t>
      </w:r>
    </w:p>
    <w:p w14:paraId="75DD140D"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is the forecasting sale of </w:t>
      </w:r>
      <w:proofErr w:type="spellStart"/>
      <w:r>
        <w:rPr>
          <w:rFonts w:ascii="Times New Roman" w:eastAsia="Times New Roman" w:hAnsi="Times New Roman" w:cs="Times New Roman"/>
          <w:sz w:val="24"/>
          <w:szCs w:val="24"/>
        </w:rPr>
        <w:t>Farxiga</w:t>
      </w:r>
      <w:proofErr w:type="spellEnd"/>
      <w:r>
        <w:rPr>
          <w:rFonts w:ascii="Times New Roman" w:eastAsia="Times New Roman" w:hAnsi="Times New Roman" w:cs="Times New Roman"/>
          <w:sz w:val="24"/>
          <w:szCs w:val="24"/>
        </w:rPr>
        <w:t xml:space="preserve"> for next two years. The dashed line represent where we cut the data. </w:t>
      </w:r>
    </w:p>
    <w:p w14:paraId="3D573281"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796F580D" wp14:editId="3F91D5B8">
            <wp:extent cx="4203700" cy="335883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203700" cy="3358839"/>
                    </a:xfrm>
                    <a:prstGeom prst="rect">
                      <a:avLst/>
                    </a:prstGeom>
                    <a:ln/>
                  </pic:spPr>
                </pic:pic>
              </a:graphicData>
            </a:graphic>
          </wp:inline>
        </w:drawing>
      </w:r>
    </w:p>
    <w:p w14:paraId="55395B66"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used the entire dataset to do the model fitting, the forecasting result would go up a little bit and start to fall down, which doesn’t look normal. Thus, we only used the dataset after April, 2015 to avoid the beginning part that increase rapidly. To conclude, we fit the dataset with log transformation and ARIMA(1,1,0). </w:t>
      </w:r>
    </w:p>
    <w:p w14:paraId="14743E69"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forecasting sale of Jardiance (Figure 3)</w:t>
      </w:r>
    </w:p>
    <w:p w14:paraId="4A8AFA44"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Here is the forecasting sale of </w:t>
      </w:r>
      <w:proofErr w:type="spellStart"/>
      <w:r>
        <w:rPr>
          <w:rFonts w:ascii="Times New Roman" w:eastAsia="Times New Roman" w:hAnsi="Times New Roman" w:cs="Times New Roman"/>
          <w:sz w:val="24"/>
          <w:szCs w:val="24"/>
        </w:rPr>
        <w:t>Invokana</w:t>
      </w:r>
      <w:proofErr w:type="spellEnd"/>
      <w:r>
        <w:rPr>
          <w:rFonts w:ascii="Times New Roman" w:eastAsia="Times New Roman" w:hAnsi="Times New Roman" w:cs="Times New Roman"/>
          <w:sz w:val="24"/>
          <w:szCs w:val="24"/>
        </w:rPr>
        <w:t xml:space="preserve"> for next two year. The part after the vertical solid line is our forecasting result. </w:t>
      </w:r>
    </w:p>
    <w:p w14:paraId="50AFDE6A"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9050" distB="19050" distL="19050" distR="19050" wp14:anchorId="58C0DC5E" wp14:editId="79D2EAE5">
            <wp:extent cx="4113317" cy="390525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113317" cy="3905250"/>
                    </a:xfrm>
                    <a:prstGeom prst="rect">
                      <a:avLst/>
                    </a:prstGeom>
                    <a:ln/>
                  </pic:spPr>
                </pic:pic>
              </a:graphicData>
            </a:graphic>
          </wp:inline>
        </w:drawing>
      </w:r>
    </w:p>
    <w:p w14:paraId="05F46EF0"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quadratic regression model, </w:t>
      </w:r>
    </w:p>
    <w:p w14:paraId="0D50AC48"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 of Jardiance=4.045*10^13-4.017*10^10*time+9.971*10^6*time^2</w:t>
      </w:r>
    </w:p>
    <w:p w14:paraId="6AEDF762"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fit the dataset. Since the coefficient are all significantly different from 0 and the R-Square and adjusted R-Square are greater than 99%, this regression model fit the dataset well. </w:t>
      </w:r>
    </w:p>
    <w:p w14:paraId="46385167"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p w14:paraId="7997BE59"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p w14:paraId="4D6E45AE"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p w14:paraId="1A740D0A" w14:textId="77777777" w:rsidR="00597711" w:rsidRDefault="00597711">
      <w:pPr>
        <w:shd w:val="clear" w:color="auto" w:fill="FFFFFF"/>
        <w:spacing w:before="180" w:after="180" w:line="480" w:lineRule="auto"/>
        <w:rPr>
          <w:rFonts w:ascii="Times New Roman" w:eastAsia="Times New Roman" w:hAnsi="Times New Roman" w:cs="Times New Roman"/>
          <w:b/>
          <w:sz w:val="24"/>
          <w:szCs w:val="24"/>
        </w:rPr>
      </w:pPr>
    </w:p>
    <w:p w14:paraId="7124F087" w14:textId="77777777" w:rsidR="00597711" w:rsidRDefault="00597711">
      <w:pPr>
        <w:shd w:val="clear" w:color="auto" w:fill="FFFFFF"/>
        <w:spacing w:before="180" w:after="180" w:line="480" w:lineRule="auto"/>
        <w:rPr>
          <w:rFonts w:ascii="Times New Roman" w:eastAsia="Times New Roman" w:hAnsi="Times New Roman" w:cs="Times New Roman"/>
          <w:b/>
          <w:sz w:val="24"/>
          <w:szCs w:val="24"/>
        </w:rPr>
      </w:pPr>
    </w:p>
    <w:p w14:paraId="312C5837"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Forecasting Sale of Three Drugs in SGLT2 Inhibitors (Figure 4)</w:t>
      </w:r>
    </w:p>
    <w:p w14:paraId="0D41027C"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rPr>
        <w:drawing>
          <wp:inline distT="19050" distB="19050" distL="19050" distR="19050" wp14:anchorId="2B8A50D9" wp14:editId="744C5FD5">
            <wp:extent cx="3334311" cy="2747963"/>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334311" cy="2747963"/>
                    </a:xfrm>
                    <a:prstGeom prst="rect">
                      <a:avLst/>
                    </a:prstGeom>
                    <a:ln/>
                  </pic:spPr>
                </pic:pic>
              </a:graphicData>
            </a:graphic>
          </wp:inline>
        </w:drawing>
      </w:r>
    </w:p>
    <w:p w14:paraId="120913FC"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jardiance</w:t>
      </w:r>
      <w:proofErr w:type="spellEnd"/>
      <w:r>
        <w:rPr>
          <w:rFonts w:ascii="Times New Roman" w:eastAsia="Times New Roman" w:hAnsi="Times New Roman" w:cs="Times New Roman"/>
          <w:sz w:val="24"/>
          <w:szCs w:val="24"/>
        </w:rPr>
        <w:t xml:space="preserve">: blue, </w:t>
      </w:r>
      <w:proofErr w:type="spellStart"/>
      <w:r>
        <w:rPr>
          <w:rFonts w:ascii="Times New Roman" w:eastAsia="Times New Roman" w:hAnsi="Times New Roman" w:cs="Times New Roman"/>
          <w:sz w:val="24"/>
          <w:szCs w:val="24"/>
        </w:rPr>
        <w:t>farxiga</w:t>
      </w:r>
      <w:proofErr w:type="spellEnd"/>
      <w:r>
        <w:rPr>
          <w:rFonts w:ascii="Times New Roman" w:eastAsia="Times New Roman" w:hAnsi="Times New Roman" w:cs="Times New Roman"/>
          <w:sz w:val="24"/>
          <w:szCs w:val="24"/>
        </w:rPr>
        <w:t xml:space="preserve">: red,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invokana</w:t>
      </w:r>
      <w:proofErr w:type="spellEnd"/>
      <w:r>
        <w:rPr>
          <w:rFonts w:ascii="Times New Roman" w:eastAsia="Times New Roman" w:hAnsi="Times New Roman" w:cs="Times New Roman"/>
          <w:sz w:val="24"/>
          <w:szCs w:val="24"/>
        </w:rPr>
        <w:t>: black)</w:t>
      </w:r>
    </w:p>
    <w:p w14:paraId="01506239"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Forecasting Sale of SGLT2 Inhibitors (Figure 5)</w:t>
      </w:r>
    </w:p>
    <w:p w14:paraId="03D4D69D"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Here is the forecasting sale of SGLT2 Inhibitors for next 2 </w:t>
      </w:r>
      <w:proofErr w:type="spellStart"/>
      <w:r>
        <w:rPr>
          <w:rFonts w:ascii="Times New Roman" w:eastAsia="Times New Roman" w:hAnsi="Times New Roman" w:cs="Times New Roman"/>
          <w:sz w:val="24"/>
          <w:szCs w:val="24"/>
        </w:rPr>
        <w:t>years.The</w:t>
      </w:r>
      <w:proofErr w:type="spellEnd"/>
      <w:r>
        <w:rPr>
          <w:rFonts w:ascii="Times New Roman" w:eastAsia="Times New Roman" w:hAnsi="Times New Roman" w:cs="Times New Roman"/>
          <w:sz w:val="24"/>
          <w:szCs w:val="24"/>
        </w:rPr>
        <w:t xml:space="preserve"> part after the vertical solid line is our forecasting result. </w:t>
      </w:r>
    </w:p>
    <w:p w14:paraId="1739F777"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310567C4" wp14:editId="376A8792">
            <wp:extent cx="2814638" cy="236928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14638" cy="2369283"/>
                    </a:xfrm>
                    <a:prstGeom prst="rect">
                      <a:avLst/>
                    </a:prstGeom>
                    <a:ln/>
                  </pic:spPr>
                </pic:pic>
              </a:graphicData>
            </a:graphic>
          </wp:inline>
        </w:drawing>
      </w:r>
    </w:p>
    <w:p w14:paraId="25D75892"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fit dataset with ARIMA(0,1,3).</w:t>
      </w:r>
    </w:p>
    <w:p w14:paraId="516DA66C"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The forecasting sale of Insulin (Figure 6)</w:t>
      </w:r>
    </w:p>
    <w:p w14:paraId="769650ED"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Here is the forecasting sale of Insulin for next 2 </w:t>
      </w:r>
      <w:proofErr w:type="spellStart"/>
      <w:r>
        <w:rPr>
          <w:rFonts w:ascii="Times New Roman" w:eastAsia="Times New Roman" w:hAnsi="Times New Roman" w:cs="Times New Roman"/>
          <w:sz w:val="24"/>
          <w:szCs w:val="24"/>
        </w:rPr>
        <w:t>years.The</w:t>
      </w:r>
      <w:proofErr w:type="spellEnd"/>
      <w:r>
        <w:rPr>
          <w:rFonts w:ascii="Times New Roman" w:eastAsia="Times New Roman" w:hAnsi="Times New Roman" w:cs="Times New Roman"/>
          <w:sz w:val="24"/>
          <w:szCs w:val="24"/>
        </w:rPr>
        <w:t xml:space="preserve"> part after the vertical solid line is our forecasting result. Also, we fit the dataset with ARIMA(4,2,0).</w:t>
      </w:r>
    </w:p>
    <w:p w14:paraId="7FAB902D"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0CDFBCD1" wp14:editId="7E5B4A0E">
            <wp:extent cx="4205288" cy="4006034"/>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205288" cy="4006034"/>
                    </a:xfrm>
                    <a:prstGeom prst="rect">
                      <a:avLst/>
                    </a:prstGeom>
                    <a:ln/>
                  </pic:spPr>
                </pic:pic>
              </a:graphicData>
            </a:graphic>
          </wp:inline>
        </w:drawing>
      </w:r>
    </w:p>
    <w:p w14:paraId="73C706C1"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355B166C"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0277EDE7"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4DEE6107"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4D0D2688"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0C8C09D9" w14:textId="77777777" w:rsidR="00597711" w:rsidRDefault="00597711">
      <w:pPr>
        <w:shd w:val="clear" w:color="auto" w:fill="FFFFFF"/>
        <w:spacing w:before="180" w:after="180" w:line="480" w:lineRule="auto"/>
        <w:rPr>
          <w:rFonts w:ascii="Times New Roman" w:eastAsia="Times New Roman" w:hAnsi="Times New Roman" w:cs="Times New Roman"/>
          <w:sz w:val="24"/>
          <w:szCs w:val="24"/>
        </w:rPr>
      </w:pPr>
    </w:p>
    <w:p w14:paraId="73628685"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The forecasting sale of DPP-4 Inhibitor (Figure 7)</w:t>
      </w:r>
    </w:p>
    <w:p w14:paraId="25CFA177"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forecasting sale of DPP-4 Inhibitors for next 2 </w:t>
      </w:r>
      <w:proofErr w:type="spellStart"/>
      <w:r>
        <w:rPr>
          <w:rFonts w:ascii="Times New Roman" w:eastAsia="Times New Roman" w:hAnsi="Times New Roman" w:cs="Times New Roman"/>
          <w:sz w:val="24"/>
          <w:szCs w:val="24"/>
        </w:rPr>
        <w:t>years.The</w:t>
      </w:r>
      <w:proofErr w:type="spellEnd"/>
      <w:r>
        <w:rPr>
          <w:rFonts w:ascii="Times New Roman" w:eastAsia="Times New Roman" w:hAnsi="Times New Roman" w:cs="Times New Roman"/>
          <w:sz w:val="24"/>
          <w:szCs w:val="24"/>
        </w:rPr>
        <w:t xml:space="preserve"> part after the vertical solid line is our forecasting result. </w:t>
      </w:r>
    </w:p>
    <w:p w14:paraId="29722388"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14:anchorId="0F34FAC4" wp14:editId="7E84F875">
            <wp:extent cx="3578473" cy="30146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578473" cy="3014663"/>
                    </a:xfrm>
                    <a:prstGeom prst="rect">
                      <a:avLst/>
                    </a:prstGeom>
                    <a:ln/>
                  </pic:spPr>
                </pic:pic>
              </a:graphicData>
            </a:graphic>
          </wp:inline>
        </w:drawing>
      </w:r>
    </w:p>
    <w:p w14:paraId="1AC9CEF5" w14:textId="77777777" w:rsidR="00597711"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the dataset with log transformation and ARIMA(1,1,0). </w:t>
      </w:r>
    </w:p>
    <w:p w14:paraId="4B154978" w14:textId="77777777" w:rsidR="009B5D37" w:rsidRDefault="003A5260">
      <w:pPr>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forecasting sale on three market (Figure 8)</w:t>
      </w:r>
    </w:p>
    <w:p w14:paraId="0AB070D7" w14:textId="77777777" w:rsidR="00597711" w:rsidRPr="00597711"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9050" distB="19050" distL="19050" distR="19050" wp14:anchorId="4E3C96BD" wp14:editId="056FC2C8">
            <wp:extent cx="2908935" cy="2032780"/>
            <wp:effectExtent l="0" t="0" r="1206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923661" cy="2043071"/>
                    </a:xfrm>
                    <a:prstGeom prst="rect">
                      <a:avLst/>
                    </a:prstGeom>
                    <a:ln/>
                  </pic:spPr>
                </pic:pic>
              </a:graphicData>
            </a:graphic>
          </wp:inline>
        </w:drawing>
      </w:r>
    </w:p>
    <w:p w14:paraId="2DE59F54" w14:textId="77777777" w:rsidR="009B5D37" w:rsidRDefault="003A5260">
      <w:pPr>
        <w:shd w:val="clear" w:color="auto" w:fill="FFFFFF"/>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(Insulin: red  SGLT-2 inhibitor: black  DPP-4 inhibitor: blue)</w:t>
      </w:r>
    </w:p>
    <w:p w14:paraId="5D1E2E55"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pros of SGLT2 inhibitor is that it can reduce the risk of heart attack and stroke. Also, it is helpful for reducing the weight. SGLT2 inhibitors don’t affect the insulin directly in our body. Instead, when the body produces the urine, the SGLT2 inhibitors prevent the kidneys from absorbing glucose back into the body. Thus it causes the higher concentration of sugar in the urine, which can lead to an increased risk of vaginal yeast infection and urinary tract infection.</w:t>
      </w:r>
    </w:p>
    <w:p w14:paraId="69E46465" w14:textId="77777777" w:rsidR="009B5D37" w:rsidRDefault="003A5260">
      <w:pPr>
        <w:shd w:val="clear" w:color="auto" w:fill="FFFFFF"/>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DPP-4 inhibitors doesn't cause the weight gain problem and the issue of hypoglycemia, but it may cause the joint pain and pancreatitis.</w:t>
      </w:r>
    </w:p>
    <w:p w14:paraId="79EC57A5" w14:textId="77777777" w:rsidR="009B5D37" w:rsidRDefault="003A5260">
      <w:pPr>
        <w:shd w:val="clear" w:color="auto" w:fill="FFFFFF"/>
        <w:spacing w:before="180" w:after="18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Insulin is usually effective when it is used in the proper dose, but it may lead to weight gain and hypoglycemia issue. </w:t>
      </w:r>
    </w:p>
    <w:p w14:paraId="7AEB56CA" w14:textId="77777777" w:rsidR="009B5D37" w:rsidRDefault="003A5260">
      <w:pPr>
        <w:shd w:val="clear" w:color="auto" w:fill="FFFFFF"/>
        <w:spacing w:before="180" w:after="18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316D7B58" w14:textId="77777777" w:rsidR="009B5D37" w:rsidRDefault="003A5260">
      <w:pPr>
        <w:shd w:val="clear" w:color="auto" w:fill="FFFFFF"/>
        <w:spacing w:before="180" w:after="180" w:line="48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Competitive Advantage of Three Markets </w:t>
      </w:r>
    </w:p>
    <w:tbl>
      <w:tblPr>
        <w:tblStyle w:val="a"/>
        <w:tblW w:w="98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085"/>
        <w:gridCol w:w="2655"/>
        <w:gridCol w:w="2940"/>
        <w:gridCol w:w="2205"/>
      </w:tblGrid>
      <w:tr w:rsidR="009B5D37" w14:paraId="7D050687" w14:textId="77777777">
        <w:trPr>
          <w:trHeight w:val="620"/>
        </w:trPr>
        <w:tc>
          <w:tcPr>
            <w:tcW w:w="2085" w:type="dxa"/>
            <w:tcMar>
              <w:top w:w="140" w:type="dxa"/>
              <w:left w:w="140" w:type="dxa"/>
              <w:bottom w:w="140" w:type="dxa"/>
              <w:right w:w="140" w:type="dxa"/>
            </w:tcMar>
          </w:tcPr>
          <w:p w14:paraId="5021B177" w14:textId="77777777" w:rsidR="009B5D37" w:rsidRDefault="009B5D37">
            <w:pPr>
              <w:widowControl w:val="0"/>
              <w:spacing w:line="240" w:lineRule="auto"/>
              <w:rPr>
                <w:rFonts w:ascii="Times New Roman" w:eastAsia="Times New Roman" w:hAnsi="Times New Roman" w:cs="Times New Roman"/>
                <w:sz w:val="24"/>
                <w:szCs w:val="24"/>
              </w:rPr>
            </w:pPr>
          </w:p>
        </w:tc>
        <w:tc>
          <w:tcPr>
            <w:tcW w:w="2655" w:type="dxa"/>
            <w:tcMar>
              <w:top w:w="140" w:type="dxa"/>
              <w:left w:w="140" w:type="dxa"/>
              <w:bottom w:w="140" w:type="dxa"/>
              <w:right w:w="140" w:type="dxa"/>
            </w:tcMar>
          </w:tcPr>
          <w:p w14:paraId="37A1FB8C"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SGLT-2 Inhibitor</w:t>
            </w:r>
          </w:p>
        </w:tc>
        <w:tc>
          <w:tcPr>
            <w:tcW w:w="2940" w:type="dxa"/>
            <w:tcMar>
              <w:top w:w="140" w:type="dxa"/>
              <w:left w:w="140" w:type="dxa"/>
              <w:bottom w:w="140" w:type="dxa"/>
              <w:right w:w="140" w:type="dxa"/>
            </w:tcMar>
          </w:tcPr>
          <w:p w14:paraId="5C3BF11D"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DPP-4 Inhibitor</w:t>
            </w:r>
          </w:p>
        </w:tc>
        <w:tc>
          <w:tcPr>
            <w:tcW w:w="2205" w:type="dxa"/>
            <w:tcMar>
              <w:top w:w="140" w:type="dxa"/>
              <w:left w:w="140" w:type="dxa"/>
              <w:bottom w:w="140" w:type="dxa"/>
              <w:right w:w="140" w:type="dxa"/>
            </w:tcMar>
          </w:tcPr>
          <w:p w14:paraId="029DDBC7"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Insulin</w:t>
            </w:r>
          </w:p>
        </w:tc>
      </w:tr>
      <w:tr w:rsidR="009B5D37" w14:paraId="01A9D45D" w14:textId="77777777">
        <w:trPr>
          <w:trHeight w:val="1700"/>
        </w:trPr>
        <w:tc>
          <w:tcPr>
            <w:tcW w:w="2085" w:type="dxa"/>
            <w:tcMar>
              <w:top w:w="140" w:type="dxa"/>
              <w:left w:w="140" w:type="dxa"/>
              <w:bottom w:w="140" w:type="dxa"/>
              <w:right w:w="140" w:type="dxa"/>
            </w:tcMar>
          </w:tcPr>
          <w:p w14:paraId="44D873D0"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w:t>
            </w:r>
          </w:p>
        </w:tc>
        <w:tc>
          <w:tcPr>
            <w:tcW w:w="2655" w:type="dxa"/>
            <w:tcMar>
              <w:top w:w="140" w:type="dxa"/>
              <w:left w:w="140" w:type="dxa"/>
              <w:bottom w:w="140" w:type="dxa"/>
              <w:right w:w="140" w:type="dxa"/>
            </w:tcMar>
          </w:tcPr>
          <w:p w14:paraId="3EDFCC67"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Reduce the risk of </w:t>
            </w:r>
          </w:p>
          <w:p w14:paraId="2AB15D17"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Heart attack, stroke, and weight gain</w:t>
            </w:r>
          </w:p>
          <w:p w14:paraId="714D14BE" w14:textId="77777777" w:rsidR="009B5D37" w:rsidRDefault="009B5D37">
            <w:pPr>
              <w:widowControl w:val="0"/>
              <w:spacing w:line="240" w:lineRule="auto"/>
              <w:rPr>
                <w:rFonts w:ascii="Times New Roman" w:eastAsia="Times New Roman" w:hAnsi="Times New Roman" w:cs="Times New Roman"/>
                <w:sz w:val="24"/>
                <w:szCs w:val="24"/>
              </w:rPr>
            </w:pPr>
          </w:p>
        </w:tc>
        <w:tc>
          <w:tcPr>
            <w:tcW w:w="2940" w:type="dxa"/>
            <w:tcMar>
              <w:top w:w="140" w:type="dxa"/>
              <w:left w:w="140" w:type="dxa"/>
              <w:bottom w:w="140" w:type="dxa"/>
              <w:right w:w="140" w:type="dxa"/>
            </w:tcMar>
          </w:tcPr>
          <w:p w14:paraId="3521B19D"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Don’t cause weight gain and hypoglycemia</w:t>
            </w:r>
          </w:p>
        </w:tc>
        <w:tc>
          <w:tcPr>
            <w:tcW w:w="2205" w:type="dxa"/>
            <w:tcMar>
              <w:top w:w="140" w:type="dxa"/>
              <w:left w:w="140" w:type="dxa"/>
              <w:bottom w:w="140" w:type="dxa"/>
              <w:right w:w="140" w:type="dxa"/>
            </w:tcMar>
          </w:tcPr>
          <w:p w14:paraId="68A79FC9"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if the dose is proper</w:t>
            </w:r>
          </w:p>
        </w:tc>
      </w:tr>
      <w:tr w:rsidR="009B5D37" w14:paraId="659CEB22" w14:textId="77777777">
        <w:trPr>
          <w:trHeight w:val="2040"/>
        </w:trPr>
        <w:tc>
          <w:tcPr>
            <w:tcW w:w="2085" w:type="dxa"/>
            <w:tcMar>
              <w:top w:w="140" w:type="dxa"/>
              <w:left w:w="140" w:type="dxa"/>
              <w:bottom w:w="140" w:type="dxa"/>
              <w:right w:w="140" w:type="dxa"/>
            </w:tcMar>
          </w:tcPr>
          <w:p w14:paraId="6B44AE4D"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w:t>
            </w:r>
          </w:p>
        </w:tc>
        <w:tc>
          <w:tcPr>
            <w:tcW w:w="2655" w:type="dxa"/>
            <w:tcMar>
              <w:top w:w="140" w:type="dxa"/>
              <w:left w:w="140" w:type="dxa"/>
              <w:bottom w:w="140" w:type="dxa"/>
              <w:right w:w="140" w:type="dxa"/>
            </w:tcMar>
          </w:tcPr>
          <w:p w14:paraId="44DFBADB"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cause vaginal yeast infection, urinary tract infection</w:t>
            </w:r>
          </w:p>
          <w:p w14:paraId="561044BD" w14:textId="77777777" w:rsidR="009B5D37" w:rsidRDefault="009B5D37">
            <w:pPr>
              <w:widowControl w:val="0"/>
              <w:spacing w:line="240" w:lineRule="auto"/>
              <w:rPr>
                <w:rFonts w:ascii="Times New Roman" w:eastAsia="Times New Roman" w:hAnsi="Times New Roman" w:cs="Times New Roman"/>
                <w:sz w:val="24"/>
                <w:szCs w:val="24"/>
              </w:rPr>
            </w:pPr>
          </w:p>
        </w:tc>
        <w:tc>
          <w:tcPr>
            <w:tcW w:w="2940" w:type="dxa"/>
            <w:tcMar>
              <w:top w:w="140" w:type="dxa"/>
              <w:left w:w="140" w:type="dxa"/>
              <w:bottom w:w="140" w:type="dxa"/>
              <w:right w:w="140" w:type="dxa"/>
            </w:tcMar>
          </w:tcPr>
          <w:p w14:paraId="4929F70D"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cause joint pain and pancreatitis</w:t>
            </w:r>
          </w:p>
        </w:tc>
        <w:tc>
          <w:tcPr>
            <w:tcW w:w="2205" w:type="dxa"/>
            <w:tcMar>
              <w:top w:w="140" w:type="dxa"/>
              <w:left w:w="140" w:type="dxa"/>
              <w:bottom w:w="140" w:type="dxa"/>
              <w:right w:w="140" w:type="dxa"/>
            </w:tcMar>
          </w:tcPr>
          <w:p w14:paraId="69F7993E" w14:textId="77777777" w:rsidR="009B5D37" w:rsidRDefault="003A526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gain and hypoglycemia</w:t>
            </w:r>
          </w:p>
          <w:p w14:paraId="5ABED276" w14:textId="77777777" w:rsidR="009B5D37" w:rsidRDefault="009B5D37">
            <w:pPr>
              <w:widowControl w:val="0"/>
              <w:spacing w:line="240" w:lineRule="auto"/>
              <w:rPr>
                <w:rFonts w:ascii="Times New Roman" w:eastAsia="Times New Roman" w:hAnsi="Times New Roman" w:cs="Times New Roman"/>
                <w:sz w:val="24"/>
                <w:szCs w:val="24"/>
              </w:rPr>
            </w:pPr>
          </w:p>
        </w:tc>
      </w:tr>
    </w:tbl>
    <w:p w14:paraId="4FF55144" w14:textId="77777777" w:rsidR="00597711" w:rsidRDefault="00597711">
      <w:pPr>
        <w:shd w:val="clear" w:color="auto" w:fill="FFFFFF"/>
        <w:spacing w:before="180" w:after="180" w:line="480" w:lineRule="auto"/>
        <w:jc w:val="center"/>
        <w:rPr>
          <w:rFonts w:ascii="Times New Roman" w:eastAsia="Times New Roman" w:hAnsi="Times New Roman" w:cs="Times New Roman"/>
          <w:b/>
          <w:sz w:val="24"/>
          <w:szCs w:val="24"/>
        </w:rPr>
      </w:pPr>
    </w:p>
    <w:p w14:paraId="113B7659" w14:textId="77777777" w:rsidR="009B5D37" w:rsidRDefault="003A5260">
      <w:pPr>
        <w:shd w:val="clear" w:color="auto" w:fill="FFFFFF"/>
        <w:spacing w:before="180" w:after="18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3137E33D" w14:textId="77777777" w:rsidR="009B5D37" w:rsidRDefault="006A261F">
      <w:pPr>
        <w:widowControl w:val="0"/>
        <w:spacing w:after="320"/>
        <w:rPr>
          <w:rFonts w:ascii="Times New Roman" w:eastAsia="Times New Roman" w:hAnsi="Times New Roman" w:cs="Times New Roman"/>
          <w:sz w:val="24"/>
          <w:szCs w:val="24"/>
        </w:rPr>
      </w:pPr>
      <w:hyperlink r:id="rId19">
        <w:r w:rsidR="003A5260">
          <w:rPr>
            <w:rFonts w:ascii="Times New Roman" w:eastAsia="Times New Roman" w:hAnsi="Times New Roman" w:cs="Times New Roman"/>
            <w:sz w:val="24"/>
            <w:szCs w:val="24"/>
            <w:u w:val="single"/>
          </w:rPr>
          <w:t>https://www.nytimes.com/2015/09/18/business/jardiance-a-diabetes-drug-is-shown-to-reduce-cardiovascular-deaths.html</w:t>
        </w:r>
      </w:hyperlink>
    </w:p>
    <w:p w14:paraId="481569C3" w14:textId="77777777" w:rsidR="009B5D37" w:rsidRDefault="006A261F">
      <w:pPr>
        <w:widowControl w:val="0"/>
        <w:spacing w:after="320"/>
        <w:rPr>
          <w:rFonts w:ascii="Times New Roman" w:eastAsia="Times New Roman" w:hAnsi="Times New Roman" w:cs="Times New Roman"/>
          <w:sz w:val="24"/>
          <w:szCs w:val="24"/>
        </w:rPr>
      </w:pPr>
      <w:hyperlink r:id="rId20">
        <w:r w:rsidR="003A5260">
          <w:rPr>
            <w:rFonts w:ascii="Times New Roman" w:eastAsia="Times New Roman" w:hAnsi="Times New Roman" w:cs="Times New Roman"/>
            <w:sz w:val="24"/>
            <w:szCs w:val="24"/>
            <w:u w:val="single"/>
          </w:rPr>
          <w:t>https://www.fool.com/investing/2018/07/20/eli-lilly-scores-a-win-in-diabetes.aspx</w:t>
        </w:r>
      </w:hyperlink>
    </w:p>
    <w:p w14:paraId="78872611" w14:textId="77777777" w:rsidR="009B5D37" w:rsidRDefault="006A261F">
      <w:pPr>
        <w:widowControl w:val="0"/>
        <w:spacing w:after="320"/>
        <w:rPr>
          <w:rFonts w:ascii="Times New Roman" w:eastAsia="Times New Roman" w:hAnsi="Times New Roman" w:cs="Times New Roman"/>
          <w:sz w:val="24"/>
          <w:szCs w:val="24"/>
        </w:rPr>
      </w:pPr>
      <w:hyperlink r:id="rId21">
        <w:r w:rsidR="003A5260">
          <w:rPr>
            <w:rFonts w:ascii="Times New Roman" w:eastAsia="Times New Roman" w:hAnsi="Times New Roman" w:cs="Times New Roman"/>
            <w:sz w:val="24"/>
            <w:szCs w:val="24"/>
            <w:u w:val="single"/>
          </w:rPr>
          <w:t>https://media.mmm-online.com/documents/38/diabetes_olympics_9328.pdf</w:t>
        </w:r>
      </w:hyperlink>
    </w:p>
    <w:p w14:paraId="73CC5E46" w14:textId="77777777" w:rsidR="009B5D37" w:rsidRDefault="006A261F">
      <w:pPr>
        <w:widowControl w:val="0"/>
        <w:spacing w:after="320"/>
        <w:rPr>
          <w:rFonts w:ascii="Times New Roman" w:eastAsia="Times New Roman" w:hAnsi="Times New Roman" w:cs="Times New Roman"/>
          <w:sz w:val="24"/>
          <w:szCs w:val="24"/>
        </w:rPr>
      </w:pPr>
      <w:hyperlink r:id="rId22">
        <w:r w:rsidR="003A5260">
          <w:rPr>
            <w:rFonts w:ascii="Times New Roman" w:eastAsia="Times New Roman" w:hAnsi="Times New Roman" w:cs="Times New Roman"/>
            <w:sz w:val="24"/>
            <w:szCs w:val="24"/>
            <w:u w:val="single"/>
          </w:rPr>
          <w:t>https://www.fool.com/investing/general/2015/03/21/this-is-why-diabetes-treatment-costs-are-soaring.aspx</w:t>
        </w:r>
      </w:hyperlink>
    </w:p>
    <w:p w14:paraId="02498644" w14:textId="77777777" w:rsidR="009B5D37" w:rsidRDefault="006A261F">
      <w:pPr>
        <w:widowControl w:val="0"/>
        <w:spacing w:after="320"/>
        <w:rPr>
          <w:rFonts w:ascii="Times New Roman" w:eastAsia="Times New Roman" w:hAnsi="Times New Roman" w:cs="Times New Roman"/>
          <w:sz w:val="24"/>
          <w:szCs w:val="24"/>
        </w:rPr>
      </w:pPr>
      <w:hyperlink r:id="rId23" w:anchor="4537253a7c79">
        <w:r w:rsidR="003A5260">
          <w:rPr>
            <w:rFonts w:ascii="Times New Roman" w:eastAsia="Times New Roman" w:hAnsi="Times New Roman" w:cs="Times New Roman"/>
            <w:sz w:val="24"/>
            <w:szCs w:val="24"/>
            <w:u w:val="single"/>
          </w:rPr>
          <w:t>https://www.forbes.com/sites/greatspeculations/2017/05/18/understanding-jjs-risk-from-new-fda-label-warning-for-invokana/#4537253a7c79</w:t>
        </w:r>
      </w:hyperlink>
    </w:p>
    <w:p w14:paraId="59B0824B" w14:textId="77777777" w:rsidR="009B5D37" w:rsidRDefault="006A261F">
      <w:pPr>
        <w:widowControl w:val="0"/>
        <w:spacing w:after="320"/>
        <w:rPr>
          <w:rFonts w:ascii="Times New Roman" w:eastAsia="Times New Roman" w:hAnsi="Times New Roman" w:cs="Times New Roman"/>
          <w:sz w:val="24"/>
          <w:szCs w:val="24"/>
        </w:rPr>
      </w:pPr>
      <w:hyperlink r:id="rId24">
        <w:r w:rsidR="003A5260">
          <w:rPr>
            <w:rFonts w:ascii="Times New Roman" w:eastAsia="Times New Roman" w:hAnsi="Times New Roman" w:cs="Times New Roman"/>
            <w:sz w:val="24"/>
            <w:szCs w:val="24"/>
            <w:u w:val="single"/>
          </w:rPr>
          <w:t>https://www.transparencymarketresearch.com/sglt2-inhibitors-market.html</w:t>
        </w:r>
      </w:hyperlink>
    </w:p>
    <w:p w14:paraId="63835BCD" w14:textId="77777777" w:rsidR="009B5D37" w:rsidRDefault="006A261F">
      <w:pPr>
        <w:widowControl w:val="0"/>
        <w:spacing w:after="320"/>
        <w:rPr>
          <w:rFonts w:ascii="Times New Roman" w:eastAsia="Times New Roman" w:hAnsi="Times New Roman" w:cs="Times New Roman"/>
          <w:sz w:val="24"/>
          <w:szCs w:val="24"/>
        </w:rPr>
      </w:pPr>
      <w:hyperlink r:id="rId25">
        <w:r w:rsidR="003A5260">
          <w:rPr>
            <w:rFonts w:ascii="Times New Roman" w:eastAsia="Times New Roman" w:hAnsi="Times New Roman" w:cs="Times New Roman"/>
            <w:sz w:val="24"/>
            <w:szCs w:val="24"/>
            <w:u w:val="single"/>
          </w:rPr>
          <w:t>https://www.ncbi.nlm.nih.gov/pmc/articles/PMC6028052/</w:t>
        </w:r>
      </w:hyperlink>
    </w:p>
    <w:p w14:paraId="4165AF2C" w14:textId="77777777" w:rsidR="009B5D37" w:rsidRDefault="006A261F">
      <w:pPr>
        <w:widowControl w:val="0"/>
        <w:spacing w:after="320"/>
        <w:rPr>
          <w:rFonts w:ascii="Times New Roman" w:eastAsia="Times New Roman" w:hAnsi="Times New Roman" w:cs="Times New Roman"/>
          <w:sz w:val="24"/>
          <w:szCs w:val="24"/>
        </w:rPr>
      </w:pPr>
      <w:hyperlink r:id="rId26">
        <w:r w:rsidR="003A5260">
          <w:rPr>
            <w:rFonts w:ascii="Times New Roman" w:eastAsia="Times New Roman" w:hAnsi="Times New Roman" w:cs="Times New Roman"/>
            <w:sz w:val="24"/>
            <w:szCs w:val="24"/>
            <w:u w:val="single"/>
          </w:rPr>
          <w:t>https://www.biopharmadive.com/news/astrazeneca-cvd-real-sglt2-diabetes-farxiga/438425/</w:t>
        </w:r>
      </w:hyperlink>
    </w:p>
    <w:p w14:paraId="74FE13CE" w14:textId="77777777" w:rsidR="009B5D37" w:rsidRDefault="006A261F">
      <w:pPr>
        <w:widowControl w:val="0"/>
        <w:spacing w:after="320"/>
        <w:rPr>
          <w:rFonts w:ascii="Times New Roman" w:eastAsia="Times New Roman" w:hAnsi="Times New Roman" w:cs="Times New Roman"/>
          <w:sz w:val="24"/>
          <w:szCs w:val="24"/>
        </w:rPr>
      </w:pPr>
      <w:hyperlink r:id="rId27">
        <w:r w:rsidR="003A5260">
          <w:rPr>
            <w:rFonts w:ascii="Times New Roman" w:eastAsia="Times New Roman" w:hAnsi="Times New Roman" w:cs="Times New Roman"/>
            <w:sz w:val="24"/>
            <w:szCs w:val="24"/>
            <w:u w:val="single"/>
          </w:rPr>
          <w:t>https://www.fiercepharma.com/sales-and-marketing/j-j-s-invokana-fends-off-new-sglt2-rivals-to-hit-278m-q1</w:t>
        </w:r>
      </w:hyperlink>
    </w:p>
    <w:p w14:paraId="524ACA75" w14:textId="77777777" w:rsidR="009B5D37" w:rsidRDefault="006A261F">
      <w:pPr>
        <w:widowControl w:val="0"/>
        <w:spacing w:after="320"/>
        <w:rPr>
          <w:rFonts w:ascii="Times New Roman" w:eastAsia="Times New Roman" w:hAnsi="Times New Roman" w:cs="Times New Roman"/>
          <w:sz w:val="24"/>
          <w:szCs w:val="24"/>
        </w:rPr>
      </w:pPr>
      <w:hyperlink r:id="rId28">
        <w:r w:rsidR="003A5260">
          <w:rPr>
            <w:rFonts w:ascii="Times New Roman" w:eastAsia="Times New Roman" w:hAnsi="Times New Roman" w:cs="Times New Roman"/>
            <w:sz w:val="24"/>
            <w:szCs w:val="24"/>
            <w:u w:val="single"/>
          </w:rPr>
          <w:t>https://www.cdc.gov/diabetes/pdfs/data/statistics/national-diabetes-statistics-report.pdf</w:t>
        </w:r>
      </w:hyperlink>
    </w:p>
    <w:p w14:paraId="1A45D7D4" w14:textId="77777777" w:rsidR="009B5D37" w:rsidRDefault="006A261F">
      <w:pPr>
        <w:widowControl w:val="0"/>
        <w:spacing w:after="320"/>
        <w:rPr>
          <w:rFonts w:ascii="Times New Roman" w:eastAsia="Times New Roman" w:hAnsi="Times New Roman" w:cs="Times New Roman"/>
          <w:sz w:val="24"/>
          <w:szCs w:val="24"/>
        </w:rPr>
      </w:pPr>
      <w:hyperlink r:id="rId29">
        <w:r w:rsidR="003A5260">
          <w:rPr>
            <w:rFonts w:ascii="Times New Roman" w:eastAsia="Times New Roman" w:hAnsi="Times New Roman" w:cs="Times New Roman"/>
            <w:sz w:val="24"/>
            <w:szCs w:val="24"/>
            <w:u w:val="single"/>
          </w:rPr>
          <w:t>https://onlinelibrary.wiley.com/doi/full/10.1111/dom.13294</w:t>
        </w:r>
      </w:hyperlink>
    </w:p>
    <w:p w14:paraId="04759405" w14:textId="77777777" w:rsidR="009B5D37" w:rsidRDefault="006A261F">
      <w:pPr>
        <w:widowControl w:val="0"/>
        <w:spacing w:after="320"/>
        <w:rPr>
          <w:rFonts w:ascii="Times New Roman" w:eastAsia="Times New Roman" w:hAnsi="Times New Roman" w:cs="Times New Roman"/>
          <w:sz w:val="24"/>
          <w:szCs w:val="24"/>
        </w:rPr>
      </w:pPr>
      <w:hyperlink r:id="rId30">
        <w:r w:rsidR="003A5260">
          <w:rPr>
            <w:rFonts w:ascii="Times New Roman" w:eastAsia="Times New Roman" w:hAnsi="Times New Roman" w:cs="Times New Roman"/>
            <w:sz w:val="24"/>
            <w:szCs w:val="24"/>
            <w:u w:val="single"/>
          </w:rPr>
          <w:t>https://www.diabetes.co.uk/diabetes-medication/dpp-4-inhibitors.html</w:t>
        </w:r>
      </w:hyperlink>
    </w:p>
    <w:p w14:paraId="2DBC398B" w14:textId="77777777" w:rsidR="009B5D37" w:rsidRDefault="003A5260">
      <w:pPr>
        <w:widowControl w:val="0"/>
        <w:spacing w:after="320"/>
        <w:rPr>
          <w:rFonts w:ascii="Times New Roman" w:eastAsia="Times New Roman" w:hAnsi="Times New Roman" w:cs="Times New Roman"/>
          <w:sz w:val="24"/>
          <w:szCs w:val="24"/>
          <w:u w:val="single"/>
        </w:rPr>
      </w:pPr>
      <w:r>
        <w:fldChar w:fldCharType="begin"/>
      </w:r>
      <w:r>
        <w:instrText xml:space="preserve"> HYPERLINK "https://www.forbes.com/sites/greatspeculations/2017/05/18/understanding-jjs-risk-from-new-fda-label-warning-for-invokana/#4537253a7c79" </w:instrText>
      </w:r>
      <w:r>
        <w:fldChar w:fldCharType="separate"/>
      </w:r>
    </w:p>
    <w:p w14:paraId="28F8460A" w14:textId="77777777" w:rsidR="009B5D37" w:rsidRDefault="003A5260">
      <w:pPr>
        <w:widowControl w:val="0"/>
        <w:spacing w:after="320"/>
        <w:jc w:val="center"/>
        <w:rPr>
          <w:rFonts w:ascii="Times New Roman" w:eastAsia="Times New Roman" w:hAnsi="Times New Roman" w:cs="Times New Roman"/>
          <w:sz w:val="24"/>
          <w:szCs w:val="24"/>
        </w:rPr>
      </w:pPr>
      <w:r>
        <w:fldChar w:fldCharType="end"/>
      </w:r>
    </w:p>
    <w:p w14:paraId="57A3BE7B" w14:textId="77777777" w:rsidR="009B5D37" w:rsidRDefault="009B5D37">
      <w:pPr>
        <w:widowControl w:val="0"/>
        <w:spacing w:after="320"/>
        <w:jc w:val="center"/>
        <w:rPr>
          <w:rFonts w:ascii="Times New Roman" w:eastAsia="Times New Roman" w:hAnsi="Times New Roman" w:cs="Times New Roman"/>
          <w:sz w:val="28"/>
          <w:szCs w:val="28"/>
        </w:rPr>
      </w:pPr>
    </w:p>
    <w:p w14:paraId="3FCF4E26" w14:textId="77777777" w:rsidR="009B5D37" w:rsidRDefault="009B5D37">
      <w:pPr>
        <w:shd w:val="clear" w:color="auto" w:fill="FFFFFF"/>
        <w:spacing w:before="180" w:after="180"/>
        <w:rPr>
          <w:rFonts w:ascii="Times New Roman" w:eastAsia="Times New Roman" w:hAnsi="Times New Roman" w:cs="Times New Roman"/>
          <w:color w:val="272727"/>
          <w:sz w:val="24"/>
          <w:szCs w:val="24"/>
        </w:rPr>
      </w:pPr>
    </w:p>
    <w:p w14:paraId="0EF5DD00" w14:textId="77777777" w:rsidR="009B5D37" w:rsidRDefault="009B5D37">
      <w:pPr>
        <w:shd w:val="clear" w:color="auto" w:fill="FFFFFF"/>
        <w:spacing w:before="180" w:after="180" w:line="480" w:lineRule="auto"/>
        <w:rPr>
          <w:rFonts w:ascii="Times New Roman" w:eastAsia="Times New Roman" w:hAnsi="Times New Roman" w:cs="Times New Roman"/>
          <w:b/>
          <w:sz w:val="24"/>
          <w:szCs w:val="24"/>
        </w:rPr>
      </w:pPr>
    </w:p>
    <w:sectPr w:rsidR="009B5D37">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D4DBE" w14:textId="77777777" w:rsidR="006A261F" w:rsidRDefault="006A261F">
      <w:pPr>
        <w:spacing w:line="240" w:lineRule="auto"/>
      </w:pPr>
      <w:r>
        <w:separator/>
      </w:r>
    </w:p>
  </w:endnote>
  <w:endnote w:type="continuationSeparator" w:id="0">
    <w:p w14:paraId="1373BDE8" w14:textId="77777777" w:rsidR="006A261F" w:rsidRDefault="006A26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224E1" w14:textId="77777777" w:rsidR="006A261F" w:rsidRDefault="006A261F">
      <w:pPr>
        <w:spacing w:line="240" w:lineRule="auto"/>
      </w:pPr>
      <w:r>
        <w:separator/>
      </w:r>
    </w:p>
  </w:footnote>
  <w:footnote w:type="continuationSeparator" w:id="0">
    <w:p w14:paraId="1528E0DD" w14:textId="77777777" w:rsidR="006A261F" w:rsidRDefault="006A261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EBD1B" w14:textId="77777777" w:rsidR="009B5D37" w:rsidRDefault="009B5D3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37"/>
    <w:rsid w:val="000766A1"/>
    <w:rsid w:val="00125A0A"/>
    <w:rsid w:val="002F0307"/>
    <w:rsid w:val="00386F35"/>
    <w:rsid w:val="003A5260"/>
    <w:rsid w:val="003C04BC"/>
    <w:rsid w:val="00532DCE"/>
    <w:rsid w:val="00597711"/>
    <w:rsid w:val="006A261F"/>
    <w:rsid w:val="009A5099"/>
    <w:rsid w:val="009B5D37"/>
    <w:rsid w:val="00A266CA"/>
    <w:rsid w:val="00A83997"/>
    <w:rsid w:val="00AB311C"/>
    <w:rsid w:val="00C719C9"/>
    <w:rsid w:val="00FB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664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fool.com/investing/2018/07/20/eli-lilly-scores-a-win-in-diabetes.aspx" TargetMode="External"/><Relationship Id="rId21" Type="http://schemas.openxmlformats.org/officeDocument/2006/relationships/hyperlink" Target="https://media.mmm-online.com/documents/38/diabetes_olympics_9328.pdf" TargetMode="External"/><Relationship Id="rId22" Type="http://schemas.openxmlformats.org/officeDocument/2006/relationships/hyperlink" Target="https://www.fool.com/investing/general/2015/03/21/this-is-why-diabetes-treatment-costs-are-soaring.aspx" TargetMode="External"/><Relationship Id="rId23" Type="http://schemas.openxmlformats.org/officeDocument/2006/relationships/hyperlink" Target="https://www.forbes.com/sites/greatspeculations/2017/05/18/understanding-jjs-risk-from-new-fda-label-warning-for-invokana/" TargetMode="External"/><Relationship Id="rId24" Type="http://schemas.openxmlformats.org/officeDocument/2006/relationships/hyperlink" Target="https://www.transparencymarketresearch.com/sglt2-inhibitors-market.html" TargetMode="External"/><Relationship Id="rId25" Type="http://schemas.openxmlformats.org/officeDocument/2006/relationships/hyperlink" Target="https://www.ncbi.nlm.nih.gov/pmc/articles/PMC6028052/" TargetMode="External"/><Relationship Id="rId26" Type="http://schemas.openxmlformats.org/officeDocument/2006/relationships/hyperlink" Target="https://www.biopharmadive.com/news/astrazeneca-cvd-real-sglt2-diabetes-farxiga/438425/" TargetMode="External"/><Relationship Id="rId27" Type="http://schemas.openxmlformats.org/officeDocument/2006/relationships/hyperlink" Target="https://www.fiercepharma.com/sales-and-marketing/j-j-s-invokana-fends-off-new-sglt2-rivals-to-hit-278m-q1" TargetMode="External"/><Relationship Id="rId28" Type="http://schemas.openxmlformats.org/officeDocument/2006/relationships/hyperlink" Target="https://www.cdc.gov/diabetes/pdfs/data/statistics/national-diabetes-statistics-report.pdf" TargetMode="External"/><Relationship Id="rId29" Type="http://schemas.openxmlformats.org/officeDocument/2006/relationships/hyperlink" Target="https://onlinelibrary.wiley.com/doi/full/10.1111/dom.13294"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yperlink" Target="https://www.diabetes.co.uk/diabetes-medication/dpp-4-inhibitors.html" TargetMode="External"/><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www.nytimes.com/2015/09/18/business/jardiance-a-diabetes-drug-is-shown-to-reduce-cardiovascular-death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1993</Words>
  <Characters>11366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2020-03-21T03:32:00Z</dcterms:created>
  <dcterms:modified xsi:type="dcterms:W3CDTF">2020-04-07T20:30:00Z</dcterms:modified>
</cp:coreProperties>
</file>