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PhD Research Questions Roadmap</w:t>
      </w:r>
    </w:p>
    <w:p>
      <w:r>
        <w:rPr>
          <w:i/>
        </w:rPr>
        <w:t>Vision–Language Model Explainability in GI VQA</w:t>
      </w:r>
    </w:p>
    <w:p>
      <w:r>
        <w:t>Generated: 6 February 2026</w:t>
      </w:r>
    </w:p>
    <w:p>
      <w:pPr>
        <w:pStyle w:val="Heading1"/>
      </w:pPr>
      <w:r>
        <w:t>Overview</w:t>
      </w:r>
    </w:p>
    <w:p>
      <w:r>
        <w:t>This roadmap maps a small set of coherent research questions to PhD years, aligned to the research design on multimodal explainability, faithfulness, and safety in medical VQA. Each year lists target questions, core deliverables, and 1–2 publication opportunities.</w:t>
      </w:r>
    </w:p>
    <w:p>
      <w:pPr>
        <w:pStyle w:val="Heading1"/>
      </w:pPr>
      <w:r>
        <w:t>Year 1 — Foundations and Baselines</w:t>
      </w:r>
    </w:p>
    <w:p>
      <w:pPr>
        <w:pStyle w:val="ListBullet"/>
      </w:pPr>
      <w:r>
        <w:t>Research questions</w:t>
      </w:r>
    </w:p>
    <w:p>
      <w:pPr>
        <w:pStyle w:val="ListBullet"/>
      </w:pPr>
      <w:r>
        <w:t>RQ1 (Visual faithfulness): Do VLM visual explanations causally correspond to evidence used in answers on GI VQA? (e.g., deletion tests, saliency vs random ablations)</w:t>
      </w:r>
    </w:p>
    <w:p>
      <w:pPr>
        <w:pStyle w:val="ListBullet"/>
      </w:pPr>
      <w:r>
        <w:t>RQ2 (Language faithfulness): Are textual rationales integrated into decision-making, or are they post‑hoc? (e.g., explanation–answer dependency tests)</w:t>
      </w:r>
    </w:p>
    <w:p>
      <w:pPr>
        <w:pStyle w:val="ListBullet"/>
      </w:pPr>
      <w:r>
        <w:t>Core deliverables</w:t>
      </w:r>
    </w:p>
    <w:p>
      <w:pPr>
        <w:pStyle w:val="ListBullet"/>
      </w:pPr>
      <w:r>
        <w:t>Reproduce baseline VLM performance on Medico 2025 GI VQA.</w:t>
      </w:r>
    </w:p>
    <w:p>
      <w:pPr>
        <w:pStyle w:val="ListBullet"/>
      </w:pPr>
      <w:r>
        <w:t>Extract initial visual and language explanations; implement deletion and rationale perturbation protocols.</w:t>
      </w:r>
    </w:p>
    <w:p>
      <w:pPr>
        <w:pStyle w:val="ListBullet"/>
      </w:pPr>
      <w:r>
        <w:t>Establish bootstrap CI and paired statistical testing templates.</w:t>
      </w:r>
    </w:p>
    <w:p>
      <w:pPr>
        <w:pStyle w:val="ListBullet"/>
      </w:pPr>
      <w:r>
        <w:t>Publication opportunities (sign‑posted)</w:t>
      </w:r>
    </w:p>
    <w:p>
      <w:pPr>
        <w:pStyle w:val="ListBullet"/>
      </w:pPr>
      <w:r>
        <w:t>Short paper or workshop: MICCAI workshop / XAI workshop (early framework + pilot results).</w:t>
      </w:r>
    </w:p>
    <w:p>
      <w:pPr>
        <w:pStyle w:val="ListBullet"/>
      </w:pPr>
      <w:r>
        <w:t>Conference target (late Year 1 / early Year 2): CVPR / ICCV / NeurIPS (faithfulness evaluation).</w:t>
      </w:r>
    </w:p>
    <w:p>
      <w:pPr>
        <w:pStyle w:val="Heading1"/>
      </w:pPr>
      <w:r>
        <w:t>Year 2 — Multimodal Alignment and Causal Stress Tests</w:t>
      </w:r>
    </w:p>
    <w:p>
      <w:pPr>
        <w:pStyle w:val="ListBullet"/>
      </w:pPr>
      <w:r>
        <w:t>Research questions</w:t>
      </w:r>
    </w:p>
    <w:p>
      <w:pPr>
        <w:pStyle w:val="ListBullet"/>
      </w:pPr>
      <w:r>
        <w:t>RQ3 (Cross‑modal consistency): Do explanation tokens (e.g., ‘polyp’, ‘ulcer’) align with the correct visual regions? (token–region grounding precision/recall)</w:t>
      </w:r>
    </w:p>
    <w:p>
      <w:pPr>
        <w:pStyle w:val="ListBullet"/>
      </w:pPr>
      <w:r>
        <w:t>RQ4 (Counterfactual reasoning): Do explanations and answers shift appropriately under visual or textual counterfactuals? (inpainting/removal, attribute swaps)</w:t>
      </w:r>
    </w:p>
    <w:p>
      <w:pPr>
        <w:pStyle w:val="ListBullet"/>
      </w:pPr>
      <w:r>
        <w:t>Core deliverables</w:t>
      </w:r>
    </w:p>
    <w:p>
      <w:pPr>
        <w:pStyle w:val="ListBullet"/>
      </w:pPr>
      <w:r>
        <w:t>Implement token–region grounding metrics using annotated pathology regions.</w:t>
      </w:r>
    </w:p>
    <w:p>
      <w:pPr>
        <w:pStyle w:val="ListBullet"/>
      </w:pPr>
      <w:r>
        <w:t>Build counterfactual pipelines and measure explanation/attention shift.</w:t>
      </w:r>
    </w:p>
    <w:p>
      <w:pPr>
        <w:pStyle w:val="ListBullet"/>
      </w:pPr>
      <w:r>
        <w:t>Ablate explanation supervision, length, and encoder freezing to isolate faithfulness changes.</w:t>
      </w:r>
    </w:p>
    <w:p>
      <w:pPr>
        <w:pStyle w:val="ListBullet"/>
      </w:pPr>
      <w:r>
        <w:t>Publication opportunities (sign‑posted)</w:t>
      </w:r>
    </w:p>
    <w:p>
      <w:pPr>
        <w:pStyle w:val="ListBullet"/>
      </w:pPr>
      <w:r>
        <w:t>Top‑tier conference: NeurIPS / ICML / ICLR (causal and multimodal evaluation).</w:t>
      </w:r>
    </w:p>
    <w:p>
      <w:pPr>
        <w:pStyle w:val="ListBullet"/>
      </w:pPr>
      <w:r>
        <w:t>Medical imaging venue: MICCAI / MedIA special issue (medical VQA explainability).</w:t>
      </w:r>
    </w:p>
    <w:p>
      <w:pPr>
        <w:pStyle w:val="Heading1"/>
      </w:pPr>
      <w:r>
        <w:t>Year 3 — Human‑Centered Safety and Synthesis</w:t>
      </w:r>
    </w:p>
    <w:p>
      <w:pPr>
        <w:pStyle w:val="ListBullet"/>
      </w:pPr>
      <w:r>
        <w:t>Research questions</w:t>
      </w:r>
    </w:p>
    <w:p>
      <w:pPr>
        <w:pStyle w:val="ListBullet"/>
      </w:pPr>
      <w:r>
        <w:t>RQ5 (Human calibration): Do multimodal explanations improve clinician error detection or induce over‑reliance? (mixed‑effects models with clinician random effects)</w:t>
      </w:r>
    </w:p>
    <w:p>
      <w:pPr>
        <w:pStyle w:val="ListBullet"/>
      </w:pPr>
      <w:r>
        <w:t>RQ6 (Failure modes): Under what conditions do explanations become misleading, and can we propose design guidelines for trustworthy multimodal explainability?</w:t>
      </w:r>
    </w:p>
    <w:p>
      <w:pPr>
        <w:pStyle w:val="ListBullet"/>
      </w:pPr>
      <w:r>
        <w:t>Core deliverables</w:t>
      </w:r>
    </w:p>
    <w:p>
      <w:pPr>
        <w:pStyle w:val="ListBullet"/>
      </w:pPr>
      <w:r>
        <w:t>Clinician‑in‑the‑loop study comparing answer‑only vs visual vs multimodal explanations.</w:t>
      </w:r>
    </w:p>
    <w:p>
      <w:pPr>
        <w:pStyle w:val="ListBullet"/>
      </w:pPr>
      <w:r>
        <w:t>Quantify harm cases and produce a taxonomy of multimodal explanation failures.</w:t>
      </w:r>
    </w:p>
    <w:p>
      <w:pPr>
        <w:pStyle w:val="ListBullet"/>
      </w:pPr>
      <w:r>
        <w:t>Synthesize evaluation framework into design principles and thesis chapters.</w:t>
      </w:r>
    </w:p>
    <w:p>
      <w:pPr>
        <w:pStyle w:val="ListBullet"/>
      </w:pPr>
      <w:r>
        <w:t>Publication opportunities (sign‑posted)</w:t>
      </w:r>
    </w:p>
    <w:p>
      <w:pPr>
        <w:pStyle w:val="ListBullet"/>
      </w:pPr>
      <w:r>
        <w:t>Human‑centered venue: CHI / TMI / MedIA (safety and calibration study).</w:t>
      </w:r>
    </w:p>
    <w:p>
      <w:pPr>
        <w:pStyle w:val="ListBullet"/>
      </w:pPr>
      <w:r>
        <w:t>Journal submission: TPAMI / IJCV / Nature Machine Intelligence (synthesis framework).</w:t>
      </w:r>
    </w:p>
    <w:p>
      <w:pPr>
        <w:pStyle w:val="Heading1"/>
      </w:pPr>
      <w:r>
        <w:t>Notes</w:t>
      </w:r>
    </w:p>
    <w:p>
      <w:r>
        <w:t>The research questions are intentionally scoped to keep task accuracy roughly constant while isolating explainability behavior. This preserves causal interpretability claims and supports generalizable ML contributions beyond the medical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