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/>
      </w:pPr>
      <w:r>
        <w:rPr>
          <w:sz w:val="32"/>
          <w:szCs w:val="32"/>
          <w:rtl w:val="0"/>
        </w:rPr>
        <w:t xml:space="preserve">Инструкция по застройке стенда для демонстрационного экзамена по КОД 09.02.06-2026-1</w:t>
      </w:r>
      <w:r>
        <w:rPr>
          <w:rtl w:val="0"/>
        </w:rPr>
      </w:r>
      <w:r/>
    </w:p>
    <w:p>
      <w:pPr>
        <w:pBdr/>
        <w:spacing/>
        <w:ind/>
        <w:jc w:val="center"/>
        <w:rPr/>
      </w:pPr>
      <w:r>
        <w:rPr>
          <w:sz w:val="32"/>
          <w:szCs w:val="32"/>
          <w:rtl w:val="0"/>
        </w:rPr>
        <w:t xml:space="preserve">направления сетевое и системное администрирование</w:t>
      </w:r>
      <w:r>
        <w:rPr>
          <w:rtl w:val="0"/>
        </w:rPr>
      </w:r>
      <w:r/>
    </w:p>
    <w:p>
      <w:pPr>
        <w:pBdr/>
        <w:spacing/>
        <w:ind/>
        <w:jc w:val="center"/>
        <w:rPr>
          <w:b/>
        </w:rPr>
      </w:pPr>
      <w:r>
        <w:rPr>
          <w:b/>
          <w:rtl w:val="0"/>
        </w:rPr>
        <w:t xml:space="preserve">Общие рекомендации</w:t>
      </w:r>
      <w:r>
        <w:rPr>
          <w:b/>
        </w:rPr>
      </w:r>
      <w:r>
        <w:rPr>
          <w:b/>
        </w:rPr>
      </w:r>
    </w:p>
    <w:p>
      <w:pPr>
        <w:pBdr/>
        <w:spacing/>
        <w:ind/>
        <w:jc w:val="left"/>
        <w:rPr/>
      </w:pPr>
      <w:r>
        <w:rPr>
          <w:rtl w:val="0"/>
        </w:rPr>
        <w:t xml:space="preserve">Таблица №1 аппаратные характеристики виртуальных машин</w:t>
      </w:r>
      <w:r/>
    </w:p>
    <w:tbl>
      <w:tblPr>
        <w:tblStyle w:val="896"/>
        <w:tblW w:w="9264" w:type="dxa"/>
        <w:tblInd w:w="-10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4A0" w:firstRow="1" w:lastRow="0" w:firstColumn="1" w:lastColumn="0" w:noHBand="0" w:noVBand="1"/>
      </w:tblPr>
      <w:tblGrid>
        <w:gridCol w:w="1945"/>
        <w:gridCol w:w="1690"/>
        <w:gridCol w:w="1750"/>
        <w:gridCol w:w="1484"/>
        <w:gridCol w:w="2395"/>
        <w:tblGridChange w:id="0">
          <w:tblGrid>
            <w:gridCol w:w="1945"/>
            <w:gridCol w:w="1690"/>
            <w:gridCol w:w="1750"/>
            <w:gridCol w:w="1484"/>
            <w:gridCol w:w="2395"/>
          </w:tblGrid>
        </w:tblGridChange>
      </w:tblGrid>
      <w:tr>
        <w:trPr>
          <w:cantSplit w:val="false"/>
          <w:trHeight w:val="885"/>
        </w:trPr>
        <w:tc>
          <w:tcPr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331" w:lineRule="auto"/>
              <w:ind w:right="0" w:firstLine="0" w:left="16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u w:val="none"/>
                <w:rtl w:val="0"/>
              </w:rPr>
              <w:t xml:space="preserve">Имя виртуальной машины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331" w:lineRule="auto"/>
              <w:ind w:right="0" w:firstLine="0" w:left="16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u w:val="none"/>
                <w:rtl w:val="0"/>
              </w:rPr>
              <w:t xml:space="preserve">Оперативная память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331" w:lineRule="auto"/>
              <w:ind w:right="0" w:firstLine="0" w:left="16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u w:val="none"/>
                <w:rtl w:val="0"/>
              </w:rPr>
              <w:t xml:space="preserve">Центральный процессор, ядер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331" w:lineRule="auto"/>
              <w:ind w:right="0" w:firstLine="0" w:left="16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u w:val="none"/>
                <w:rtl w:val="0"/>
              </w:rPr>
              <w:t xml:space="preserve">Накопитель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331" w:lineRule="auto"/>
              <w:ind w:right="0" w:firstLine="0" w:left="16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u w:val="none"/>
                <w:rtl w:val="0"/>
              </w:rPr>
              <w:t xml:space="preserve">Операционная система</w:t>
            </w:r>
            <w:r>
              <w:rPr>
                <w:rtl w:val="0"/>
              </w:rPr>
            </w:r>
            <w:r/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331" w:lineRule="auto"/>
              <w:ind w:right="0" w:firstLine="0" w:left="-56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u w:val="none"/>
                <w:rtl w:val="0"/>
              </w:rPr>
              <w:t xml:space="preserve"> 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331" w:lineRule="auto"/>
              <w:ind w:right="0" w:firstLine="0" w:left="16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</w:rPr>
              <w:t xml:space="preserve">ISP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331" w:lineRule="auto"/>
              <w:ind w:right="0" w:firstLine="0" w:left="16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</w:rPr>
              <w:t xml:space="preserve">1 Гб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331" w:lineRule="auto"/>
              <w:ind w:right="0" w:firstLine="0" w:left="16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</w:rPr>
              <w:t xml:space="preserve">1 ядро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331" w:lineRule="auto"/>
              <w:ind w:right="0" w:firstLine="0" w:left="16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</w:rPr>
              <w:t xml:space="preserve">5 Гб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331" w:lineRule="auto"/>
              <w:ind w:right="0" w:firstLine="0" w:left="16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</w:rPr>
              <w:t xml:space="preserve">Дистрибутив Альт JeOS или аналог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2025"/>
        </w:trPr>
        <w:tc>
          <w:tcPr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331" w:lineRule="auto"/>
              <w:ind w:right="0" w:firstLine="0" w:left="16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</w:rPr>
              <w:t xml:space="preserve">HQ-RTR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331" w:lineRule="auto"/>
              <w:ind w:right="0" w:firstLine="0" w:left="16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</w:rPr>
              <w:t xml:space="preserve">4 Гб в случае использования EcoRouter</w:t>
            </w:r>
            <w:r>
              <w:rPr>
                <w:rtl w:val="0"/>
              </w:rPr>
            </w:r>
            <w:r/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331" w:lineRule="auto"/>
              <w:ind w:right="0" w:firstLine="0" w:left="16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</w:rPr>
              <w:t xml:space="preserve">1 Гб в случае использования дистрибутива Linux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331" w:lineRule="auto"/>
              <w:ind w:right="0" w:firstLine="0" w:left="16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</w:rPr>
              <w:t xml:space="preserve">4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  <w:lang w:val="ru-RU"/>
              </w:rPr>
              <w:t xml:space="preserve">ядра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</w:rPr>
              <w:t xml:space="preserve"> в случае использования EcoRouter</w:t>
            </w:r>
            <w:r>
              <w:rPr>
                <w:rtl w:val="0"/>
              </w:rPr>
            </w:r>
            <w:r/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331" w:lineRule="auto"/>
              <w:ind w:right="0" w:firstLine="0" w:left="16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</w:rPr>
              <w:t xml:space="preserve">1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  <w:lang w:val="ru-RU"/>
              </w:rPr>
              <w:t xml:space="preserve">ядро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</w:rPr>
              <w:t xml:space="preserve"> в случае использования дистрибутива Linux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331" w:lineRule="auto"/>
              <w:ind w:right="0" w:firstLine="0" w:left="16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</w:rPr>
              <w:t xml:space="preserve">10 Гб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331" w:lineRule="auto"/>
              <w:ind w:right="0" w:firstLine="0" w:left="16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</w:rPr>
              <w:t xml:space="preserve">ОС EcoRouter, в случае невозможности использования EcoRouter дистрибутив Альт JeOS или аналог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2025"/>
        </w:trPr>
        <w:tc>
          <w:tcPr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331" w:lineRule="auto"/>
              <w:ind w:right="0" w:firstLine="0" w:left="16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</w:rPr>
              <w:t xml:space="preserve">BR-RTR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331" w:lineRule="auto"/>
              <w:ind w:right="0" w:firstLine="0" w:left="16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</w:rPr>
              <w:t xml:space="preserve">4 Гб в случае использования EcoRouter</w:t>
            </w:r>
            <w:r>
              <w:rPr>
                <w:rtl w:val="0"/>
              </w:rPr>
            </w:r>
            <w:r/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331" w:lineRule="auto"/>
              <w:ind w:right="0" w:firstLine="0" w:left="16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</w:rPr>
              <w:t xml:space="preserve">1 Гб в случае использования дистрибутива Linux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331" w:lineRule="auto"/>
              <w:ind w:right="0" w:firstLine="0" w:left="16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</w:rPr>
              <w:t xml:space="preserve">4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  <w:lang w:val="ru-RU"/>
              </w:rPr>
              <w:t xml:space="preserve">ядра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</w:rPr>
              <w:t xml:space="preserve"> в случае использования EcoRouter</w:t>
            </w:r>
            <w:r>
              <w:rPr>
                <w:rtl w:val="0"/>
              </w:rPr>
            </w:r>
            <w:r/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331" w:lineRule="auto"/>
              <w:ind w:right="0" w:firstLine="0" w:left="16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</w:rPr>
              <w:t xml:space="preserve">1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  <w:lang w:val="ru-RU"/>
              </w:rPr>
              <w:t xml:space="preserve">ядро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</w:rPr>
              <w:t xml:space="preserve"> в случае использования дистрибутива Linux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331" w:lineRule="auto"/>
              <w:ind w:right="0" w:firstLine="0" w:left="16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</w:rPr>
              <w:t xml:space="preserve">10 Гб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331" w:lineRule="auto"/>
              <w:ind w:right="0" w:firstLine="0" w:left="16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</w:rPr>
              <w:t xml:space="preserve">ОС EcoRouter, в случае невозможности использования EcoRouter дистрибутив Альт JeOS или аналог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885"/>
        </w:trPr>
        <w:tc>
          <w:tcPr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331" w:lineRule="auto"/>
              <w:ind w:right="0" w:firstLine="0" w:left="16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</w:rPr>
              <w:t xml:space="preserve">HQ-SRV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331" w:lineRule="auto"/>
              <w:ind w:right="0" w:firstLine="0" w:left="16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</w:rPr>
              <w:t xml:space="preserve">2 Гб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331" w:lineRule="auto"/>
              <w:ind w:right="0" w:firstLine="0" w:left="16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</w:rPr>
              <w:t xml:space="preserve">1 ядро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331" w:lineRule="auto"/>
              <w:ind w:right="0" w:firstLine="0" w:left="16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</w:rPr>
              <w:t xml:space="preserve">10 Гб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331" w:lineRule="auto"/>
              <w:ind w:right="0" w:firstLine="0" w:left="16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</w:rPr>
              <w:t xml:space="preserve">Дистрибутив АльтЛинукс сервер или аналог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885"/>
        </w:trPr>
        <w:tc>
          <w:tcPr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331" w:lineRule="auto"/>
              <w:ind w:right="0" w:firstLine="0" w:left="16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</w:rPr>
              <w:t xml:space="preserve">BR-SRV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331" w:lineRule="auto"/>
              <w:ind w:right="0" w:firstLine="0" w:left="16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</w:rPr>
              <w:t xml:space="preserve">2 Гб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331" w:lineRule="auto"/>
              <w:ind w:right="0" w:firstLine="0" w:left="16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</w:rPr>
              <w:t xml:space="preserve">1 ядро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331" w:lineRule="auto"/>
              <w:ind w:right="0" w:firstLine="0" w:left="16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</w:rPr>
              <w:t xml:space="preserve">10 Гб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331" w:lineRule="auto"/>
              <w:ind w:right="0" w:firstLine="0" w:left="16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</w:rPr>
              <w:t xml:space="preserve">Дистрибутив АльтЛинукс сервер или аналог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885"/>
        </w:trPr>
        <w:tc>
          <w:tcPr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331" w:lineRule="auto"/>
              <w:ind w:right="0" w:firstLine="0" w:left="16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</w:rPr>
              <w:t xml:space="preserve">HQ-CLI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331" w:lineRule="auto"/>
              <w:ind w:right="0" w:firstLine="0" w:left="16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</w:rPr>
              <w:t xml:space="preserve">2 Гб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331" w:lineRule="auto"/>
              <w:ind w:right="0" w:firstLine="0" w:left="16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</w:rPr>
              <w:t xml:space="preserve">2 ядра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331" w:lineRule="auto"/>
              <w:ind w:right="0" w:firstLine="0" w:left="16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</w:rPr>
              <w:t xml:space="preserve">15 Гб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331" w:lineRule="auto"/>
              <w:ind w:right="0" w:firstLine="0" w:left="16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</w:rPr>
              <w:t xml:space="preserve">Дистрибутив АльтЛинукс рабочая станция или аналог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1455"/>
        </w:trPr>
        <w:tc>
          <w:tcPr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331" w:lineRule="auto"/>
              <w:ind w:right="0" w:firstLine="0" w:left="16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</w:rPr>
              <w:t xml:space="preserve">Итого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331" w:lineRule="auto"/>
              <w:ind w:right="0" w:firstLine="0" w:left="16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</w:rPr>
              <w:t xml:space="preserve">15 (9 в случае использования дистрибутива АльтЛинукс или аналога)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331" w:lineRule="auto"/>
              <w:ind w:right="0" w:firstLine="0" w:left="16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</w:rPr>
              <w:t xml:space="preserve">13 (7 в случае использования дистрибутива АльтЛинукс или аналога)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331" w:lineRule="auto"/>
              <w:ind w:right="0" w:firstLine="0" w:left="16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</w:rPr>
              <w:t xml:space="preserve">60 Гб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331" w:lineRule="auto"/>
              <w:ind w:right="0" w:firstLine="0" w:left="16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</w:rPr>
              <w:t xml:space="preserve"> </w:t>
            </w:r>
            <w:r>
              <w:rPr>
                <w:rtl w:val="0"/>
              </w:rPr>
            </w:r>
            <w:r/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331" w:lineRule="auto"/>
              <w:ind w:right="0" w:firstLine="0" w:left="16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</w:rPr>
              <w:t xml:space="preserve"> </w:t>
            </w:r>
            <w:r>
              <w:rPr>
                <w:rtl w:val="0"/>
              </w:rPr>
            </w:r>
            <w:r/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331" w:lineRule="auto"/>
              <w:ind w:right="0" w:firstLine="0" w:left="16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</w:rPr>
              <w:t xml:space="preserve">-</w:t>
            </w:r>
            <w:r>
              <w:rPr>
                <w:rtl w:val="0"/>
              </w:rPr>
            </w:r>
            <w:r/>
          </w:p>
        </w:tc>
      </w:tr>
    </w:tbl>
    <w:p>
      <w:pPr>
        <w:pBdr/>
        <w:tabs>
          <w:tab w:val="left" w:leader="none" w:pos="1134"/>
        </w:tabs>
        <w:spacing w:line="360" w:lineRule="auto"/>
        <w:ind/>
        <w:rPr>
          <w:sz w:val="28"/>
          <w:szCs w:val="28"/>
        </w:rPr>
      </w:pPr>
      <w:r>
        <w:rPr>
          <w:rtl w:val="0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left" w:leader="none" w:pos="1134"/>
        </w:tabs>
        <w:spacing w:line="360" w:lineRule="auto"/>
        <w:ind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При использовании программного маршрутизатора Ecorouter крайне рекомендуется выделить 4 ГБ оперативной памяти и 4 виртуальных ядра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1134"/>
        </w:tabs>
        <w:spacing w:line="360" w:lineRule="auto"/>
        <w:ind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Для виртуальных накопите</w:t>
      </w:r>
      <w:r>
        <w:rPr>
          <w:sz w:val="24"/>
          <w:szCs w:val="24"/>
          <w:rtl w:val="0"/>
        </w:rPr>
        <w:t xml:space="preserve">лей рекомендуется использование формата копирование-при-записи(qcow2) или аналогичный, реальный объём дискового пространства будет меньше, в особенности при применении компрессии в утилите virt-sparsify при предварительный обработке накопителей шаблонов ОС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1134"/>
        </w:tabs>
        <w:spacing w:line="360" w:lineRule="auto"/>
        <w:ind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Рекомендуется учесть, что оперативная память потребляется виртуальными машинами гораздо сильнее чем ядра процессора, и по возможности выбирать объём из рекомендуемых параметров таблицы №1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1134"/>
        </w:tabs>
        <w:spacing w:line="360" w:lineRule="auto"/>
        <w:ind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При установке операционных систем, при разбиении дисков, рекомендуется выделить директорию /var/log в отдельный раздел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b/>
        </w:rPr>
      </w:pPr>
      <w:r>
        <w:rPr>
          <w:rtl w:val="0"/>
        </w:rPr>
      </w:r>
      <w:r>
        <w:rPr>
          <w:b/>
        </w:rPr>
      </w:r>
      <w:r>
        <w:rPr>
          <w:b/>
        </w:rPr>
      </w:r>
    </w:p>
    <w:p>
      <w:pPr>
        <w:pBdr/>
        <w:spacing/>
        <w:ind/>
        <w:jc w:val="center"/>
        <w:rPr/>
      </w:pPr>
      <w:r>
        <w:rPr>
          <w:b/>
          <w:rtl w:val="0"/>
        </w:rPr>
        <w:t xml:space="preserve">Застройка стендов участников</w:t>
      </w:r>
      <w:r>
        <w:rPr>
          <w:rtl w:val="0"/>
        </w:rPr>
      </w:r>
      <w:r/>
    </w:p>
    <w:p>
      <w:pPr>
        <w:pBdr/>
        <w:spacing/>
        <w:ind/>
        <w:jc w:val="left"/>
        <w:rPr/>
      </w:pPr>
      <w:r>
        <w:rPr>
          <w:rtl w:val="0"/>
        </w:rPr>
        <w:t xml:space="preserve">Рекомендуемые действия и лист проверки технического эксперта площадки сетевое и системное администрирование в </w:t>
      </w:r>
      <w:r>
        <w:rPr>
          <w:b/>
          <w:rtl w:val="0"/>
        </w:rPr>
        <w:t xml:space="preserve">проверочном листе 1</w:t>
      </w:r>
      <w:r>
        <w:rPr>
          <w:rtl w:val="0"/>
        </w:rPr>
      </w:r>
      <w:r/>
    </w:p>
    <w:p>
      <w:pPr>
        <w:pBdr/>
        <w:spacing/>
        <w:ind/>
        <w:jc w:val="left"/>
        <w:rPr/>
      </w:pPr>
      <w:r>
        <w:rPr>
          <w:rtl w:val="0"/>
        </w:rPr>
        <w:t xml:space="preserve">Аппаратное обеспечение в соответствии с таблицей 10, разделом 3 пунктом 1</w:t>
      </w:r>
      <w:r/>
    </w:p>
    <w:p>
      <w:pPr>
        <w:pBdr/>
        <w:spacing/>
        <w:ind/>
        <w:jc w:val="left"/>
        <w:rPr/>
      </w:pPr>
      <w:r>
        <w:rPr>
          <w:rtl w:val="0"/>
        </w:rPr>
        <w:t xml:space="preserve">На одно рабочее место участника: 8 ядер ЦП, 10 ГБ ОП, крайне рекомендуется твердотельный накопитель, обеспечивающий линейное чтение от 450МБ/с, скорость сетевого адаптера от 1Гб</w:t>
      </w:r>
      <w:r>
        <w:rPr>
          <w:rtl w:val="0"/>
        </w:rPr>
        <w:t xml:space="preserve">/с. При кластерном подходе к застройке площадки ядра ЦП и объём ОП нод складываются. Рекомендуется учесть 20% запас мощностей. Рекомендуется использование источников бесперебойного питания с исправной батареей на случай кратковременных сбоев электропитания</w:t>
      </w:r>
      <w:r/>
    </w:p>
    <w:p>
      <w:pPr>
        <w:pBdr/>
        <w:spacing/>
        <w:ind/>
        <w:jc w:val="left"/>
        <w:rPr/>
      </w:pPr>
      <w:r>
        <w:rPr>
          <w:rtl w:val="0"/>
        </w:rPr>
        <w:t xml:space="preserve">Программное обеспечение в соответствии с таблицей 10, разделом 3 пунктом 8</w:t>
      </w:r>
      <w:r/>
    </w:p>
    <w:p>
      <w:pPr>
        <w:pBdr/>
        <w:spacing/>
        <w:ind/>
        <w:jc w:val="left"/>
        <w:rPr/>
      </w:pPr>
      <w:r>
        <w:rPr>
          <w:rtl w:val="0"/>
        </w:rPr>
        <w:t xml:space="preserve">Рекомендуемые решения:</w:t>
      </w:r>
      <w:r/>
    </w:p>
    <w:p>
      <w:pPr>
        <w:numPr>
          <w:ilvl w:val="0"/>
          <w:numId w:val="1"/>
        </w:numPr>
        <w:pBdr/>
        <w:spacing/>
        <w:ind w:hanging="360" w:left="720"/>
        <w:jc w:val="left"/>
        <w:rPr/>
      </w:pPr>
      <w:r>
        <w:rPr>
          <w:rtl w:val="0"/>
        </w:rPr>
        <w:t xml:space="preserve">АльтСервер Виртуализация или аналог</w:t>
      </w:r>
      <w:r/>
    </w:p>
    <w:p>
      <w:pPr>
        <w:numPr>
          <w:ilvl w:val="0"/>
          <w:numId w:val="1"/>
        </w:numPr>
        <w:pBdr/>
        <w:spacing/>
        <w:ind w:hanging="360" w:left="720"/>
        <w:jc w:val="left"/>
        <w:rPr/>
      </w:pPr>
      <w:r>
        <w:rPr>
          <w:rtl w:val="0"/>
        </w:rPr>
        <w:t xml:space="preserve">РедОС Виртуализация или аналог</w:t>
      </w:r>
      <w:r/>
    </w:p>
    <w:p>
      <w:pPr>
        <w:numPr>
          <w:ilvl w:val="0"/>
          <w:numId w:val="1"/>
        </w:numPr>
        <w:pBdr/>
        <w:spacing/>
        <w:ind w:hanging="360" w:left="720"/>
        <w:jc w:val="left"/>
        <w:rPr/>
      </w:pPr>
      <w:r>
        <w:rPr>
          <w:rtl w:val="0"/>
        </w:rPr>
        <w:t xml:space="preserve">Средство виртуализации «Брест», Астра или аналог</w:t>
      </w:r>
      <w:r/>
    </w:p>
    <w:p>
      <w:pPr>
        <w:numPr>
          <w:ilvl w:val="0"/>
          <w:numId w:val="1"/>
        </w:numPr>
        <w:pBdr/>
        <w:spacing/>
        <w:ind w:hanging="360" w:left="720"/>
        <w:jc w:val="left"/>
        <w:rPr/>
      </w:pPr>
      <w:r>
        <w:rPr>
          <w:rtl w:val="0"/>
        </w:rPr>
        <w:t xml:space="preserve">Другие решения на базе qemu/kvm или других технологий, рекомендуемые и протестированные на предмет работоспособности, стабильности и выполнимости задания ответственными лицами от застройщика площадки</w:t>
      </w:r>
      <w:r/>
    </w:p>
    <w:p>
      <w:pPr>
        <w:pBdr/>
        <w:spacing/>
        <w:ind/>
        <w:jc w:val="left"/>
        <w:rPr/>
      </w:pPr>
      <w:r>
        <w:rPr>
          <w:rtl w:val="0"/>
        </w:rPr>
        <w:t xml:space="preserve">Рекомендации:</w:t>
      </w:r>
      <w:r/>
    </w:p>
    <w:p>
      <w:pPr>
        <w:numPr>
          <w:ilvl w:val="0"/>
          <w:numId w:val="2"/>
        </w:numPr>
        <w:pBdr/>
        <w:spacing/>
        <w:ind w:hanging="360" w:left="720"/>
        <w:jc w:val="left"/>
        <w:rPr/>
      </w:pPr>
      <w:r>
        <w:rPr>
          <w:rtl w:val="0"/>
        </w:rPr>
        <w:t xml:space="preserve">Необходимо обеспечить полную логическую изоляцию стендов участников друг от друга</w:t>
      </w:r>
      <w:r/>
    </w:p>
    <w:p>
      <w:pPr>
        <w:numPr>
          <w:ilvl w:val="0"/>
          <w:numId w:val="2"/>
        </w:numPr>
        <w:pBdr/>
        <w:spacing/>
        <w:ind w:hanging="360" w:left="720"/>
        <w:jc w:val="left"/>
        <w:rPr/>
      </w:pPr>
      <w:r>
        <w:rPr>
          <w:rtl w:val="0"/>
        </w:rPr>
        <w:t xml:space="preserve">Крайне рекомендуется настроить квотирование ресурсов(нагрузка на стенд одного участника не должны повлиять на стенды других участников, особенно в части ЦП, ОП, хранилища и сети)</w:t>
      </w:r>
      <w:r/>
    </w:p>
    <w:p>
      <w:pPr>
        <w:numPr>
          <w:ilvl w:val="0"/>
          <w:numId w:val="2"/>
        </w:numPr>
        <w:pBdr/>
        <w:spacing/>
        <w:ind w:hanging="360" w:left="720"/>
        <w:jc w:val="left"/>
        <w:rPr/>
      </w:pPr>
      <w:r>
        <w:rPr>
          <w:rtl w:val="0"/>
        </w:rPr>
        <w:t xml:space="preserve">Рекомендуется заблаговременное нагрузочное тестирование площадки с 20% запасом(в случае застройки 10 рабочих мест тестировать на 12 рабочих мест с одновременным выполнением задания)</w:t>
      </w:r>
      <w:r/>
    </w:p>
    <w:p>
      <w:pPr>
        <w:numPr>
          <w:ilvl w:val="0"/>
          <w:numId w:val="2"/>
        </w:numPr>
        <w:pBdr/>
        <w:spacing/>
        <w:ind w:hanging="360" w:left="720"/>
        <w:jc w:val="left"/>
        <w:rPr/>
      </w:pPr>
      <w:r>
        <w:rPr>
          <w:rtl w:val="0"/>
        </w:rPr>
        <w:t xml:space="preserve">Рекомендуется генерация паролей учётных записей, последующая проверка на корректность и функциональность</w:t>
      </w:r>
      <w:r/>
    </w:p>
    <w:p>
      <w:pPr>
        <w:numPr>
          <w:ilvl w:val="0"/>
          <w:numId w:val="2"/>
        </w:numPr>
        <w:pBdr/>
        <w:spacing/>
        <w:ind w:hanging="360" w:left="720"/>
        <w:jc w:val="left"/>
        <w:rPr/>
      </w:pPr>
      <w:r>
        <w:rPr>
          <w:rtl w:val="0"/>
        </w:rPr>
        <w:t xml:space="preserve">Блокировка внешних подключений к решению визуализации на время выполнения участниками задания и проведение экспертной оценки</w:t>
      </w:r>
      <w:r/>
    </w:p>
    <w:p>
      <w:pPr>
        <w:numPr>
          <w:ilvl w:val="0"/>
          <w:numId w:val="2"/>
        </w:numPr>
        <w:pBdr/>
        <w:spacing/>
        <w:ind w:hanging="360" w:left="720"/>
        <w:jc w:val="left"/>
        <w:rPr/>
      </w:pPr>
      <w:r>
        <w:rPr>
          <w:rtl w:val="0"/>
        </w:rPr>
        <w:t xml:space="preserve">Блокировка учётных записей участников после проведения экспертной оценки</w:t>
      </w:r>
      <w:r/>
    </w:p>
    <w:p>
      <w:pPr>
        <w:pBdr/>
        <w:spacing/>
        <w:ind/>
        <w:jc w:val="left"/>
        <w:rPr/>
      </w:pPr>
      <w:r>
        <w:rPr>
          <w:rtl w:val="0"/>
        </w:rPr>
      </w:r>
      <w:r/>
    </w:p>
    <w:p>
      <w:pPr>
        <w:pBdr/>
        <w:spacing/>
        <w:ind/>
        <w:jc w:val="left"/>
        <w:rPr/>
      </w:pPr>
      <w:r>
        <w:rPr>
          <w:rtl w:val="0"/>
        </w:rPr>
        <w:t xml:space="preserve">При проведении ДЭ ПА, участники выполняют задание модуля 1 в соответствии с таблицей 12, стенд при этом застраивается в соответствии с топологией модуля 1.</w:t>
      </w:r>
      <w:r/>
    </w:p>
    <w:p>
      <w:pPr>
        <w:pBdr/>
        <w:spacing/>
        <w:ind/>
        <w:jc w:val="left"/>
        <w:rPr/>
      </w:pPr>
      <w:r>
        <w:rPr>
          <w:rtl w:val="0"/>
        </w:rPr>
      </w:r>
      <w:r/>
    </w:p>
    <w:p>
      <w:pPr>
        <w:pBdr/>
        <w:spacing/>
        <w:ind/>
        <w:jc w:val="left"/>
        <w:rPr/>
      </w:pPr>
      <w:r>
        <w:rPr>
          <w:rtl w:val="0"/>
        </w:rPr>
        <w:t xml:space="preserve">При проведении ДЭ БУ. ДЭ ПУи, ДЭ ПУв,</w:t>
      </w:r>
      <w:r>
        <w:rPr>
          <w:rtl w:val="0"/>
        </w:rPr>
        <w:t xml:space="preserve"> после выполнения участниками модуля 1 участникам необходимо остановить виртуальные машины относящиеся к модулю 1, и запустить виртуальные машины модулей 2 и 3. Рекомендуется настроить две учётные записи участникам, одну для модуля 1, одну для модуля 2 и 3</w:t>
      </w:r>
      <w:r/>
    </w:p>
    <w:p>
      <w:pPr>
        <w:pBdr/>
        <w:spacing/>
        <w:ind/>
        <w:jc w:val="left"/>
        <w:rPr/>
      </w:pPr>
      <w:r>
        <w:rPr>
          <w:rtl w:val="0"/>
        </w:rPr>
      </w:r>
      <w:r/>
    </w:p>
    <w:p>
      <w:pPr>
        <w:pBdr/>
        <w:spacing/>
        <w:ind/>
        <w:jc w:val="left"/>
        <w:rPr/>
      </w:pPr>
      <w:r>
        <w:rPr>
          <w:rtl w:val="0"/>
        </w:rPr>
        <w:t xml:space="preserve">Стенд при этом застраивается следующим образом:</w:t>
      </w:r>
      <w:r/>
    </w:p>
    <w:p>
      <w:pPr>
        <w:pBdr/>
        <w:spacing/>
        <w:ind/>
        <w:jc w:val="left"/>
        <w:rPr/>
      </w:pPr>
      <w:r>
        <w:rPr>
          <w:rtl w:val="0"/>
        </w:rPr>
        <w:t xml:space="preserve">В начале ДЭ для выполнения модуля 1, в качестве преднастройки используются виртуальные машины, с установленной операционной системой, но без настроенных параметров</w:t>
      </w:r>
      <w:r/>
    </w:p>
    <w:p>
      <w:pPr>
        <w:pBdr/>
        <w:spacing/>
        <w:ind/>
        <w:jc w:val="left"/>
        <w:rPr/>
      </w:pPr>
      <w:r>
        <w:rPr>
          <w:rtl w:val="0"/>
        </w:rPr>
        <w:t xml:space="preserve">После выполнения модуля 1, участник выключает виртуальные машины относящиеся к модулю 1, и запускает виртуальные машины относящиеся к модулю 2, которые кро</w:t>
      </w:r>
      <w:r>
        <w:rPr>
          <w:rtl w:val="0"/>
        </w:rPr>
        <w:t xml:space="preserve">ме установленных операционных систем имеют ещё дополнительно настроенную адресацию, сетевую трансляцию, действующий туннель, действующую динамическую маршрутизацию, созданных пользователей, настроенные службы dns и dhcp в соответствии с заданием модуля 2. </w:t>
      </w:r>
      <w:r/>
    </w:p>
    <w:p>
      <w:pPr>
        <w:pBdr/>
        <w:spacing/>
        <w:ind/>
        <w:jc w:val="left"/>
        <w:rPr/>
      </w:pPr>
      <w:r>
        <w:rPr>
          <w:rtl w:val="0"/>
        </w:rPr>
        <w:t xml:space="preserve">Настройка производится и проверяется техническим экспертом площадки. Проверка производится в соответствии с </w:t>
      </w:r>
      <w:r>
        <w:rPr>
          <w:b/>
          <w:rtl w:val="0"/>
        </w:rPr>
        <w:t xml:space="preserve">проверочным листом 2</w:t>
      </w:r>
      <w:r>
        <w:rPr>
          <w:rtl w:val="0"/>
        </w:rPr>
      </w:r>
      <w:r/>
    </w:p>
    <w:p>
      <w:pPr>
        <w:pBdr/>
        <w:spacing/>
        <w:ind/>
        <w:jc w:val="left"/>
        <w:rPr/>
      </w:pPr>
      <w:r>
        <w:rPr>
          <w:rtl w:val="0"/>
        </w:rPr>
      </w:r>
      <w:r/>
    </w:p>
    <w:p>
      <w:pPr>
        <w:pBdr/>
        <w:spacing/>
        <w:ind/>
        <w:jc w:val="center"/>
        <w:rPr/>
      </w:pPr>
      <w:r>
        <w:rPr>
          <w:b/>
          <w:rtl w:val="0"/>
        </w:rPr>
        <w:t xml:space="preserve">Застройка рабочих мест участников</w:t>
      </w:r>
      <w:r>
        <w:rPr>
          <w:rtl w:val="0"/>
        </w:rPr>
      </w:r>
      <w:r/>
    </w:p>
    <w:p>
      <w:pPr>
        <w:pBdr/>
        <w:spacing/>
        <w:ind/>
        <w:jc w:val="left"/>
        <w:rPr/>
      </w:pPr>
      <w:r>
        <w:rPr>
          <w:rtl w:val="0"/>
        </w:rPr>
        <w:t xml:space="preserve">Аппаратное обеспечение в соответствии с таблицей 10, разделом 2 пунктом 3</w:t>
      </w:r>
      <w:r/>
    </w:p>
    <w:p>
      <w:pPr>
        <w:pBdr/>
        <w:spacing/>
        <w:ind/>
        <w:jc w:val="left"/>
        <w:rPr/>
      </w:pPr>
      <w:r>
        <w:rPr>
          <w:rtl w:val="0"/>
        </w:rPr>
        <w:t xml:space="preserve">Рекомендации для обеспечения комфортного режима работы: 4-8 ядерный ЦП, 8Гб ОП с частотой от 2,6ГГц, твердотельный накопитель</w:t>
      </w:r>
      <w:r/>
    </w:p>
    <w:p>
      <w:pPr>
        <w:pBdr/>
        <w:spacing/>
        <w:ind/>
        <w:jc w:val="left"/>
        <w:rPr/>
      </w:pPr>
      <w:r>
        <w:rPr>
          <w:rtl w:val="0"/>
        </w:rPr>
        <w:t xml:space="preserve">Программное обеспечение в соответствии с таблицей 10, разделом 2 пунктом 4</w:t>
      </w:r>
      <w:r/>
    </w:p>
    <w:p>
      <w:pPr>
        <w:pBdr/>
        <w:spacing/>
        <w:ind/>
        <w:jc w:val="left"/>
        <w:rPr/>
      </w:pPr>
      <w:r>
        <w:rPr>
          <w:rtl w:val="0"/>
        </w:rPr>
        <w:t xml:space="preserve">Рекомендуемые действия и лист проверки технического эксперта площадки сетевое и системное администрирование в </w:t>
      </w:r>
      <w:r>
        <w:rPr>
          <w:b/>
          <w:rtl w:val="0"/>
        </w:rPr>
        <w:t xml:space="preserve">проверочном листе 3</w:t>
      </w:r>
      <w:r>
        <w:rPr>
          <w:rtl w:val="0"/>
        </w:rPr>
      </w:r>
      <w:r/>
    </w:p>
    <w:p>
      <w:pPr>
        <w:pBdr/>
        <w:spacing/>
        <w:ind/>
        <w:jc w:val="left"/>
        <w:rPr/>
      </w:pPr>
      <w:r>
        <w:rPr>
          <w:rtl w:val="0"/>
        </w:rPr>
      </w:r>
      <w:r/>
    </w:p>
    <w:p>
      <w:pPr>
        <w:pBdr/>
        <w:spacing/>
        <w:ind/>
        <w:jc w:val="left"/>
        <w:rPr/>
      </w:pPr>
      <w:r>
        <w:rPr>
          <w:rtl w:val="0"/>
        </w:rPr>
      </w:r>
      <w:r/>
    </w:p>
    <w:p>
      <w:pPr>
        <w:pBdr/>
        <w:spacing/>
        <w:ind/>
        <w:jc w:val="left"/>
        <w:rPr/>
      </w:pPr>
      <w:r>
        <w:rPr>
          <w:rtl w:val="0"/>
        </w:rPr>
      </w:r>
      <w:r/>
    </w:p>
    <w:p>
      <w:pPr>
        <w:pBdr/>
        <w:spacing/>
        <w:ind/>
        <w:jc w:val="left"/>
        <w:rPr/>
      </w:pPr>
      <w:r>
        <w:rPr>
          <w:rtl w:val="0"/>
        </w:rPr>
      </w:r>
      <w:r/>
    </w:p>
    <w:p>
      <w:pPr>
        <w:pBdr/>
        <w:spacing/>
        <w:ind/>
        <w:jc w:val="left"/>
        <w:rPr/>
      </w:pPr>
      <w:r>
        <w:rPr>
          <w:rtl w:val="0"/>
        </w:rPr>
      </w:r>
      <w:r/>
    </w:p>
    <w:p>
      <w:pPr>
        <w:pBdr/>
        <w:spacing/>
        <w:ind/>
        <w:jc w:val="left"/>
        <w:rPr/>
      </w:pPr>
      <w:r>
        <w:rPr>
          <w:rtl w:val="0"/>
        </w:rPr>
      </w:r>
      <w:r/>
    </w:p>
    <w:p>
      <w:pPr>
        <w:pBdr/>
        <w:spacing/>
        <w:ind/>
        <w:jc w:val="left"/>
        <w:rPr/>
      </w:pPr>
      <w:r>
        <w:rPr>
          <w:rtl w:val="0"/>
        </w:rPr>
      </w:r>
      <w:r/>
    </w:p>
    <w:p>
      <w:pPr>
        <w:pBdr/>
        <w:spacing/>
        <w:ind/>
        <w:jc w:val="left"/>
        <w:rPr/>
      </w:pPr>
      <w:r>
        <w:rPr>
          <w:rtl w:val="0"/>
        </w:rPr>
      </w:r>
      <w:r/>
    </w:p>
    <w:p>
      <w:pPr>
        <w:pBdr/>
        <w:spacing/>
        <w:ind/>
        <w:jc w:val="left"/>
        <w:rPr/>
      </w:pPr>
      <w:r>
        <w:rPr>
          <w:rtl w:val="0"/>
        </w:rPr>
      </w:r>
      <w:r/>
    </w:p>
    <w:p>
      <w:pPr>
        <w:pBdr/>
        <w:spacing/>
        <w:ind/>
        <w:jc w:val="left"/>
        <w:rPr/>
      </w:pPr>
      <w:r>
        <w:rPr>
          <w:rtl w:val="0"/>
        </w:rPr>
      </w:r>
      <w:r/>
    </w:p>
    <w:p>
      <w:pPr>
        <w:pBdr/>
        <w:spacing/>
        <w:ind/>
        <w:jc w:val="left"/>
        <w:rPr/>
      </w:pPr>
      <w:r>
        <w:rPr>
          <w:rtl w:val="0"/>
        </w:rPr>
      </w:r>
      <w:r/>
    </w:p>
    <w:p>
      <w:pPr>
        <w:pBdr/>
        <w:spacing/>
        <w:ind/>
        <w:jc w:val="left"/>
        <w:rPr/>
      </w:pPr>
      <w:r>
        <w:rPr>
          <w:rtl w:val="0"/>
        </w:rPr>
      </w:r>
      <w:r/>
    </w:p>
    <w:p>
      <w:pPr>
        <w:pBdr/>
        <w:spacing/>
        <w:ind/>
        <w:jc w:val="left"/>
        <w:rPr/>
      </w:pPr>
      <w:r>
        <w:rPr>
          <w:rtl w:val="0"/>
        </w:rPr>
      </w:r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>
        <w:rPr>
          <w:rtl w:val="0"/>
        </w:rPr>
      </w:r>
      <w:r/>
    </w:p>
    <w:p>
      <w:pPr>
        <w:pBdr/>
        <w:spacing/>
        <w:ind/>
        <w:jc w:val="left"/>
        <w:rPr/>
      </w:pPr>
      <w:r>
        <w:rPr>
          <w:rtl w:val="0"/>
        </w:rPr>
      </w:r>
      <w:r/>
    </w:p>
    <w:p>
      <w:pPr>
        <w:pBdr/>
        <w:spacing/>
        <w:ind/>
        <w:jc w:val="left"/>
        <w:rPr/>
      </w:pPr>
      <w:r>
        <w:rPr>
          <w:b/>
          <w:rtl w:val="0"/>
        </w:rPr>
        <w:t xml:space="preserve">Проверочный лист 1</w:t>
      </w:r>
      <w:r>
        <w:rPr>
          <w:rtl w:val="0"/>
        </w:rPr>
      </w:r>
      <w:r/>
    </w:p>
    <w:p>
      <w:pPr>
        <w:pBdr/>
        <w:spacing/>
        <w:ind/>
        <w:jc w:val="left"/>
        <w:rPr>
          <w:b/>
        </w:rPr>
      </w:pPr>
      <w:r>
        <w:rPr>
          <w:rtl w:val="0"/>
        </w:rPr>
      </w:r>
      <w:r>
        <w:rPr>
          <w:b/>
        </w:rPr>
      </w:r>
      <w:r>
        <w:rPr>
          <w:b/>
        </w:rPr>
      </w:r>
    </w:p>
    <w:p>
      <w:pPr>
        <w:pBdr/>
        <w:spacing/>
        <w:ind/>
        <w:jc w:val="left"/>
        <w:rPr/>
      </w:pPr>
      <w:r>
        <w:rPr>
          <w:b/>
          <w:rtl w:val="0"/>
        </w:rPr>
        <w:t xml:space="preserve">День Д-2</w:t>
      </w:r>
      <w:r>
        <w:rPr>
          <w:rtl w:val="0"/>
        </w:rPr>
      </w:r>
      <w:r/>
    </w:p>
    <w:p>
      <w:pPr>
        <w:pBdr/>
        <w:spacing/>
        <w:ind/>
        <w:jc w:val="left"/>
        <w:rPr/>
      </w:pPr>
      <w:r>
        <w:rPr>
          <w:rtl w:val="0"/>
        </w:rPr>
        <w:t xml:space="preserve">□ Установлена и настроена аппаратная часть в соответствии с планом застройки и инфраструктурным листом</w:t>
      </w:r>
      <w:r/>
    </w:p>
    <w:p>
      <w:pPr>
        <w:pBdr/>
        <w:spacing/>
        <w:ind/>
        <w:jc w:val="left"/>
        <w:rPr/>
      </w:pPr>
      <w:r>
        <w:rPr>
          <w:rtl w:val="0"/>
        </w:rPr>
        <w:t xml:space="preserve">□ Установлена и настроена программная часть</w:t>
      </w:r>
      <w:r/>
    </w:p>
    <w:p>
      <w:pPr>
        <w:pBdr/>
        <w:spacing/>
        <w:ind/>
        <w:jc w:val="left"/>
        <w:rPr/>
      </w:pPr>
      <w:r>
        <w:rPr>
          <w:rtl w:val="0"/>
        </w:rPr>
        <w:t xml:space="preserve">□ Установлен и настроен мониторинг аппаратной и программной части (по возможности)</w:t>
      </w:r>
      <w:r/>
    </w:p>
    <w:p>
      <w:pPr>
        <w:pBdr/>
        <w:spacing/>
        <w:ind/>
        <w:jc w:val="left"/>
        <w:rPr/>
      </w:pPr>
      <w:r>
        <w:rPr>
          <w:rtl w:val="0"/>
        </w:rPr>
        <w:t xml:space="preserve">□ Установлено и настроено видеонаблюдение на площадке, проброшены порты, разрешен трафик. </w:t>
      </w:r>
      <w:r/>
    </w:p>
    <w:p>
      <w:pPr>
        <w:pBdr/>
        <w:spacing/>
        <w:ind/>
        <w:jc w:val="left"/>
        <w:rPr/>
      </w:pPr>
      <w:r>
        <w:rPr>
          <w:rtl w:val="0"/>
        </w:rPr>
        <w:t xml:space="preserve">□ Видеопотоки доступы из сети Интернет</w:t>
      </w:r>
      <w:r/>
    </w:p>
    <w:p>
      <w:pPr>
        <w:pBdr/>
        <w:spacing/>
        <w:ind/>
        <w:jc w:val="left"/>
        <w:rPr/>
      </w:pPr>
      <w:r>
        <w:rPr>
          <w:rtl w:val="0"/>
        </w:rPr>
        <w:t xml:space="preserve">□ Созданы учётные записи участников модулей 1, 2 и 3. Разные учётные записи имеют разные пароли</w:t>
      </w:r>
      <w:r/>
    </w:p>
    <w:p>
      <w:pPr>
        <w:pBdr/>
        <w:spacing/>
        <w:ind/>
        <w:jc w:val="left"/>
        <w:rPr/>
      </w:pPr>
      <w:r>
        <w:rPr>
          <w:rtl w:val="0"/>
        </w:rPr>
        <w:t xml:space="preserve">□ Ресурсы разных учётных записей изолированные друг от друга, участники не видят и не могут взаимодействовать с виртуальными машинами и сетями других участников, и не могут повлиять на их работоспособность</w:t>
      </w:r>
      <w:r/>
    </w:p>
    <w:p>
      <w:pPr>
        <w:pBdr/>
        <w:spacing/>
        <w:ind/>
        <w:jc w:val="left"/>
        <w:rPr/>
      </w:pPr>
      <w:r>
        <w:rPr>
          <w:rtl w:val="0"/>
        </w:rPr>
        <w:t xml:space="preserve">□ Не задействованные в ДЭ лица не имеют доступа к виртуальным машинам участников</w:t>
      </w:r>
      <w:r/>
    </w:p>
    <w:p>
      <w:pPr>
        <w:pBdr/>
        <w:spacing/>
        <w:ind/>
        <w:jc w:val="left"/>
        <w:rPr/>
      </w:pPr>
      <w:r>
        <w:rPr>
          <w:rtl w:val="0"/>
        </w:rPr>
        <w:t xml:space="preserve">□ Виртуальные машины работоспособны</w:t>
      </w:r>
      <w:r/>
    </w:p>
    <w:p>
      <w:pPr>
        <w:pBdr/>
        <w:spacing/>
        <w:ind/>
        <w:jc w:val="left"/>
        <w:rPr/>
      </w:pPr>
      <w:r>
        <w:rPr>
          <w:rtl w:val="0"/>
        </w:rPr>
        <w:t xml:space="preserve">□ Виртуальные сети работоспособны, при корректной настройке связность возможна и работоспособна</w:t>
      </w:r>
      <w:r/>
    </w:p>
    <w:p>
      <w:pPr>
        <w:pBdr/>
        <w:spacing/>
        <w:ind/>
        <w:jc w:val="left"/>
        <w:rPr/>
      </w:pPr>
      <w:r>
        <w:rPr>
          <w:rtl w:val="0"/>
        </w:rPr>
        <w:t xml:space="preserve">□ При корректной настройке динамической маршрутизации стенды участников не мешают друг-другу и не выводят из строя основную сеть площадки, в том числе доступ к сети Интернет</w:t>
      </w:r>
      <w:r/>
    </w:p>
    <w:p>
      <w:pPr>
        <w:pBdr/>
        <w:spacing/>
        <w:ind/>
        <w:jc w:val="left"/>
        <w:rPr/>
      </w:pPr>
      <w:r>
        <w:rPr>
          <w:rtl w:val="0"/>
        </w:rPr>
        <w:t xml:space="preserve">□ При некорректной настройке затрагиваются исключительно виртуальные машины  конкретного участника, и не затрагиваются  виртуальные машины, сети других участников</w:t>
      </w:r>
      <w:r/>
    </w:p>
    <w:p>
      <w:pPr>
        <w:pBdr/>
        <w:spacing/>
        <w:ind/>
        <w:jc w:val="left"/>
        <w:rPr/>
      </w:pPr>
      <w:r>
        <w:rPr>
          <w:rtl w:val="0"/>
        </w:rPr>
        <w:t xml:space="preserve">□ Преднастройка стендов для модуля 2 и 3</w:t>
      </w:r>
      <w:r/>
    </w:p>
    <w:p>
      <w:pPr>
        <w:pBdr/>
        <w:spacing/>
        <w:ind/>
        <w:jc w:val="left"/>
        <w:rPr/>
      </w:pPr>
      <w:r>
        <w:rPr>
          <w:rtl w:val="0"/>
        </w:rPr>
      </w:r>
      <w:r/>
    </w:p>
    <w:p>
      <w:pPr>
        <w:pBdr/>
        <w:spacing/>
        <w:ind/>
        <w:jc w:val="left"/>
        <w:rPr/>
      </w:pPr>
      <w:r>
        <w:rPr>
          <w:rtl w:val="0"/>
        </w:rPr>
      </w:r>
      <w:r/>
    </w:p>
    <w:p>
      <w:pPr>
        <w:pBdr/>
        <w:spacing/>
        <w:ind/>
        <w:jc w:val="left"/>
        <w:rPr/>
      </w:pPr>
      <w:r>
        <w:rPr>
          <w:rtl w:val="0"/>
        </w:rPr>
      </w:r>
      <w:r/>
    </w:p>
    <w:p>
      <w:pPr>
        <w:pBdr/>
        <w:spacing/>
        <w:ind/>
        <w:jc w:val="left"/>
        <w:rPr/>
      </w:pPr>
      <w:r>
        <w:rPr>
          <w:rtl w:val="0"/>
        </w:rPr>
      </w:r>
      <w:r/>
    </w:p>
    <w:p>
      <w:pPr>
        <w:pBdr/>
        <w:spacing/>
        <w:ind/>
        <w:jc w:val="left"/>
        <w:rPr/>
      </w:pPr>
      <w:r>
        <w:rPr>
          <w:rtl w:val="0"/>
        </w:rPr>
      </w:r>
      <w:r/>
    </w:p>
    <w:p>
      <w:pPr>
        <w:pBdr/>
        <w:spacing/>
        <w:ind/>
        <w:jc w:val="left"/>
        <w:rPr/>
      </w:pPr>
      <w:r>
        <w:rPr>
          <w:rtl w:val="0"/>
        </w:rPr>
      </w:r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>
        <w:rPr>
          <w:rtl w:val="0"/>
        </w:rPr>
      </w:r>
      <w:r/>
    </w:p>
    <w:p>
      <w:pPr>
        <w:pBdr/>
        <w:spacing/>
        <w:ind/>
        <w:jc w:val="left"/>
        <w:rPr/>
      </w:pPr>
      <w:r>
        <w:rPr>
          <w:b/>
          <w:rtl w:val="0"/>
        </w:rPr>
        <w:t xml:space="preserve">Проверочный лист 2</w:t>
      </w:r>
      <w:r>
        <w:rPr>
          <w:rtl w:val="0"/>
        </w:rPr>
      </w:r>
      <w:r/>
    </w:p>
    <w:p>
      <w:pPr>
        <w:pBdr/>
        <w:spacing/>
        <w:ind/>
        <w:jc w:val="left"/>
        <w:rPr>
          <w:rFonts w:ascii="Liberation Serif" w:hAnsi="Liberation Serif" w:eastAsia="Liberation Serif" w:cs="Liberation Serif"/>
        </w:rPr>
      </w:pPr>
      <w:r>
        <w:rPr>
          <w:rtl w:val="0"/>
        </w:rPr>
      </w:r>
      <w:r>
        <w:rPr>
          <w:rFonts w:ascii="Liberation Serif" w:hAnsi="Liberation Serif" w:eastAsia="Liberation Serif" w:cs="Liberation Serif"/>
        </w:rPr>
      </w:r>
      <w:r>
        <w:rPr>
          <w:rFonts w:ascii="Liberation Serif" w:hAnsi="Liberation Serif" w:eastAsia="Liberation Serif" w:cs="Liberation Serif"/>
        </w:rPr>
      </w:r>
    </w:p>
    <w:p>
      <w:pPr>
        <w:pBdr/>
        <w:spacing/>
        <w:ind/>
        <w:jc w:val="left"/>
        <w:rPr/>
      </w:pPr>
      <w:r>
        <w:rPr>
          <w:b/>
          <w:rtl w:val="0"/>
        </w:rPr>
        <w:t xml:space="preserve">День Д1</w:t>
      </w:r>
      <w:r>
        <w:rPr>
          <w:rtl w:val="0"/>
        </w:rPr>
      </w:r>
      <w:r/>
    </w:p>
    <w:p>
      <w:pPr>
        <w:pBdr/>
        <w:spacing/>
        <w:ind/>
        <w:jc w:val="left"/>
        <w:rPr/>
      </w:pPr>
      <w:r>
        <w:rPr>
          <w:rtl w:val="0"/>
        </w:rPr>
        <w:t xml:space="preserve">□ Пароли учётных записей изменены</w:t>
      </w:r>
      <w:r/>
    </w:p>
    <w:p>
      <w:pPr>
        <w:pBdr/>
        <w:spacing/>
        <w:ind/>
        <w:jc w:val="left"/>
        <w:rPr/>
      </w:pPr>
      <w:r>
        <w:rPr>
          <w:rtl w:val="0"/>
        </w:rPr>
        <w:t xml:space="preserve">□ Виртуальные машины модуля 1 включены, модуля 2 и 3 выключены</w:t>
      </w:r>
      <w:r/>
    </w:p>
    <w:p>
      <w:pPr>
        <w:pBdr/>
        <w:spacing/>
        <w:ind/>
        <w:jc w:val="left"/>
        <w:rPr/>
      </w:pPr>
      <w:r>
        <w:rPr>
          <w:rtl w:val="0"/>
        </w:rPr>
        <w:t xml:space="preserve">□ Выполнение модуля 1</w:t>
      </w:r>
      <w:r/>
    </w:p>
    <w:p>
      <w:pPr>
        <w:pBdr/>
        <w:spacing/>
        <w:ind/>
        <w:jc w:val="left"/>
        <w:rPr/>
      </w:pPr>
      <w:r>
        <w:rPr>
          <w:rtl w:val="0"/>
        </w:rPr>
        <w:t xml:space="preserve">□ Технический перерыв, дезактивация учётных записей модуля 1, активация учётных записей модуля 2, отключение виртуальных машин модуля 1</w:t>
      </w:r>
      <w:r/>
    </w:p>
    <w:p>
      <w:pPr>
        <w:pBdr/>
        <w:spacing/>
        <w:ind/>
        <w:jc w:val="left"/>
        <w:rPr/>
      </w:pPr>
      <w:r>
        <w:rPr>
          <w:rtl w:val="0"/>
        </w:rPr>
        <w:t xml:space="preserve">□ Виртуальные машины модуля 1 выключены, ресурсы для модулей 2 и 3 освобождены</w:t>
      </w:r>
      <w:r/>
    </w:p>
    <w:p>
      <w:pPr>
        <w:pBdr/>
        <w:spacing/>
        <w:ind/>
        <w:jc w:val="left"/>
        <w:rPr/>
      </w:pPr>
      <w:r>
        <w:rPr>
          <w:rtl w:val="0"/>
        </w:rPr>
        <w:t xml:space="preserve">□ Включение виртуальных машин модуля 2</w:t>
      </w:r>
      <w:r/>
    </w:p>
    <w:p>
      <w:pPr>
        <w:pBdr/>
        <w:spacing/>
        <w:ind/>
        <w:jc w:val="left"/>
        <w:rPr/>
      </w:pPr>
      <w:r>
        <w:rPr>
          <w:rtl w:val="0"/>
        </w:rPr>
        <w:t xml:space="preserve">□ Проверка участниками корректности преднастройки</w:t>
      </w:r>
      <w:r/>
    </w:p>
    <w:p>
      <w:pPr>
        <w:pBdr/>
        <w:spacing/>
        <w:ind/>
        <w:jc w:val="left"/>
        <w:rPr/>
      </w:pPr>
      <w:r>
        <w:rPr>
          <w:rtl w:val="0"/>
        </w:rPr>
        <w:t xml:space="preserve">□  Доклад о готовности выполнения модуля 2 и 3</w:t>
      </w:r>
      <w:r/>
    </w:p>
    <w:p>
      <w:pPr>
        <w:pBdr/>
        <w:spacing/>
        <w:ind/>
        <w:jc w:val="left"/>
        <w:rPr/>
      </w:pPr>
      <w:r>
        <w:rPr>
          <w:rtl w:val="0"/>
        </w:rPr>
        <w:t xml:space="preserve">□ Выполнения модулей 2 и 3</w:t>
      </w:r>
      <w:r/>
    </w:p>
    <w:p>
      <w:pPr>
        <w:pBdr/>
        <w:spacing/>
        <w:ind/>
        <w:jc w:val="left"/>
        <w:rPr>
          <w:b/>
        </w:rPr>
      </w:pPr>
      <w:r>
        <w:rPr>
          <w:rtl w:val="0"/>
        </w:rPr>
      </w:r>
      <w:r>
        <w:rPr>
          <w:b/>
        </w:rPr>
      </w:r>
      <w:r>
        <w:rPr>
          <w:b/>
        </w:rPr>
      </w:r>
    </w:p>
    <w:p>
      <w:pPr>
        <w:pBdr/>
        <w:spacing/>
        <w:ind/>
        <w:jc w:val="left"/>
        <w:rPr/>
      </w:pPr>
      <w:r>
        <w:rPr>
          <w:b/>
          <w:rtl w:val="0"/>
        </w:rPr>
        <w:t xml:space="preserve">Проверочный лист 3</w:t>
      </w:r>
      <w:r>
        <w:rPr>
          <w:rtl w:val="0"/>
        </w:rPr>
      </w:r>
      <w:r/>
    </w:p>
    <w:p>
      <w:pPr>
        <w:pBdr/>
        <w:spacing/>
        <w:ind/>
        <w:jc w:val="left"/>
        <w:rPr>
          <w:b/>
        </w:rPr>
      </w:pPr>
      <w:r>
        <w:rPr>
          <w:rtl w:val="0"/>
        </w:rPr>
      </w:r>
      <w:r>
        <w:rPr>
          <w:b/>
        </w:rPr>
      </w:r>
      <w:r>
        <w:rPr>
          <w:b/>
        </w:rPr>
      </w:r>
    </w:p>
    <w:p>
      <w:pPr>
        <w:pBdr/>
        <w:spacing/>
        <w:ind/>
        <w:jc w:val="left"/>
        <w:rPr/>
      </w:pPr>
      <w:r>
        <w:rPr>
          <w:b/>
          <w:rtl w:val="0"/>
        </w:rPr>
        <w:t xml:space="preserve">День Д-2</w:t>
      </w:r>
      <w:r>
        <w:rPr>
          <w:rtl w:val="0"/>
        </w:rPr>
      </w:r>
      <w:r/>
    </w:p>
    <w:p>
      <w:pPr>
        <w:pBdr/>
        <w:spacing/>
        <w:ind/>
        <w:jc w:val="left"/>
        <w:rPr/>
      </w:pPr>
      <w:r>
        <w:rPr>
          <w:rtl w:val="0"/>
        </w:rPr>
        <w:t xml:space="preserve">□ Рабочие места участников установлены и настроены в соответствии с планом застройки и инфраструктурным листом</w:t>
      </w:r>
      <w:r/>
    </w:p>
    <w:p>
      <w:pPr>
        <w:pBdr/>
        <w:spacing/>
        <w:ind/>
        <w:jc w:val="left"/>
        <w:rPr/>
      </w:pPr>
      <w:r>
        <w:rPr>
          <w:rtl w:val="0"/>
        </w:rPr>
        <w:t xml:space="preserve">□ Каждое рабочее место проверено, отсутствуют лишние предметы, файлы. Присутствуют нужные программы и настройки</w:t>
      </w:r>
      <w:r/>
    </w:p>
    <w:p>
      <w:pPr>
        <w:pBdr/>
        <w:spacing/>
        <w:ind/>
        <w:jc w:val="left"/>
        <w:rPr/>
      </w:pPr>
      <w:r>
        <w:rPr>
          <w:rtl w:val="0"/>
        </w:rPr>
        <w:t xml:space="preserve">□ Рабочие места участников пронумерованы</w:t>
      </w:r>
      <w:r/>
    </w:p>
    <w:p>
      <w:pPr>
        <w:pBdr/>
        <w:spacing/>
        <w:ind/>
        <w:jc w:val="left"/>
        <w:rPr/>
      </w:pPr>
      <w:r>
        <w:rPr>
          <w:rtl w:val="0"/>
        </w:rPr>
      </w:r>
      <w:r/>
    </w:p>
    <w:p>
      <w:pPr>
        <w:pBdr/>
        <w:spacing/>
        <w:ind/>
        <w:jc w:val="left"/>
        <w:rPr/>
      </w:pPr>
      <w:r>
        <w:rPr>
          <w:rtl w:val="0"/>
        </w:rPr>
      </w:r>
      <w:r/>
    </w:p>
    <w:p>
      <w:pPr>
        <w:pBdr/>
        <w:spacing/>
        <w:ind/>
        <w:jc w:val="left"/>
        <w:rPr/>
      </w:pPr>
      <w:r>
        <w:rPr>
          <w:rtl w:val="0"/>
        </w:rPr>
      </w:r>
      <w:r/>
    </w:p>
    <w:p>
      <w:pPr>
        <w:pBdr/>
        <w:spacing/>
        <w:ind/>
        <w:jc w:val="left"/>
        <w:rPr/>
      </w:pPr>
      <w:r>
        <w:rPr>
          <w:rtl w:val="0"/>
        </w:rPr>
      </w:r>
      <w:r/>
    </w:p>
    <w:p>
      <w:pPr>
        <w:pBdr/>
        <w:spacing/>
        <w:ind/>
        <w:jc w:val="left"/>
        <w:rPr/>
      </w:pPr>
      <w:r>
        <w:rPr>
          <w:rtl w:val="0"/>
        </w:rPr>
      </w:r>
      <w:r/>
    </w:p>
    <w:p>
      <w:pPr>
        <w:pBdr/>
        <w:spacing/>
        <w:ind/>
        <w:jc w:val="left"/>
        <w:rPr/>
      </w:pPr>
      <w:r>
        <w:rPr>
          <w:rtl w:val="0"/>
        </w:rPr>
      </w:r>
      <w:r/>
    </w:p>
    <w:p>
      <w:pPr>
        <w:pBdr/>
        <w:spacing/>
        <w:ind/>
        <w:jc w:val="left"/>
        <w:rPr/>
      </w:pPr>
      <w:r>
        <w:rPr>
          <w:rtl w:val="0"/>
        </w:rPr>
      </w:r>
      <w:r/>
    </w:p>
    <w:p>
      <w:pPr>
        <w:pBdr/>
        <w:spacing/>
        <w:ind/>
        <w:jc w:val="left"/>
        <w:rPr/>
      </w:pPr>
      <w:r>
        <w:rPr>
          <w:rtl w:val="0"/>
        </w:rPr>
      </w:r>
      <w:r/>
    </w:p>
    <w:p>
      <w:pPr>
        <w:pBdr/>
        <w:spacing/>
        <w:ind/>
        <w:jc w:val="left"/>
        <w:rPr/>
      </w:pPr>
      <w:r>
        <w:rPr>
          <w:rtl w:val="0"/>
        </w:rPr>
      </w:r>
      <w:r/>
    </w:p>
    <w:p>
      <w:pPr>
        <w:pBdr/>
        <w:spacing/>
        <w:ind/>
        <w:jc w:val="left"/>
        <w:rPr/>
      </w:pPr>
      <w:r>
        <w:rPr>
          <w:rtl w:val="0"/>
        </w:rPr>
      </w:r>
      <w:r/>
    </w:p>
    <w:p>
      <w:pPr>
        <w:pBdr/>
        <w:spacing/>
        <w:ind/>
        <w:jc w:val="left"/>
        <w:rPr/>
      </w:pPr>
      <w:r>
        <w:rPr>
          <w:rtl w:val="0"/>
        </w:rPr>
      </w:r>
      <w:r/>
    </w:p>
    <w:p>
      <w:pPr>
        <w:pBdr/>
        <w:spacing/>
        <w:ind/>
        <w:jc w:val="left"/>
        <w:rPr/>
      </w:pPr>
      <w:r>
        <w:rPr>
          <w:rtl w:val="0"/>
        </w:rPr>
      </w:r>
      <w:r/>
    </w:p>
    <w:p>
      <w:pPr>
        <w:pBdr/>
        <w:spacing/>
        <w:ind/>
        <w:jc w:val="left"/>
        <w:rPr/>
      </w:pPr>
      <w:r>
        <w:rPr>
          <w:rtl w:val="0"/>
        </w:rPr>
      </w:r>
      <w:r/>
    </w:p>
    <w:p>
      <w:pPr>
        <w:pBdr/>
        <w:spacing/>
        <w:ind w:firstLine="8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Информация для подключения,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заполнить актуальными данными и выдать каждому участнику</w:t>
      </w:r>
      <w:r>
        <w:rPr>
          <w:rFonts w:ascii="Times New Roman" w:hAnsi="Times New Roman" w:eastAsia="Times New Roman" w:cs="Times New Roman"/>
          <w:b/>
          <w:sz w:val="24"/>
          <w:szCs w:val="24"/>
          <w:vertAlign w:val="superscript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tbl>
      <w:tblPr>
        <w:tblStyle w:val="897"/>
        <w:tblW w:w="9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635"/>
        <w:tblGridChange w:id="1">
          <w:tblGrid>
            <w:gridCol w:w="4485"/>
            <w:gridCol w:w="4635"/>
          </w:tblGrid>
        </w:tblGridChange>
      </w:tblGrid>
      <w:tr>
        <w:trPr>
          <w:cantSplit w:val="false"/>
          <w:trHeight w:val="345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Реквизиты для подключения к стенду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45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Номер рабочего места и модуля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&lt; N-x &gt;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</w:r>
          </w:p>
        </w:tc>
      </w:tr>
      <w:tr>
        <w:trPr>
          <w:cantSplit w:val="false"/>
          <w:trHeight w:val="42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Учётная запись ПК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&lt; логин | пароль &gt;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</w:r>
          </w:p>
        </w:tc>
      </w:tr>
      <w:tr>
        <w:trPr>
          <w:cantSplit w:val="false"/>
          <w:trHeight w:val="465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Точка подключения к гипервизору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&lt; IP или доменное имя:порт &gt;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</w:r>
          </w:p>
        </w:tc>
      </w:tr>
      <w:tr>
        <w:trPr>
          <w:cantSplit w:val="false"/>
          <w:trHeight w:val="945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Учётная запись для входа в гипервизор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&lt; логин | пароль &gt;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</w:r>
          </w:p>
        </w:tc>
      </w:tr>
      <w:tr>
        <w:trPr>
          <w:cantSplit w:val="false"/>
          <w:trHeight w:val="39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Учётные записи ВМ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&lt; ВМ - логин | пароль &gt;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</w:r>
          </w:p>
        </w:tc>
      </w:tr>
      <w:tr>
        <w:trPr>
          <w:cantSplit w:val="false"/>
          <w:trHeight w:val="945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Общедоступный DNS-сервер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&lt; 77.88.8.7 &gt;</w:t>
              <w:br/>
              <w:t xml:space="preserve">  *или 1.1.1.1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или тот что у вас в организации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</w:r>
          </w:p>
        </w:tc>
      </w:tr>
    </w:tbl>
    <w:p>
      <w:pPr>
        <w:pBdr/>
        <w:spacing/>
        <w:ind w:firstLine="8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Пример заполнения: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tbl>
      <w:tblPr>
        <w:tblStyle w:val="898"/>
        <w:tblW w:w="9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600" w:firstRow="0" w:lastRow="0" w:firstColumn="0" w:lastColumn="0" w:noHBand="1" w:noVBand="1"/>
      </w:tblPr>
      <w:tblGrid>
        <w:gridCol w:w="4095"/>
        <w:gridCol w:w="5025"/>
        <w:tblGridChange w:id="2">
          <w:tblGrid>
            <w:gridCol w:w="4095"/>
            <w:gridCol w:w="5025"/>
          </w:tblGrid>
        </w:tblGridChange>
      </w:tblGrid>
      <w:tr>
        <w:trPr>
          <w:cantSplit w:val="false"/>
          <w:trHeight w:val="345"/>
        </w:trPr>
        <w:tc>
          <w:tcPr>
            <w:gridSpan w:val="2"/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Реквизиты для подключения к стенду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435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Номер рабочего места и модуля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13-2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415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Учётная запись ПК (логин | пароль)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ee"/>
                <w:sz w:val="24"/>
                <w:szCs w:val="24"/>
                <w:u w:val="single"/>
                <w:rtl w:val="0"/>
              </w:rPr>
              <w:t xml:space="preserve">student13@domain.local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| P@ssw0rd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4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Точка подключения к гипервизору</w:t>
              <w:br/>
              <w:t xml:space="preserve"> (IP или доменное имя:порт)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hyperlink r:id="rId10" w:tooltip="https://srv1.lab.local:8006" w:history="1">
              <w:r>
                <w:rPr>
                  <w:rFonts w:ascii="Times New Roman" w:hAnsi="Times New Roman" w:eastAsia="Times New Roman" w:cs="Times New Roman"/>
                  <w:color w:val="0000ee"/>
                  <w:sz w:val="24"/>
                  <w:szCs w:val="24"/>
                  <w:u w:val="single"/>
                  <w:rtl w:val="0"/>
                </w:rPr>
                <w:t xml:space="preserve">https://srv1.lab.local:8006</w:t>
              </w:r>
            </w:hyperlink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4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Учётная запись для входа в гипервизор (логин | пароль)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Student13 | P@jkf788238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99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Учётные записи ВМ (ВМ - логин | пароль)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Для всех ВМ: root | toor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42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Общедоступный DNS-сервер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77.88.8.7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sectPr>
      <w:footnotePr/>
      <w:endnotePr/>
      <w:type w:val="nextPage"/>
      <w:pgSz w:h="16838" w:orient="portrait" w:w="11906"/>
      <w:pgMar w:top="1134" w:right="1134" w:bottom="1134" w:left="1134" w:header="0" w:footer="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Noto Sans Symbols">
    <w:panose1 w:val="05040102010807070707"/>
  </w:font>
  <w:font w:name="Droid Sans Fallback">
    <w:panose1 w:val="05040102010807070707"/>
  </w:font>
  <w:font w:name="Droid Sans Devanagari">
    <w:panose1 w:val="05040102010807070707"/>
  </w:font>
  <w:font w:name="Liberation Sans">
    <w:panose1 w:val="020B0604020202020204"/>
  </w:font>
  <w:font w:name="OpenSymbol">
    <w:panose1 w:val="05010000000000000000"/>
  </w:font>
  <w:font w:name="Arial">
    <w:panose1 w:val="020B0604020202020204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Noto Sans Symbols" w:hAnsi="Noto Sans Symbols" w:eastAsia="Noto Sans Symbols" w:cs="Noto Sans Symbols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180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Noto Sans Symbols" w:hAnsi="Noto Sans Symbols" w:eastAsia="Noto Sans Symbols" w:cs="Noto Sans Symbols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1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Noto Sans Symbols" w:hAnsi="Noto Sans Symbols" w:eastAsia="Noto Sans Symbols" w:cs="Noto Sans Symbols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180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Noto Sans Symbols" w:hAnsi="Noto Sans Symbols" w:eastAsia="Noto Sans Symbols" w:cs="Noto Sans Symbols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Noto Sans Symbols" w:hAnsi="Noto Sans Symbols" w:eastAsia="Noto Sans Symbols" w:cs="Noto Sans Symbol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Liberation Serif" w:cs="Liberation Serif"/>
        <w:sz w:val="24"/>
        <w:szCs w:val="24"/>
        <w:lang w:val="ru" w:eastAsia="zh-CN" w:bidi="ar-SA"/>
      </w:rPr>
    </w:rPrDefault>
    <w:pPrDefault>
      <w:pPr>
        <w:pBdr/>
        <w:spacing w:after="0" w:afterAutospacing="0" w:before="0" w:beforeAutospacing="0" w:line="360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1" w:default="1">
    <w:name w:val="Normal"/>
    <w:pPr>
      <w:pBdr/>
      <w:spacing/>
      <w:ind/>
    </w:pPr>
  </w:style>
  <w:style w:type="table" w:styleId="702">
    <w:name w:val="Table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03">
    <w:name w:val="Heading 1"/>
    <w:basedOn w:val="701"/>
    <w:next w:val="701"/>
    <w:pPr>
      <w:keepNext w:val="true"/>
      <w:keepLines w:val="true"/>
      <w:pBdr/>
      <w:spacing w:after="80" w:before="360"/>
      <w:ind/>
    </w:pPr>
    <w:rPr>
      <w:rFonts w:ascii="Arial" w:hAnsi="Arial" w:eastAsia="Arial" w:cs="Arial"/>
      <w:color w:val="117a02"/>
      <w:sz w:val="40"/>
      <w:szCs w:val="40"/>
    </w:rPr>
  </w:style>
  <w:style w:type="paragraph" w:styleId="704">
    <w:name w:val="Heading 2"/>
    <w:basedOn w:val="701"/>
    <w:next w:val="701"/>
    <w:pPr>
      <w:keepNext w:val="true"/>
      <w:keepLines w:val="true"/>
      <w:pBdr/>
      <w:spacing w:after="80" w:before="160"/>
      <w:ind/>
    </w:pPr>
    <w:rPr>
      <w:rFonts w:ascii="Arial" w:hAnsi="Arial" w:eastAsia="Arial" w:cs="Arial"/>
      <w:color w:val="117a02"/>
      <w:sz w:val="32"/>
      <w:szCs w:val="32"/>
    </w:rPr>
  </w:style>
  <w:style w:type="paragraph" w:styleId="705">
    <w:name w:val="Heading 3"/>
    <w:basedOn w:val="701"/>
    <w:next w:val="701"/>
    <w:pPr>
      <w:keepNext w:val="true"/>
      <w:keepLines w:val="true"/>
      <w:pBdr/>
      <w:spacing w:after="80" w:before="160"/>
      <w:ind/>
    </w:pPr>
    <w:rPr>
      <w:rFonts w:ascii="Arial" w:hAnsi="Arial" w:eastAsia="Arial" w:cs="Arial"/>
      <w:color w:val="117a02"/>
      <w:sz w:val="28"/>
      <w:szCs w:val="28"/>
    </w:rPr>
  </w:style>
  <w:style w:type="paragraph" w:styleId="706">
    <w:name w:val="Heading 4"/>
    <w:basedOn w:val="701"/>
    <w:next w:val="701"/>
    <w:pPr>
      <w:keepNext w:val="true"/>
      <w:keepLines w:val="true"/>
      <w:pBdr/>
      <w:spacing w:after="40" w:before="80"/>
      <w:ind/>
    </w:pPr>
    <w:rPr>
      <w:rFonts w:ascii="Arial" w:hAnsi="Arial" w:eastAsia="Arial" w:cs="Arial"/>
      <w:i/>
      <w:color w:val="117a02"/>
    </w:rPr>
  </w:style>
  <w:style w:type="paragraph" w:styleId="707">
    <w:name w:val="Heading 5"/>
    <w:basedOn w:val="701"/>
    <w:next w:val="701"/>
    <w:pPr>
      <w:keepNext w:val="true"/>
      <w:keepLines w:val="true"/>
      <w:pBdr/>
      <w:spacing w:after="40" w:before="80"/>
      <w:ind/>
    </w:pPr>
    <w:rPr>
      <w:rFonts w:ascii="Arial" w:hAnsi="Arial" w:eastAsia="Arial" w:cs="Arial"/>
      <w:color w:val="117a02"/>
    </w:rPr>
  </w:style>
  <w:style w:type="paragraph" w:styleId="708">
    <w:name w:val="Heading 6"/>
    <w:basedOn w:val="701"/>
    <w:next w:val="701"/>
    <w:pPr>
      <w:keepNext w:val="true"/>
      <w:keepLines w:val="true"/>
      <w:pBdr/>
      <w:spacing w:after="0" w:before="40"/>
      <w:ind/>
    </w:pPr>
    <w:rPr>
      <w:rFonts w:ascii="Arial" w:hAnsi="Arial" w:eastAsia="Arial" w:cs="Arial"/>
      <w:i/>
      <w:color w:val="595959"/>
    </w:rPr>
  </w:style>
  <w:style w:type="paragraph" w:styleId="709">
    <w:name w:val="Title"/>
    <w:basedOn w:val="701"/>
    <w:next w:val="701"/>
    <w:pPr>
      <w:pBdr/>
      <w:spacing w:after="80" w:line="240" w:lineRule="auto"/>
      <w:ind/>
    </w:pPr>
    <w:rPr>
      <w:rFonts w:ascii="Arial" w:hAnsi="Arial" w:eastAsia="Arial" w:cs="Arial"/>
      <w:sz w:val="56"/>
      <w:szCs w:val="56"/>
    </w:rPr>
  </w:style>
  <w:style w:type="table" w:styleId="7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Table Grid"/>
    <w:basedOn w:val="7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Table Grid Light"/>
    <w:basedOn w:val="7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1"/>
    <w:basedOn w:val="7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0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0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2"/>
    <w:basedOn w:val="7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f2f2f2" w:themeFill="text1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f2f2f2" w:themeFill="text1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f2f2f2" w:themeFill="text1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00" w:sz="4" w:space="0"/>
          <w:left w:val="single" w:color="000000" w:themeColor="text1" w:themeTint="00" w:sz="4" w:space="0"/>
          <w:bottom w:val="single" w:color="000000" w:themeColor="text1" w:themeTint="00" w:sz="4" w:space="0"/>
          <w:right w:val="single" w:color="000000" w:themeColor="text1" w:themeTint="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00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00" w:sz="4" w:space="0"/>
          <w:left w:val="single" w:color="000000" w:themeColor="accent1" w:themeTint="00" w:sz="4" w:space="0"/>
          <w:bottom w:val="single" w:color="000000" w:themeColor="accent1" w:themeTint="00" w:sz="4" w:space="0"/>
          <w:right w:val="single" w:color="000000" w:themeColor="accent1" w:themeTint="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00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00" w:sz="4" w:space="0"/>
          <w:left w:val="single" w:color="000000" w:themeColor="accent2" w:themeTint="00" w:sz="4" w:space="0"/>
          <w:bottom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00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00" w:sz="4" w:space="0"/>
          <w:left w:val="single" w:color="000000" w:themeColor="accent3" w:themeTint="00" w:sz="4" w:space="0"/>
          <w:bottom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00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00" w:sz="4" w:space="0"/>
          <w:left w:val="single" w:color="000000" w:themeColor="accent4" w:themeTint="00" w:sz="4" w:space="0"/>
          <w:bottom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00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00" w:sz="4" w:space="0"/>
          <w:left w:val="single" w:color="000000" w:themeColor="accent5" w:themeTint="00" w:sz="4" w:space="0"/>
          <w:bottom w:val="single" w:color="000000" w:themeColor="accent5" w:themeTint="00" w:sz="4" w:space="0"/>
          <w:right w:val="single" w:color="000000" w:themeColor="accent5" w:themeTint="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00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00" w:sz="4" w:space="0"/>
          <w:left w:val="single" w:color="000000" w:themeColor="accent6" w:themeTint="00" w:sz="4" w:space="0"/>
          <w:bottom w:val="single" w:color="000000" w:themeColor="accent6" w:themeTint="00" w:sz="4" w:space="0"/>
          <w:right w:val="single" w:color="000000" w:themeColor="accent6" w:themeTint="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00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cbcbcb" w:themeFill="text1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cbcbcb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c3feba" w:themeFill="accent1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c3feba" w:themeFill="accen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bde6fe" w:themeFill="accent2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bde6fe" w:themeFill="accent2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fed3ba" w:themeFill="accent3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fed3ba" w:themeFill="accent3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f5bafe" w:themeFill="accent4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f5bafe" w:themeFill="accent4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fff1c0" w:themeFill="accent5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fff1c0" w:themeFill="accent5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f8cecd" w:themeFill="accent6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f8cecd" w:themeFill="accent6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cbcbcb" w:themeFill="text1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cbcbcb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c3feba" w:themeFill="accent1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c3feba" w:themeFill="accen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bde6fe" w:themeFill="accent2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bde6fe" w:themeFill="accent2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fed3ba" w:themeFill="accent3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fed3ba" w:themeFill="accent3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f5bafe" w:themeFill="accent4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f5bafe" w:themeFill="accent4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fff1c0" w:themeFill="accent5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fff1c0" w:themeFill="accent5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f8cecd" w:themeFill="accent6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f8cecd" w:themeFill="accent6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"/>
    <w:basedOn w:val="7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cbcbcb" w:themeFill="text1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cbcbcb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1"/>
    <w:basedOn w:val="7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c5febd" w:themeFill="accent1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c5febd" w:themeFill="accen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1cbf04" w:themeFill="accent1" w:themeFillTint="00"/>
        <w:tcBorders>
          <w:top w:val="single" w:color="000000" w:themeColor="accent1" w:themeTint="00" w:sz="4" w:space="0"/>
          <w:left w:val="single" w:color="000000" w:themeColor="accent1" w:themeTint="00" w:sz="4" w:space="0"/>
          <w:bottom w:val="single" w:color="000000" w:themeColor="accent1" w:themeTint="00" w:sz="4" w:space="0"/>
          <w:right w:val="single" w:color="000000" w:themeColor="accent1" w:themeTint="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2"/>
    <w:basedOn w:val="7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bde6fe" w:themeFill="accent2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bde6fe" w:themeFill="accent2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37b4fb" w:themeFill="accent2" w:themeFillTint="00"/>
        <w:tcBorders>
          <w:top w:val="single" w:color="000000" w:themeColor="accent2" w:themeTint="00" w:sz="4" w:space="0"/>
          <w:left w:val="single" w:color="000000" w:themeColor="accent2" w:themeTint="00" w:sz="4" w:space="0"/>
          <w:bottom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3"/>
    <w:basedOn w:val="7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fed3ba" w:themeFill="accent3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fed3ba" w:themeFill="accent3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a43f03" w:themeFill="accent3" w:themeFillTint="00"/>
        <w:tcBorders>
          <w:top w:val="single" w:color="000000" w:themeColor="accent3" w:themeTint="00" w:sz="4" w:space="0"/>
          <w:left w:val="single" w:color="000000" w:themeColor="accent3" w:themeTint="00" w:sz="4" w:space="0"/>
          <w:bottom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4"/>
    <w:basedOn w:val="7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f5bafe" w:themeFill="accent4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f5bafe" w:themeFill="accent4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e133fb" w:themeFill="accent4" w:themeFillTint="00"/>
        <w:tcBorders>
          <w:top w:val="single" w:color="000000" w:themeColor="accent4" w:themeTint="00" w:sz="4" w:space="0"/>
          <w:left w:val="single" w:color="000000" w:themeColor="accent4" w:themeTint="00" w:sz="4" w:space="0"/>
          <w:bottom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5"/>
    <w:basedOn w:val="7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fff1c0" w:themeFill="accent5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fff1c0" w:themeFill="accent5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6"/>
    <w:basedOn w:val="7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f8cecd" w:themeFill="accent6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f8cecd" w:themeFill="accent6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00" w:fill="bfbfbf" w:themeFill="text1" w:themeFillTint="0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0" w:fill="8a8a8a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0" w:fill="8a8a8a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00" w:fill="c3feba" w:themeFill="accent1" w:themeFillTint="0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00" w:fill="78fc64" w:themeFill="accen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00" w:fill="78fc64" w:themeFill="accen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00" w:fill="bde6fe" w:themeFill="accent2" w:themeFillTint="0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00" w:fill="64c5fc" w:themeFill="accent2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00" w:fill="64c5fc" w:themeFill="accent2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00" w:fill="fed3ba" w:themeFill="accent3" w:themeFillTint="0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00" w:fill="fc9c64" w:themeFill="accent3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00" w:fill="fc9c64" w:themeFill="accent3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00" w:fill="f5bafe" w:themeFill="accent4" w:themeFillTint="0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00" w:fill="e864fc" w:themeFill="accent4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00" w:fill="e864fc" w:themeFill="accent4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00" w:fill="fff1c0" w:themeFill="accent5" w:themeFillTint="0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00" w:fill="ffdf71" w:themeFill="accent5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00" w:fill="ffdf71" w:themeFill="accent5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00" w:fill="f8cecd" w:themeFill="accent6" w:themeFillTint="0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00" w:fill="ee9190" w:themeFill="accent6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00" w:fill="ee9190" w:themeFill="accent6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cbcbcb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0" w:fill="cbcbcb" w:themeFill="text1" w:themeFillTint="00"/>
        <w:tcBorders/>
      </w:tcPr>
    </w:tblStylePr>
    <w:tblStylePr w:type="band2Horz">
      <w:rPr>
        <w:rFonts w:ascii="Arial" w:hAnsi="Arial"/>
        <w:color w:val="404040" w:themeColor="text1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00" w:themeShade="0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00" w:sz="12" w:space="0"/>
        </w:tcBorders>
      </w:tcPr>
    </w:tblStylePr>
    <w:tblStylePr w:type="lastCol">
      <w:rPr>
        <w:b/>
        <w:color w:val="4a4a4a" w:themeColor="text1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c3feba" w:themeFill="accen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00" w:fill="c3feba" w:themeFill="accent1" w:themeFillTint="00"/>
        <w:tcBorders/>
      </w:tcPr>
    </w:tblStylePr>
    <w:tblStylePr w:type="band2Horz">
      <w:rPr>
        <w:rFonts w:ascii="Arial" w:hAnsi="Arial"/>
        <w:color w:val="404040" w:themeColor="accent1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00" w:themeShade="0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00" w:sz="12" w:space="0"/>
        </w:tcBorders>
      </w:tcPr>
    </w:tblStylePr>
    <w:tblStylePr w:type="lastCol">
      <w:rPr>
        <w:b/>
        <w:color w:val="1cc103" w:themeColor="accent1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bde6fe" w:themeFill="accent2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00" w:fill="bde6fe" w:themeFill="accent2" w:themeFillTint="00"/>
        <w:tcBorders/>
      </w:tcPr>
    </w:tblStylePr>
    <w:tblStylePr w:type="band2Horz">
      <w:rPr>
        <w:rFonts w:ascii="Arial" w:hAnsi="Arial"/>
        <w:color w:val="404040" w:themeColor="accent2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00" w:themeShade="0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00" w:sz="12" w:space="0"/>
        </w:tcBorders>
      </w:tcPr>
    </w:tblStylePr>
    <w:tblStylePr w:type="lastCol">
      <w:rPr>
        <w:b/>
        <w:color w:val="0471af" w:themeColor="accent2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fed3ba" w:themeFill="accent3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00" w:fill="fed3ba" w:themeFill="accent3" w:themeFillTint="00"/>
        <w:tcBorders/>
      </w:tcPr>
    </w:tblStylePr>
    <w:tblStylePr w:type="band2Horz">
      <w:rPr>
        <w:rFonts w:ascii="Arial" w:hAnsi="Arial"/>
        <w:color w:val="404040" w:themeColor="accent3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00" w:themeShade="0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00" w:sz="12" w:space="0"/>
        </w:tcBorders>
      </w:tcPr>
    </w:tblStylePr>
    <w:tblStylePr w:type="lastCol">
      <w:rPr>
        <w:b/>
        <w:color w:val="602502" w:themeColor="accent3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f5bafe" w:themeFill="accent4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00" w:fill="f5bafe" w:themeFill="accent4" w:themeFillTint="00"/>
        <w:tcBorders/>
      </w:tcPr>
    </w:tblStylePr>
    <w:tblStylePr w:type="band2Horz">
      <w:rPr>
        <w:rFonts w:ascii="Arial" w:hAnsi="Arial"/>
        <w:color w:val="404040" w:themeColor="accent4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00" w:themeShade="0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00" w:sz="12" w:space="0"/>
        </w:tcBorders>
      </w:tcPr>
    </w:tblStylePr>
    <w:tblStylePr w:type="lastCol">
      <w:rPr>
        <w:b/>
        <w:color w:val="9703ad" w:themeColor="accent4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fff1c0" w:themeFill="accent5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00" w:fill="fff1c0" w:themeFill="accent5" w:themeFillTint="00"/>
        <w:tcBorders/>
      </w:tcPr>
    </w:tblStylePr>
    <w:tblStylePr w:type="band2Horz">
      <w:rPr>
        <w:rFonts w:ascii="Arial" w:hAnsi="Arial"/>
        <w:color w:val="404040" w:themeColor="accent5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00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0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0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f8cecd" w:themeFill="accent6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00" w:fill="f8cecd" w:themeFill="accent6" w:themeFillTint="00"/>
        <w:tcBorders/>
      </w:tcPr>
    </w:tblStylePr>
    <w:tblStylePr w:type="band2Horz">
      <w:rPr>
        <w:rFonts w:ascii="Arial" w:hAnsi="Arial"/>
        <w:color w:val="404040" w:themeColor="accent5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00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0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0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0" w:fill="f2f2f2" w:themeFill="text1" w:themeFillTint="00"/>
        <w:tcBorders/>
      </w:tcPr>
    </w:tblStylePr>
    <w:tblStylePr w:type="band2Horz">
      <w:rPr>
        <w:rFonts w:ascii="Arial" w:hAnsi="Arial"/>
        <w:color w:val="4a4a4a" w:themeColor="text1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00" w:themeShade="00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000000" w:themeColor="text1" w:themeTint="00" w:sz="4" w:space="0"/>
        </w:tcBorders>
      </w:tcPr>
    </w:tblStylePr>
    <w:tblStylePr w:type="firstRow">
      <w:rPr>
        <w:rFonts w:ascii="Arial" w:hAnsi="Arial"/>
        <w:b/>
        <w:color w:val="4a4a4a" w:themeColor="text1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000000" w:themeColor="text1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a4a4a" w:themeColor="text1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0" w:space="0"/>
          <w:left w:val="single" w:color="000000" w:themeColor="text1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a4a4a" w:themeColor="text1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c3feba" w:themeFill="accen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00" w:fill="c3feba" w:themeFill="accent1" w:themeFillTint="00"/>
        <w:tcBorders/>
      </w:tcPr>
    </w:tblStylePr>
    <w:tblStylePr w:type="band2Horz">
      <w:rPr>
        <w:rFonts w:ascii="Arial" w:hAnsi="Arial"/>
        <w:color w:val="1cc103" w:themeColor="accent1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00" w:themeShade="00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000000" w:themeColor="accent1" w:themeTint="00" w:sz="4" w:space="0"/>
        </w:tcBorders>
      </w:tcPr>
    </w:tblStylePr>
    <w:tblStylePr w:type="firstRow">
      <w:rPr>
        <w:rFonts w:ascii="Arial" w:hAnsi="Arial"/>
        <w:b/>
        <w:color w:val="1cc103" w:themeColor="accent1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000000" w:themeColor="accent1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1cc103" w:themeColor="accent1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0" w:space="0"/>
          <w:left w:val="single" w:color="000000" w:themeColor="accent1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1cc103" w:themeColor="accent1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bde6fe" w:themeFill="accent2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00" w:fill="bde6fe" w:themeFill="accent2" w:themeFillTint="00"/>
        <w:tcBorders/>
      </w:tcPr>
    </w:tblStylePr>
    <w:tblStylePr w:type="band2Horz">
      <w:rPr>
        <w:rFonts w:ascii="Arial" w:hAnsi="Arial"/>
        <w:color w:val="0471af" w:themeColor="accent2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00" w:themeShade="00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000000" w:themeColor="accent2" w:themeTint="00" w:sz="4" w:space="0"/>
        </w:tcBorders>
      </w:tcPr>
    </w:tblStylePr>
    <w:tblStylePr w:type="firstRow">
      <w:rPr>
        <w:rFonts w:ascii="Arial" w:hAnsi="Arial"/>
        <w:b/>
        <w:color w:val="0471af" w:themeColor="accent2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000000" w:themeColor="accent2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0471af" w:themeColor="accent2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0" w:space="0"/>
          <w:left w:val="single" w:color="000000" w:themeColor="accent2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0471af" w:themeColor="accent2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fed3ba" w:themeFill="accent3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00" w:fill="fed3ba" w:themeFill="accent3" w:themeFillTint="00"/>
        <w:tcBorders/>
      </w:tcPr>
    </w:tblStylePr>
    <w:tblStylePr w:type="band2Horz">
      <w:rPr>
        <w:rFonts w:ascii="Arial" w:hAnsi="Arial"/>
        <w:color w:val="602502" w:themeColor="accent3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00" w:themeShade="00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000000" w:themeColor="accent3" w:themeTint="00" w:sz="4" w:space="0"/>
        </w:tcBorders>
      </w:tcPr>
    </w:tblStylePr>
    <w:tblStylePr w:type="firstRow">
      <w:rPr>
        <w:rFonts w:ascii="Arial" w:hAnsi="Arial"/>
        <w:b/>
        <w:color w:val="602502" w:themeColor="accent3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000000" w:themeColor="accent3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602502" w:themeColor="accent3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0" w:space="0"/>
          <w:left w:val="single" w:color="000000" w:themeColor="accent3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602502" w:themeColor="accent3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f5bafe" w:themeFill="accent4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00" w:fill="f5bafe" w:themeFill="accent4" w:themeFillTint="00"/>
        <w:tcBorders/>
      </w:tcPr>
    </w:tblStylePr>
    <w:tblStylePr w:type="band2Horz">
      <w:rPr>
        <w:rFonts w:ascii="Arial" w:hAnsi="Arial"/>
        <w:color w:val="9703ad" w:themeColor="accent4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00" w:themeShade="00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000000" w:themeColor="accent4" w:themeTint="00" w:sz="4" w:space="0"/>
        </w:tcBorders>
      </w:tcPr>
    </w:tblStylePr>
    <w:tblStylePr w:type="firstRow">
      <w:rPr>
        <w:rFonts w:ascii="Arial" w:hAnsi="Arial"/>
        <w:b/>
        <w:color w:val="9703ad" w:themeColor="accent4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000000" w:themeColor="accent4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703ad" w:themeColor="accent4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0" w:space="0"/>
          <w:left w:val="single" w:color="000000" w:themeColor="accent4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9703ad" w:themeColor="accent4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fff1c0" w:themeFill="accent5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00" w:fill="fff1c0" w:themeFill="accent5" w:themeFillTint="00"/>
        <w:tcBorders/>
      </w:tcPr>
    </w:tblStylePr>
    <w:tblStylePr w:type="band2Horz">
      <w:rPr>
        <w:rFonts w:ascii="Arial" w:hAnsi="Arial"/>
        <w:color w:val="755b00" w:themeColor="accent5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00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000000" w:themeColor="accent5" w:themeTint="00" w:sz="4" w:space="0"/>
        </w:tcBorders>
      </w:tcPr>
    </w:tblStylePr>
    <w:tblStylePr w:type="firstRow">
      <w:rPr>
        <w:rFonts w:ascii="Arial" w:hAnsi="Arial"/>
        <w:b/>
        <w:color w:val="755b00" w:themeColor="accent5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000000" w:themeColor="accent5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55b00" w:themeColor="accent5" w:themeShade="00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0" w:space="0"/>
          <w:left w:val="single" w:color="000000" w:themeColor="accent5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55b00" w:themeColor="accent5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f8cecd" w:themeFill="accent6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00" w:fill="f8cecd" w:themeFill="accent6" w:themeFillTint="00"/>
        <w:tcBorders/>
      </w:tcPr>
    </w:tblStylePr>
    <w:tblStylePr w:type="band2Horz">
      <w:rPr>
        <w:rFonts w:ascii="Arial" w:hAnsi="Arial"/>
        <w:color w:val="751312" w:themeColor="accent6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00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000000" w:themeColor="accent6" w:themeTint="00" w:sz="4" w:space="0"/>
        </w:tcBorders>
      </w:tcPr>
    </w:tblStylePr>
    <w:tblStylePr w:type="firstRow">
      <w:rPr>
        <w:rFonts w:ascii="Arial" w:hAnsi="Arial"/>
        <w:b/>
        <w:color w:val="751312" w:themeColor="accent6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000000" w:themeColor="accent6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51312" w:themeColor="accent6" w:themeShade="00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0" w:space="0"/>
          <w:left w:val="single" w:color="000000" w:themeColor="accent6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51312" w:themeColor="accent6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0" w:fill="bfbfbf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0" w:fill="bfbfbf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00" w:fill="b5fdaa" w:themeFill="accen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00" w:fill="b5fdaa" w:themeFill="accen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00" w:fill="aadffd" w:themeFill="accent2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00" w:fill="aadffd" w:themeFill="accent2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00" w:fill="fdc9aa" w:themeFill="accent3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00" w:fill="fdc9aa" w:themeFill="accent3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00" w:fill="f3aafd" w:themeFill="accent4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00" w:fill="f3aafd" w:themeFill="accent4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00" w:fill="ffeeb1" w:themeFill="accent5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00" w:fill="ffeeb1" w:themeFill="accent5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00" w:fill="f6c3c2" w:themeFill="accent6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00" w:fill="f6c3c2" w:themeFill="accent6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bottom w:val="single" w:color="000000" w:themeColor="text1" w:themeTint="00" w:sz="4" w:space="0"/>
        <w:insideH w:val="single" w:color="000000" w:themeColor="text1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bfbfbf" w:themeFill="text1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bfbfbf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bottom w:val="single" w:color="000000" w:themeColor="accent1" w:themeTint="00" w:sz="4" w:space="0"/>
        <w:insideH w:val="single" w:color="000000" w:themeColor="accent1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b5fdaa" w:themeFill="accent1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b5fdaa" w:themeFill="accen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00" w:sz="4" w:space="0"/>
          <w:left w:val="none" w:color="000000" w:sz="4" w:space="0"/>
          <w:bottom w:val="single" w:color="000000" w:themeColor="accen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00" w:sz="4" w:space="0"/>
          <w:left w:val="none" w:color="000000" w:sz="4" w:space="0"/>
          <w:bottom w:val="single" w:color="000000" w:themeColor="accent1" w:themeTint="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bottom w:val="single" w:color="000000" w:themeColor="accent2" w:themeTint="00" w:sz="4" w:space="0"/>
        <w:insideH w:val="single" w:color="000000" w:themeColor="accent2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aadffd" w:themeFill="accent2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aadffd" w:themeFill="accent2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bottom w:val="single" w:color="000000" w:themeColor="accent3" w:themeTint="00" w:sz="4" w:space="0"/>
        <w:insideH w:val="single" w:color="000000" w:themeColor="accent3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fdc9aa" w:themeFill="accent3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fdc9aa" w:themeFill="accent3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bottom w:val="single" w:color="000000" w:themeColor="accent4" w:themeTint="00" w:sz="4" w:space="0"/>
        <w:insideH w:val="single" w:color="000000" w:themeColor="accent4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f3aafd" w:themeFill="accent4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f3aafd" w:themeFill="accent4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bottom w:val="single" w:color="000000" w:themeColor="accent5" w:themeTint="00" w:sz="4" w:space="0"/>
        <w:insideH w:val="single" w:color="000000" w:themeColor="accent5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ffeeb1" w:themeFill="accent5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ffeeb1" w:themeFill="accent5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bottom w:val="single" w:color="000000" w:themeColor="accent6" w:themeTint="00" w:sz="4" w:space="0"/>
        <w:insideH w:val="single" w:color="000000" w:themeColor="accent6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f6c3c2" w:themeFill="accent6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f6c3c2" w:themeFill="accent6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00" w:sz="4" w:space="0"/>
          <w:bottom w:val="single" w:color="000000" w:themeColor="accent2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37b4fb" w:themeFill="accent2" w:themeFillTint="00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00" w:sz="4" w:space="0"/>
          <w:bottom w:val="single" w:color="000000" w:themeColor="accent3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fb7f36" w:themeFill="accent3" w:themeFillTint="00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00" w:sz="4" w:space="0"/>
          <w:bottom w:val="single" w:color="000000" w:themeColor="accent4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e133fb" w:themeFill="accent4" w:themeFillTint="00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00" w:sz="4" w:space="0"/>
          <w:bottom w:val="single" w:color="000000" w:themeColor="accent5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00" w:sz="4" w:space="0"/>
          <w:right w:val="single" w:color="000000" w:themeColor="accent5" w:themeTint="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ffd544" w:themeFill="accent5" w:themeFillTint="00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00" w:sz="4" w:space="0"/>
          <w:bottom w:val="single" w:color="000000" w:themeColor="accent6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00" w:sz="4" w:space="0"/>
          <w:right w:val="single" w:color="000000" w:themeColor="accent6" w:themeTint="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e9706e" w:themeFill="accent6" w:themeFillTint="00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bfbfbf" w:themeFill="text1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bfbfbf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b5fdaa" w:themeFill="accent1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b5fdaa" w:themeFill="accen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aadffd" w:themeFill="accent2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aadffd" w:themeFill="accent2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fdc9aa" w:themeFill="accent3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fdc9aa" w:themeFill="accent3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f3aafd" w:themeFill="accent4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f3aafd" w:themeFill="accent4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ffeeb1" w:themeFill="accent5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ffeeb1" w:themeFill="accent5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f6c3c2" w:themeFill="accent6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f6c3c2" w:themeFill="accent6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00" w:sz="32" w:space="0"/>
        <w:left w:val="single" w:color="000000" w:themeColor="text1" w:themeTint="00" w:sz="32" w:space="0"/>
        <w:bottom w:val="single" w:color="000000" w:themeColor="text1" w:themeTint="00" w:sz="32" w:space="0"/>
        <w:right w:val="single" w:color="000000" w:themeColor="text1" w:themeTint="00" w:sz="32" w:space="0"/>
      </w:tblBorders>
      <w:shd w:val="clear" w:color="ffffff" w:themeColor="text1" w:themeTint="00" w:fill="7f7f7f" w:themeFill="text1" w:themeFillTint="0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0" w:fill="7f7f7f" w:themeFill="text1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0" w:fill="7f7f7f" w:themeFill="text1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00" w:fill="7f7f7f" w:themeFill="text1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7f7f7f" w:themeFill="text1" w:themeFillTint="00"/>
        <w:tcBorders>
          <w:top w:val="single" w:color="000000" w:themeColor="text1" w:themeTint="0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00" w:sz="32" w:space="0"/>
        <w:left w:val="single" w:color="000000" w:themeColor="accent2" w:themeTint="00" w:sz="32" w:space="0"/>
        <w:bottom w:val="single" w:color="000000" w:themeColor="accent2" w:themeTint="00" w:sz="32" w:space="0"/>
        <w:right w:val="single" w:color="000000" w:themeColor="accent2" w:themeTint="00" w:sz="32" w:space="0"/>
      </w:tblBorders>
      <w:shd w:val="clear" w:color="ffffff" w:themeColor="accent2" w:themeTint="00" w:fill="37b4fb" w:themeFill="accent2" w:themeFillTint="0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00" w:fill="37b4fb" w:themeFill="accent2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00" w:fill="37b4fb" w:themeFill="accent2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00" w:fill="37b4fb" w:themeFill="accent2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37b4fb" w:themeFill="accent2" w:themeFillTint="00"/>
        <w:tcBorders>
          <w:top w:val="single" w:color="000000" w:themeColor="accent2" w:themeTint="0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00" w:sz="32" w:space="0"/>
        <w:left w:val="single" w:color="000000" w:themeColor="accent3" w:themeTint="00" w:sz="32" w:space="0"/>
        <w:bottom w:val="single" w:color="000000" w:themeColor="accent3" w:themeTint="00" w:sz="32" w:space="0"/>
        <w:right w:val="single" w:color="000000" w:themeColor="accent3" w:themeTint="00" w:sz="32" w:space="0"/>
      </w:tblBorders>
      <w:shd w:val="clear" w:color="ffffff" w:themeColor="accent3" w:themeTint="00" w:fill="fb7f36" w:themeFill="accent3" w:themeFillTint="0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00" w:fill="fb7f36" w:themeFill="accent3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00" w:fill="fb7f36" w:themeFill="accent3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00" w:fill="fb7f36" w:themeFill="accent3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fb7f36" w:themeFill="accent3" w:themeFillTint="00"/>
        <w:tcBorders>
          <w:top w:val="single" w:color="000000" w:themeColor="accent3" w:themeTint="0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00" w:sz="32" w:space="0"/>
        <w:left w:val="single" w:color="000000" w:themeColor="accent4" w:themeTint="00" w:sz="32" w:space="0"/>
        <w:bottom w:val="single" w:color="000000" w:themeColor="accent4" w:themeTint="00" w:sz="32" w:space="0"/>
        <w:right w:val="single" w:color="000000" w:themeColor="accent4" w:themeTint="00" w:sz="32" w:space="0"/>
      </w:tblBorders>
      <w:shd w:val="clear" w:color="ffffff" w:themeColor="accent4" w:themeTint="00" w:fill="e133fb" w:themeFill="accent4" w:themeFillTint="0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00" w:fill="e133fb" w:themeFill="accent4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00" w:fill="e133fb" w:themeFill="accent4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00" w:fill="e133fb" w:themeFill="accent4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e133fb" w:themeFill="accent4" w:themeFillTint="00"/>
        <w:tcBorders>
          <w:top w:val="single" w:color="000000" w:themeColor="accent4" w:themeTint="0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00" w:sz="32" w:space="0"/>
        <w:left w:val="single" w:color="000000" w:themeColor="accent5" w:themeTint="00" w:sz="32" w:space="0"/>
        <w:bottom w:val="single" w:color="000000" w:themeColor="accent5" w:themeTint="00" w:sz="32" w:space="0"/>
        <w:right w:val="single" w:color="000000" w:themeColor="accent5" w:themeTint="00" w:sz="32" w:space="0"/>
      </w:tblBorders>
      <w:shd w:val="clear" w:color="ffffff" w:themeColor="accent5" w:themeTint="00" w:fill="ffd544" w:themeFill="accent5" w:themeFillTint="0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00" w:fill="ffd544" w:themeFill="accent5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00" w:fill="ffd544" w:themeFill="accent5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00" w:fill="ffd544" w:themeFill="accent5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ffd544" w:themeFill="accent5" w:themeFillTint="00"/>
        <w:tcBorders>
          <w:top w:val="single" w:color="000000" w:themeColor="accent5" w:themeTint="0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00" w:sz="32" w:space="0"/>
        <w:left w:val="single" w:color="000000" w:themeColor="accent6" w:themeTint="00" w:sz="32" w:space="0"/>
        <w:bottom w:val="single" w:color="000000" w:themeColor="accent6" w:themeTint="00" w:sz="32" w:space="0"/>
        <w:right w:val="single" w:color="000000" w:themeColor="accent6" w:themeTint="00" w:sz="32" w:space="0"/>
      </w:tblBorders>
      <w:shd w:val="clear" w:color="ffffff" w:themeColor="accent6" w:themeTint="00" w:fill="e9706e" w:themeFill="accent6" w:themeFillTint="0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00" w:fill="e9706e" w:themeFill="accent6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00" w:fill="e9706e" w:themeFill="accent6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00" w:fill="e9706e" w:themeFill="accent6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e9706e" w:themeFill="accent6" w:themeFillTint="00"/>
        <w:tcBorders>
          <w:top w:val="single" w:color="000000" w:themeColor="accent6" w:themeTint="0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bottom w:val="single" w:color="000000" w:themeColor="text1" w:themeTint="0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bfbfbf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0" w:fill="bfbfbf" w:themeFill="text1" w:themeFillTint="0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0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b5fdaa" w:themeFill="accen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00" w:fill="b5fdaa" w:themeFill="accent1" w:themeFillTint="00"/>
        <w:tcBorders/>
      </w:tcPr>
    </w:tblStylePr>
    <w:tblStylePr w:type="band2Horz">
      <w:rPr>
        <w:rFonts w:ascii="Arial" w:hAnsi="Arial"/>
        <w:color w:val="404040" w:themeColor="accent1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00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0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0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bottom w:val="single" w:color="000000" w:themeColor="accent2" w:themeTint="00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aadffd" w:themeFill="accent2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00" w:fill="aadffd" w:themeFill="accent2" w:themeFillTint="00"/>
        <w:tcBorders/>
      </w:tcPr>
    </w:tblStylePr>
    <w:tblStylePr w:type="band2Horz">
      <w:rPr>
        <w:rFonts w:ascii="Arial" w:hAnsi="Arial"/>
        <w:color w:val="404040" w:themeColor="accent2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00" w:themeShade="0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00" w:sz="4" w:space="0"/>
        </w:tcBorders>
      </w:tcPr>
    </w:tblStylePr>
    <w:tblStylePr w:type="lastCol">
      <w:rPr>
        <w:b/>
        <w:color w:val="0471af" w:themeColor="accent2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00" w:themeShade="0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bottom w:val="single" w:color="000000" w:themeColor="accent3" w:themeTint="00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fdc9aa" w:themeFill="accent3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00" w:fill="fdc9aa" w:themeFill="accent3" w:themeFillTint="00"/>
        <w:tcBorders/>
      </w:tcPr>
    </w:tblStylePr>
    <w:tblStylePr w:type="band2Horz">
      <w:rPr>
        <w:rFonts w:ascii="Arial" w:hAnsi="Arial"/>
        <w:color w:val="404040" w:themeColor="accent3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00" w:themeShade="0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00" w:sz="4" w:space="0"/>
        </w:tcBorders>
      </w:tcPr>
    </w:tblStylePr>
    <w:tblStylePr w:type="lastCol">
      <w:rPr>
        <w:b/>
        <w:color w:val="af4303" w:themeColor="accent3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00" w:themeShade="0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bottom w:val="single" w:color="000000" w:themeColor="accent4" w:themeTint="00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f3aafd" w:themeFill="accent4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00" w:fill="f3aafd" w:themeFill="accent4" w:themeFillTint="00"/>
        <w:tcBorders/>
      </w:tcPr>
    </w:tblStylePr>
    <w:tblStylePr w:type="band2Horz">
      <w:rPr>
        <w:rFonts w:ascii="Arial" w:hAnsi="Arial"/>
        <w:color w:val="404040" w:themeColor="accent4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00" w:themeShade="0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00" w:sz="4" w:space="0"/>
        </w:tcBorders>
      </w:tcPr>
    </w:tblStylePr>
    <w:tblStylePr w:type="lastCol">
      <w:rPr>
        <w:b/>
        <w:color w:val="9703ad" w:themeColor="accent4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00" w:themeShade="0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bottom w:val="single" w:color="000000" w:themeColor="accent5" w:themeTint="00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ffeeb1" w:themeFill="accent5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00" w:fill="ffeeb1" w:themeFill="accent5" w:themeFillTint="00"/>
        <w:tcBorders/>
      </w:tcPr>
    </w:tblStylePr>
    <w:tblStylePr w:type="band2Horz">
      <w:rPr>
        <w:rFonts w:ascii="Arial" w:hAnsi="Arial"/>
        <w:color w:val="404040" w:themeColor="accent5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00" w:themeShade="0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00" w:sz="4" w:space="0"/>
        </w:tcBorders>
      </w:tcPr>
    </w:tblStylePr>
    <w:tblStylePr w:type="lastCol">
      <w:rPr>
        <w:b/>
        <w:color w:val="bd9200" w:themeColor="accent5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00" w:themeShade="00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bottom w:val="single" w:color="000000" w:themeColor="accent6" w:themeTint="00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f6c3c2" w:themeFill="accent6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00" w:fill="f6c3c2" w:themeFill="accent6" w:themeFillTint="00"/>
        <w:tcBorders/>
      </w:tcPr>
    </w:tblStylePr>
    <w:tblStylePr w:type="band2Horz">
      <w:rPr>
        <w:rFonts w:ascii="Arial" w:hAnsi="Arial"/>
        <w:color w:val="404040" w:themeColor="accent6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00" w:themeShade="0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00" w:sz="4" w:space="0"/>
        </w:tcBorders>
      </w:tcPr>
    </w:tblStylePr>
    <w:tblStylePr w:type="lastCol">
      <w:rPr>
        <w:b/>
        <w:color w:val="ae1d1a" w:themeColor="accent6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00" w:themeShade="00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0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bfbfbf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0" w:fill="bfbfbf" w:themeFill="text1" w:themeFillTint="00"/>
        <w:tcBorders/>
      </w:tcPr>
    </w:tblStylePr>
    <w:tblStylePr w:type="band2Horz">
      <w:rPr>
        <w:rFonts w:ascii="Arial" w:hAnsi="Arial"/>
        <w:color w:val="4a4a4a" w:themeColor="text1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00" w:themeShade="00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000000" w:themeColor="text1" w:themeTint="00" w:sz="4" w:space="0"/>
        </w:tcBorders>
      </w:tcPr>
    </w:tblStylePr>
    <w:tblStylePr w:type="firstRow">
      <w:rPr>
        <w:rFonts w:ascii="Arial" w:hAnsi="Arial"/>
        <w:i/>
        <w:color w:val="4a4a4a" w:themeColor="text1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000000" w:themeColor="text1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a4a4a" w:themeColor="text1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0" w:space="0"/>
          <w:left w:val="single" w:color="000000" w:themeColor="text1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4a4a4a" w:themeColor="text1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b5fdaa" w:themeFill="accen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00" w:fill="b5fdaa" w:themeFill="accent1" w:themeFillTint="00"/>
        <w:tcBorders/>
      </w:tcPr>
    </w:tblStylePr>
    <w:tblStylePr w:type="band2Horz">
      <w:rPr>
        <w:rFonts w:ascii="Arial" w:hAnsi="Arial"/>
        <w:color w:val="0e5f02" w:themeColor="accent1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00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000000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0e5f02" w:themeColor="accent1" w:themeShade="00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0" w:space="0"/>
          <w:left w:val="single" w:color="000000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0e5f02" w:themeColor="accent1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00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aadffd" w:themeFill="accent2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00" w:fill="aadffd" w:themeFill="accent2" w:themeFillTint="00"/>
        <w:tcBorders/>
      </w:tcPr>
    </w:tblStylePr>
    <w:tblStylePr w:type="band2Horz">
      <w:rPr>
        <w:rFonts w:ascii="Arial" w:hAnsi="Arial"/>
        <w:color w:val="0471af" w:themeColor="accent2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00" w:themeShade="00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000000" w:themeColor="accent2" w:themeTint="00" w:sz="4" w:space="0"/>
        </w:tcBorders>
      </w:tcPr>
    </w:tblStylePr>
    <w:tblStylePr w:type="firstRow">
      <w:rPr>
        <w:rFonts w:ascii="Arial" w:hAnsi="Arial"/>
        <w:i/>
        <w:color w:val="0471af" w:themeColor="accent2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000000" w:themeColor="accent2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0471af" w:themeColor="accent2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0" w:space="0"/>
          <w:left w:val="single" w:color="000000" w:themeColor="accent2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0471af" w:themeColor="accent2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00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fdc9aa" w:themeFill="accent3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00" w:fill="fdc9aa" w:themeFill="accent3" w:themeFillTint="00"/>
        <w:tcBorders/>
      </w:tcPr>
    </w:tblStylePr>
    <w:tblStylePr w:type="band2Horz">
      <w:rPr>
        <w:rFonts w:ascii="Arial" w:hAnsi="Arial"/>
        <w:color w:val="af4303" w:themeColor="accent3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00" w:themeShade="00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000000" w:themeColor="accent3" w:themeTint="00" w:sz="4" w:space="0"/>
        </w:tcBorders>
      </w:tcPr>
    </w:tblStylePr>
    <w:tblStylePr w:type="firstRow">
      <w:rPr>
        <w:rFonts w:ascii="Arial" w:hAnsi="Arial"/>
        <w:i/>
        <w:color w:val="af4303" w:themeColor="accent3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000000" w:themeColor="accent3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f4303" w:themeColor="accent3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0" w:space="0"/>
          <w:left w:val="single" w:color="000000" w:themeColor="accent3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f4303" w:themeColor="accent3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00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f3aafd" w:themeFill="accent4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00" w:fill="f3aafd" w:themeFill="accent4" w:themeFillTint="00"/>
        <w:tcBorders/>
      </w:tcPr>
    </w:tblStylePr>
    <w:tblStylePr w:type="band2Horz">
      <w:rPr>
        <w:rFonts w:ascii="Arial" w:hAnsi="Arial"/>
        <w:color w:val="9703ad" w:themeColor="accent4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00" w:themeShade="00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000000" w:themeColor="accent4" w:themeTint="00" w:sz="4" w:space="0"/>
        </w:tcBorders>
      </w:tcPr>
    </w:tblStylePr>
    <w:tblStylePr w:type="firstRow">
      <w:rPr>
        <w:rFonts w:ascii="Arial" w:hAnsi="Arial"/>
        <w:i/>
        <w:color w:val="9703ad" w:themeColor="accent4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000000" w:themeColor="accent4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703ad" w:themeColor="accent4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0" w:space="0"/>
          <w:left w:val="single" w:color="000000" w:themeColor="accent4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703ad" w:themeColor="accent4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00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ffeeb1" w:themeFill="accent5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00" w:fill="ffeeb1" w:themeFill="accent5" w:themeFillTint="00"/>
        <w:tcBorders/>
      </w:tcPr>
    </w:tblStylePr>
    <w:tblStylePr w:type="band2Horz">
      <w:rPr>
        <w:rFonts w:ascii="Arial" w:hAnsi="Arial"/>
        <w:color w:val="bd9200" w:themeColor="accent5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00" w:themeShade="00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000000" w:themeColor="accent5" w:themeTint="00" w:sz="4" w:space="0"/>
        </w:tcBorders>
      </w:tcPr>
    </w:tblStylePr>
    <w:tblStylePr w:type="firstRow">
      <w:rPr>
        <w:rFonts w:ascii="Arial" w:hAnsi="Arial"/>
        <w:i/>
        <w:color w:val="bd9200" w:themeColor="accent5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000000" w:themeColor="accent5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d9200" w:themeColor="accent5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0" w:space="0"/>
          <w:left w:val="single" w:color="000000" w:themeColor="accent5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bd9200" w:themeColor="accent5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00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f6c3c2" w:themeFill="accent6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00" w:fill="f6c3c2" w:themeFill="accent6" w:themeFillTint="00"/>
        <w:tcBorders/>
      </w:tcPr>
    </w:tblStylePr>
    <w:tblStylePr w:type="band2Horz">
      <w:rPr>
        <w:rFonts w:ascii="Arial" w:hAnsi="Arial"/>
        <w:color w:val="ae1d1a" w:themeColor="accent6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00" w:themeShade="00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000000" w:themeColor="accent6" w:themeTint="00" w:sz="4" w:space="0"/>
        </w:tcBorders>
      </w:tcPr>
    </w:tblStylePr>
    <w:tblStylePr w:type="firstRow">
      <w:rPr>
        <w:rFonts w:ascii="Arial" w:hAnsi="Arial"/>
        <w:i/>
        <w:color w:val="ae1d1a" w:themeColor="accent6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000000" w:themeColor="accent6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e1d1a" w:themeColor="accent6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0" w:space="0"/>
          <w:left w:val="single" w:color="000000" w:themeColor="accent6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e1d1a" w:themeColor="accent6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f2f2f2" w:themeFill="text1" w:themeFillTint="0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f2f2f2" w:themeFill="text1" w:themeFillTint="0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7f7f7f" w:themeFill="text1" w:themeFillTint="0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7f7f7f" w:themeFill="text1" w:themeFillTint="0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7f7f7f" w:themeFill="text1" w:themeFillTint="0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7f7f7f" w:themeFill="text1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1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a3fd95" w:themeFill="accent1" w:themeFillTint="0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a3fd95" w:themeFill="accent1" w:themeFillTint="0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1cbf04" w:themeFill="accent1" w:themeFillTint="0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1cbf04" w:themeFill="accent1" w:themeFillTint="0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1cbf04" w:themeFill="accent1" w:themeFillTint="0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1cbf04" w:themeFill="accent1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2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bde6fe" w:themeFill="accent2" w:themeFillTint="0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bde6fe" w:themeFill="accent2" w:themeFillTint="0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37b4fb" w:themeFill="accent2" w:themeFillTint="0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37b4fb" w:themeFill="accent2" w:themeFillTint="0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37b4fb" w:themeFill="accent2" w:themeFillTint="0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37b4fb" w:themeFill="accent2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3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fed3ba" w:themeFill="accent3" w:themeFillTint="0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fed3ba" w:themeFill="accent3" w:themeFillTint="0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a43f03" w:themeFill="accent3" w:themeFillTint="0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a43f03" w:themeFill="accent3" w:themeFillTint="0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a43f03" w:themeFill="accent3" w:themeFillTint="0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a43f03" w:themeFill="accent3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4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f5bafe" w:themeFill="accent4" w:themeFillTint="0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f5bafe" w:themeFill="accent4" w:themeFillTint="0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e133fb" w:themeFill="accent4" w:themeFillTint="0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e133fb" w:themeFill="accent4" w:themeFillTint="0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e133fb" w:themeFill="accent4" w:themeFillTint="0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e133fb" w:themeFill="accent4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5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fff1c0" w:themeFill="accent5" w:themeFillTint="0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fff1c0" w:themeFill="accent5" w:themeFillTint="0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6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f8cecd" w:themeFill="accent6" w:themeFillTint="0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f8cecd" w:themeFill="accent6" w:themeFillTint="0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f2f2f2" w:themeFill="text1" w:themeFillTint="0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f2f2f2" w:themeFill="text1" w:themeFillTint="0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7f7f7f" w:themeFill="text1" w:themeFillTint="0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7f7f7f" w:themeFill="text1" w:themeFillTint="0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7f7f7f" w:themeFill="text1" w:themeFillTint="0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7f7f7f" w:themeFill="text1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1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00" w:sz="4" w:space="0"/>
        <w:left w:val="single" w:color="000000" w:themeColor="accent1" w:themeShade="00" w:sz="4" w:space="0"/>
        <w:bottom w:val="single" w:color="000000" w:themeColor="accent1" w:themeShade="00" w:sz="4" w:space="0"/>
        <w:right w:val="single" w:color="000000" w:themeColor="accent1" w:themeShade="00" w:sz="4" w:space="0"/>
        <w:insideH w:val="single" w:color="000000" w:themeColor="accent1" w:themeShade="00" w:sz="4" w:space="0"/>
        <w:insideV w:val="single" w:color="000000" w:themeColor="accent1" w:themeShade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a3fd95" w:themeFill="accent1" w:themeFillTint="0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a3fd95" w:themeFill="accent1" w:themeFillTint="0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1cbf04" w:themeFill="accent1" w:themeFillTint="0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1cbf04" w:themeFill="accent1" w:themeFillTint="0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1cbf04" w:themeFill="accent1" w:themeFillTint="0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1cbf04" w:themeFill="accent1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2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00" w:sz="4" w:space="0"/>
        <w:left w:val="single" w:color="000000" w:themeColor="accent2" w:themeShade="00" w:sz="4" w:space="0"/>
        <w:bottom w:val="single" w:color="000000" w:themeColor="accent2" w:themeShade="00" w:sz="4" w:space="0"/>
        <w:right w:val="single" w:color="000000" w:themeColor="accent2" w:themeShade="00" w:sz="4" w:space="0"/>
        <w:insideH w:val="single" w:color="000000" w:themeColor="accent2" w:themeShade="00" w:sz="4" w:space="0"/>
        <w:insideV w:val="single" w:color="000000" w:themeColor="accent2" w:themeShade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bde6fe" w:themeFill="accent2" w:themeFillTint="0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bde6fe" w:themeFill="accent2" w:themeFillTint="0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37b4fb" w:themeFill="accent2" w:themeFillTint="0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37b4fb" w:themeFill="accent2" w:themeFillTint="0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37b4fb" w:themeFill="accent2" w:themeFillTint="0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37b4fb" w:themeFill="accent2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3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00" w:sz="4" w:space="0"/>
        <w:left w:val="single" w:color="000000" w:themeColor="accent3" w:themeShade="00" w:sz="4" w:space="0"/>
        <w:bottom w:val="single" w:color="000000" w:themeColor="accent3" w:themeShade="00" w:sz="4" w:space="0"/>
        <w:right w:val="single" w:color="000000" w:themeColor="accent3" w:themeShade="00" w:sz="4" w:space="0"/>
        <w:insideH w:val="single" w:color="000000" w:themeColor="accent3" w:themeShade="00" w:sz="4" w:space="0"/>
        <w:insideV w:val="single" w:color="000000" w:themeColor="accent3" w:themeShade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fed3ba" w:themeFill="accent3" w:themeFillTint="0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fed3ba" w:themeFill="accent3" w:themeFillTint="0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a43f03" w:themeFill="accent3" w:themeFillTint="0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a43f03" w:themeFill="accent3" w:themeFillTint="0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a43f03" w:themeFill="accent3" w:themeFillTint="0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a43f03" w:themeFill="accent3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4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00" w:sz="4" w:space="0"/>
        <w:left w:val="single" w:color="000000" w:themeColor="accent4" w:themeShade="00" w:sz="4" w:space="0"/>
        <w:bottom w:val="single" w:color="000000" w:themeColor="accent4" w:themeShade="00" w:sz="4" w:space="0"/>
        <w:right w:val="single" w:color="000000" w:themeColor="accent4" w:themeShade="00" w:sz="4" w:space="0"/>
        <w:insideH w:val="single" w:color="000000" w:themeColor="accent4" w:themeShade="00" w:sz="4" w:space="0"/>
        <w:insideV w:val="single" w:color="000000" w:themeColor="accent4" w:themeShade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f5bafe" w:themeFill="accent4" w:themeFillTint="0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f5bafe" w:themeFill="accent4" w:themeFillTint="0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e133fb" w:themeFill="accent4" w:themeFillTint="0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e133fb" w:themeFill="accent4" w:themeFillTint="0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e133fb" w:themeFill="accent4" w:themeFillTint="0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e133fb" w:themeFill="accent4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5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00" w:sz="4" w:space="0"/>
        <w:left w:val="single" w:color="000000" w:themeColor="accent5" w:themeShade="00" w:sz="4" w:space="0"/>
        <w:bottom w:val="single" w:color="000000" w:themeColor="accent5" w:themeShade="00" w:sz="4" w:space="0"/>
        <w:right w:val="single" w:color="000000" w:themeColor="accent5" w:themeShade="00" w:sz="4" w:space="0"/>
        <w:insideH w:val="single" w:color="000000" w:themeColor="accent5" w:themeShade="00" w:sz="4" w:space="0"/>
        <w:insideV w:val="single" w:color="000000" w:themeColor="accent5" w:themeShade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fff1c0" w:themeFill="accent5" w:themeFillTint="0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fff1c0" w:themeFill="accent5" w:themeFillTint="0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6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00" w:sz="4" w:space="0"/>
        <w:left w:val="single" w:color="000000" w:themeColor="accent6" w:themeShade="00" w:sz="4" w:space="0"/>
        <w:bottom w:val="single" w:color="000000" w:themeColor="accent6" w:themeShade="00" w:sz="4" w:space="0"/>
        <w:right w:val="single" w:color="000000" w:themeColor="accent6" w:themeShade="00" w:sz="4" w:space="0"/>
        <w:insideH w:val="single" w:color="000000" w:themeColor="accent6" w:themeShade="00" w:sz="4" w:space="0"/>
        <w:insideV w:val="single" w:color="000000" w:themeColor="accent6" w:themeShade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f8cecd" w:themeFill="accent6" w:themeFillTint="0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f8cecd" w:themeFill="accent6" w:themeFillTint="0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00" w:sz="4" w:space="0"/>
          <w:left w:val="single" w:color="000000" w:themeColor="text1" w:themeTint="00" w:sz="4" w:space="0"/>
          <w:bottom w:val="single" w:color="000000" w:themeColor="text1" w:themeTint="00" w:sz="4" w:space="0"/>
          <w:right w:val="single" w:color="000000" w:themeColor="text1" w:themeTint="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00" w:sz="4" w:space="0"/>
          <w:left w:val="single" w:color="000000" w:themeColor="accent1" w:themeTint="00" w:sz="4" w:space="0"/>
          <w:bottom w:val="single" w:color="000000" w:themeColor="accent1" w:themeTint="00" w:sz="4" w:space="0"/>
          <w:right w:val="single" w:color="000000" w:themeColor="accent1" w:themeTint="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00" w:sz="4" w:space="0"/>
          <w:left w:val="single" w:color="000000" w:themeColor="accent2" w:themeTint="00" w:sz="4" w:space="0"/>
          <w:bottom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00" w:sz="4" w:space="0"/>
          <w:left w:val="single" w:color="000000" w:themeColor="accent3" w:themeTint="00" w:sz="4" w:space="0"/>
          <w:bottom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00" w:sz="4" w:space="0"/>
          <w:left w:val="single" w:color="000000" w:themeColor="accent4" w:themeTint="00" w:sz="4" w:space="0"/>
          <w:bottom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00" w:sz="4" w:space="0"/>
          <w:left w:val="single" w:color="000000" w:themeColor="accent5" w:themeTint="00" w:sz="4" w:space="0"/>
          <w:bottom w:val="single" w:color="000000" w:themeColor="accent5" w:themeTint="00" w:sz="4" w:space="0"/>
          <w:right w:val="single" w:color="000000" w:themeColor="accent5" w:themeTint="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00" w:sz="4" w:space="0"/>
          <w:left w:val="single" w:color="000000" w:themeColor="accent6" w:themeTint="00" w:sz="4" w:space="0"/>
          <w:bottom w:val="single" w:color="000000" w:themeColor="accent6" w:themeTint="00" w:sz="4" w:space="0"/>
          <w:right w:val="single" w:color="000000" w:themeColor="accent6" w:themeTint="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7">
    <w:name w:val="Heading 7"/>
    <w:link w:val="84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00"/>
    </w:rPr>
  </w:style>
  <w:style w:type="paragraph" w:styleId="838">
    <w:name w:val="Heading 8"/>
    <w:link w:val="84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00"/>
    </w:rPr>
  </w:style>
  <w:style w:type="paragraph" w:styleId="839">
    <w:name w:val="Heading 9"/>
    <w:link w:val="85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00"/>
    </w:rPr>
  </w:style>
  <w:style w:type="character" w:styleId="840" w:default="1">
    <w:name w:val="Default Paragraph Font"/>
    <w:uiPriority w:val="1"/>
    <w:semiHidden/>
    <w:unhideWhenUsed/>
    <w:pPr>
      <w:pBdr/>
      <w:spacing/>
      <w:ind/>
    </w:pPr>
  </w:style>
  <w:style w:type="numbering" w:styleId="841" w:default="1">
    <w:name w:val="No List"/>
    <w:uiPriority w:val="99"/>
    <w:semiHidden/>
    <w:unhideWhenUsed/>
    <w:pPr>
      <w:pBdr/>
      <w:spacing/>
      <w:ind/>
    </w:pPr>
  </w:style>
  <w:style w:type="character" w:styleId="842">
    <w:name w:val="Heading 1 Char"/>
    <w:basedOn w:val="840"/>
    <w:uiPriority w:val="9"/>
    <w:pPr>
      <w:pBdr/>
      <w:spacing/>
      <w:ind/>
    </w:pPr>
    <w:rPr>
      <w:rFonts w:ascii="Arial" w:hAnsi="Arial" w:eastAsia="Arial" w:cs="Arial"/>
      <w:color w:val="0f4761" w:themeColor="accent1" w:themeShade="00"/>
      <w:sz w:val="40"/>
      <w:szCs w:val="40"/>
    </w:rPr>
  </w:style>
  <w:style w:type="character" w:styleId="843">
    <w:name w:val="Heading 2 Char"/>
    <w:basedOn w:val="840"/>
    <w:uiPriority w:val="9"/>
    <w:pPr>
      <w:pBdr/>
      <w:spacing/>
      <w:ind/>
    </w:pPr>
    <w:rPr>
      <w:rFonts w:ascii="Arial" w:hAnsi="Arial" w:eastAsia="Arial" w:cs="Arial"/>
      <w:color w:val="0f4761" w:themeColor="accent1" w:themeShade="00"/>
      <w:sz w:val="32"/>
      <w:szCs w:val="32"/>
    </w:rPr>
  </w:style>
  <w:style w:type="character" w:styleId="844">
    <w:name w:val="Heading 3 Char"/>
    <w:basedOn w:val="840"/>
    <w:uiPriority w:val="9"/>
    <w:pPr>
      <w:pBdr/>
      <w:spacing/>
      <w:ind/>
    </w:pPr>
    <w:rPr>
      <w:rFonts w:ascii="Arial" w:hAnsi="Arial" w:eastAsia="Arial" w:cs="Arial"/>
      <w:color w:val="0f4761" w:themeColor="accent1" w:themeShade="00"/>
      <w:sz w:val="28"/>
      <w:szCs w:val="28"/>
    </w:rPr>
  </w:style>
  <w:style w:type="character" w:styleId="845">
    <w:name w:val="Heading 4 Char"/>
    <w:basedOn w:val="84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00"/>
    </w:rPr>
  </w:style>
  <w:style w:type="character" w:styleId="846">
    <w:name w:val="Heading 5 Char"/>
    <w:basedOn w:val="840"/>
    <w:uiPriority w:val="9"/>
    <w:pPr>
      <w:pBdr/>
      <w:spacing/>
      <w:ind/>
    </w:pPr>
    <w:rPr>
      <w:rFonts w:ascii="Arial" w:hAnsi="Arial" w:eastAsia="Arial" w:cs="Arial"/>
      <w:color w:val="0f4761" w:themeColor="accent1" w:themeShade="00"/>
    </w:rPr>
  </w:style>
  <w:style w:type="character" w:styleId="847">
    <w:name w:val="Heading 6 Char"/>
    <w:basedOn w:val="84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00"/>
    </w:rPr>
  </w:style>
  <w:style w:type="character" w:styleId="848">
    <w:name w:val="Heading 7 Char"/>
    <w:basedOn w:val="840"/>
    <w:link w:val="837"/>
    <w:uiPriority w:val="9"/>
    <w:pPr>
      <w:pBdr/>
      <w:spacing/>
      <w:ind/>
    </w:pPr>
    <w:rPr>
      <w:rFonts w:ascii="Arial" w:hAnsi="Arial" w:eastAsia="Arial" w:cs="Arial"/>
      <w:color w:val="595959" w:themeColor="text1" w:themeTint="00"/>
    </w:rPr>
  </w:style>
  <w:style w:type="character" w:styleId="849">
    <w:name w:val="Heading 8 Char"/>
    <w:basedOn w:val="840"/>
    <w:link w:val="83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00"/>
    </w:rPr>
  </w:style>
  <w:style w:type="character" w:styleId="850">
    <w:name w:val="Heading 9 Char"/>
    <w:basedOn w:val="840"/>
    <w:link w:val="83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00"/>
    </w:rPr>
  </w:style>
  <w:style w:type="character" w:styleId="851">
    <w:name w:val="Title Char"/>
    <w:basedOn w:val="84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52">
    <w:name w:val="Subtitle Char"/>
    <w:basedOn w:val="840"/>
    <w:uiPriority w:val="11"/>
    <w:pPr>
      <w:pBdr/>
      <w:spacing/>
      <w:ind/>
    </w:pPr>
    <w:rPr>
      <w:color w:val="595959" w:themeColor="text1" w:themeTint="00"/>
      <w:spacing w:val="15"/>
      <w:sz w:val="28"/>
      <w:szCs w:val="28"/>
    </w:rPr>
  </w:style>
  <w:style w:type="paragraph" w:styleId="853">
    <w:name w:val="Quote"/>
    <w:link w:val="854"/>
    <w:uiPriority w:val="29"/>
    <w:qFormat/>
    <w:pPr>
      <w:pBdr/>
      <w:spacing w:before="160"/>
      <w:ind/>
      <w:jc w:val="center"/>
    </w:pPr>
    <w:rPr>
      <w:i/>
      <w:iCs/>
      <w:color w:val="404040" w:themeColor="text1" w:themeTint="00"/>
    </w:rPr>
  </w:style>
  <w:style w:type="character" w:styleId="854">
    <w:name w:val="Quote Char"/>
    <w:basedOn w:val="840"/>
    <w:link w:val="853"/>
    <w:uiPriority w:val="29"/>
    <w:pPr>
      <w:pBdr/>
      <w:spacing/>
      <w:ind/>
    </w:pPr>
    <w:rPr>
      <w:i/>
      <w:iCs/>
      <w:color w:val="404040" w:themeColor="text1" w:themeTint="00"/>
    </w:rPr>
  </w:style>
  <w:style w:type="paragraph" w:styleId="855">
    <w:name w:val="List Paragraph"/>
    <w:uiPriority w:val="34"/>
    <w:qFormat/>
    <w:pPr>
      <w:pBdr/>
      <w:spacing/>
      <w:ind w:left="720"/>
      <w:contextualSpacing w:val="true"/>
    </w:pPr>
  </w:style>
  <w:style w:type="character" w:styleId="856">
    <w:name w:val="Intense Emphasis"/>
    <w:basedOn w:val="840"/>
    <w:uiPriority w:val="21"/>
    <w:qFormat/>
    <w:pPr>
      <w:pBdr/>
      <w:spacing/>
      <w:ind/>
    </w:pPr>
    <w:rPr>
      <w:i/>
      <w:iCs/>
      <w:color w:val="0f4761" w:themeColor="accent1" w:themeShade="00"/>
    </w:rPr>
  </w:style>
  <w:style w:type="paragraph" w:styleId="857">
    <w:name w:val="Intense Quote"/>
    <w:link w:val="858"/>
    <w:uiPriority w:val="30"/>
    <w:qFormat/>
    <w:pPr>
      <w:pBdr>
        <w:top w:val="single" w:color="0f4761" w:themeColor="accent1" w:themeShade="00" w:sz="4" w:space="10"/>
        <w:bottom w:val="single" w:color="0f4761" w:themeColor="accent1" w:themeShade="00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00"/>
    </w:rPr>
  </w:style>
  <w:style w:type="character" w:styleId="858">
    <w:name w:val="Intense Quote Char"/>
    <w:basedOn w:val="840"/>
    <w:link w:val="857"/>
    <w:uiPriority w:val="30"/>
    <w:pPr>
      <w:pBdr/>
      <w:spacing/>
      <w:ind/>
    </w:pPr>
    <w:rPr>
      <w:i/>
      <w:iCs/>
      <w:color w:val="0f4761" w:themeColor="accent1" w:themeShade="00"/>
    </w:rPr>
  </w:style>
  <w:style w:type="character" w:styleId="859">
    <w:name w:val="Intense Reference"/>
    <w:basedOn w:val="840"/>
    <w:uiPriority w:val="32"/>
    <w:qFormat/>
    <w:pPr>
      <w:pBdr/>
      <w:spacing/>
      <w:ind/>
    </w:pPr>
    <w:rPr>
      <w:b/>
      <w:bCs/>
      <w:smallCaps/>
      <w:color w:val="0f4761" w:themeColor="accent1" w:themeShade="00"/>
      <w:spacing w:val="5"/>
    </w:rPr>
  </w:style>
  <w:style w:type="paragraph" w:styleId="860">
    <w:name w:val="No Spacing"/>
    <w:uiPriority w:val="1"/>
    <w:qFormat/>
    <w:pPr>
      <w:pBdr/>
      <w:spacing w:after="0" w:line="240" w:lineRule="auto"/>
      <w:ind/>
    </w:pPr>
  </w:style>
  <w:style w:type="character" w:styleId="861">
    <w:name w:val="Subtle Emphasis"/>
    <w:basedOn w:val="840"/>
    <w:uiPriority w:val="19"/>
    <w:qFormat/>
    <w:pPr>
      <w:pBdr/>
      <w:spacing/>
      <w:ind/>
    </w:pPr>
    <w:rPr>
      <w:i/>
      <w:iCs/>
      <w:color w:val="404040" w:themeColor="text1" w:themeTint="00"/>
    </w:rPr>
  </w:style>
  <w:style w:type="character" w:styleId="862">
    <w:name w:val="Emphasis"/>
    <w:basedOn w:val="840"/>
    <w:uiPriority w:val="20"/>
    <w:qFormat/>
    <w:pPr>
      <w:pBdr/>
      <w:spacing/>
      <w:ind/>
    </w:pPr>
    <w:rPr>
      <w:i/>
      <w:iCs/>
    </w:rPr>
  </w:style>
  <w:style w:type="character" w:styleId="863">
    <w:name w:val="Strong"/>
    <w:basedOn w:val="840"/>
    <w:uiPriority w:val="22"/>
    <w:qFormat/>
    <w:pPr>
      <w:pBdr/>
      <w:spacing/>
      <w:ind/>
    </w:pPr>
    <w:rPr>
      <w:b/>
      <w:bCs/>
    </w:rPr>
  </w:style>
  <w:style w:type="character" w:styleId="864">
    <w:name w:val="Subtle Reference"/>
    <w:basedOn w:val="840"/>
    <w:uiPriority w:val="31"/>
    <w:qFormat/>
    <w:pPr>
      <w:pBdr/>
      <w:spacing/>
      <w:ind/>
    </w:pPr>
    <w:rPr>
      <w:smallCaps/>
      <w:color w:val="5a5a5a" w:themeColor="text1" w:themeTint="00"/>
    </w:rPr>
  </w:style>
  <w:style w:type="character" w:styleId="865">
    <w:name w:val="Book Title"/>
    <w:basedOn w:val="84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6">
    <w:name w:val="Header"/>
    <w:link w:val="86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7">
    <w:name w:val="Header Char"/>
    <w:basedOn w:val="840"/>
    <w:link w:val="866"/>
    <w:uiPriority w:val="99"/>
    <w:pPr>
      <w:pBdr/>
      <w:spacing/>
      <w:ind/>
    </w:pPr>
  </w:style>
  <w:style w:type="paragraph" w:styleId="868">
    <w:name w:val="Footer"/>
    <w:link w:val="86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9">
    <w:name w:val="Footer Char"/>
    <w:basedOn w:val="840"/>
    <w:link w:val="868"/>
    <w:uiPriority w:val="99"/>
    <w:pPr>
      <w:pBdr/>
      <w:spacing/>
      <w:ind/>
    </w:pPr>
  </w:style>
  <w:style w:type="paragraph" w:styleId="870">
    <w:name w:val="footnote text"/>
    <w:link w:val="87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1">
    <w:name w:val="Footnote Text Char"/>
    <w:basedOn w:val="840"/>
    <w:link w:val="870"/>
    <w:uiPriority w:val="99"/>
    <w:semiHidden/>
    <w:pPr>
      <w:pBdr/>
      <w:spacing/>
      <w:ind/>
    </w:pPr>
    <w:rPr>
      <w:sz w:val="20"/>
      <w:szCs w:val="20"/>
    </w:rPr>
  </w:style>
  <w:style w:type="character" w:styleId="872">
    <w:name w:val="foot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paragraph" w:styleId="873">
    <w:name w:val="endnote text"/>
    <w:link w:val="87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4">
    <w:name w:val="Endnote Text Char"/>
    <w:basedOn w:val="840"/>
    <w:link w:val="873"/>
    <w:uiPriority w:val="99"/>
    <w:semiHidden/>
    <w:pPr>
      <w:pBdr/>
      <w:spacing/>
      <w:ind/>
    </w:pPr>
    <w:rPr>
      <w:sz w:val="20"/>
      <w:szCs w:val="20"/>
    </w:rPr>
  </w:style>
  <w:style w:type="character" w:styleId="875">
    <w:name w:val="end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character" w:styleId="876">
    <w:name w:val="Hyperlink"/>
    <w:basedOn w:val="84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7">
    <w:name w:val="FollowedHyperlink"/>
    <w:basedOn w:val="84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8">
    <w:name w:val="toc 1"/>
    <w:uiPriority w:val="39"/>
    <w:unhideWhenUsed/>
    <w:pPr>
      <w:pBdr/>
      <w:spacing w:after="100"/>
      <w:ind/>
    </w:pPr>
  </w:style>
  <w:style w:type="paragraph" w:styleId="879">
    <w:name w:val="toc 2"/>
    <w:uiPriority w:val="39"/>
    <w:unhideWhenUsed/>
    <w:pPr>
      <w:pBdr/>
      <w:spacing w:after="100"/>
      <w:ind w:left="220"/>
    </w:pPr>
  </w:style>
  <w:style w:type="paragraph" w:styleId="880">
    <w:name w:val="toc 3"/>
    <w:uiPriority w:val="39"/>
    <w:unhideWhenUsed/>
    <w:pPr>
      <w:pBdr/>
      <w:spacing w:after="100"/>
      <w:ind w:left="440"/>
    </w:pPr>
  </w:style>
  <w:style w:type="paragraph" w:styleId="881">
    <w:name w:val="toc 4"/>
    <w:uiPriority w:val="39"/>
    <w:unhideWhenUsed/>
    <w:pPr>
      <w:pBdr/>
      <w:spacing w:after="100"/>
      <w:ind w:left="660"/>
    </w:pPr>
  </w:style>
  <w:style w:type="paragraph" w:styleId="882">
    <w:name w:val="toc 5"/>
    <w:uiPriority w:val="39"/>
    <w:unhideWhenUsed/>
    <w:pPr>
      <w:pBdr/>
      <w:spacing w:after="100"/>
      <w:ind w:left="880"/>
    </w:pPr>
  </w:style>
  <w:style w:type="paragraph" w:styleId="883">
    <w:name w:val="toc 6"/>
    <w:uiPriority w:val="39"/>
    <w:unhideWhenUsed/>
    <w:pPr>
      <w:pBdr/>
      <w:spacing w:after="100"/>
      <w:ind w:left="1100"/>
    </w:pPr>
  </w:style>
  <w:style w:type="paragraph" w:styleId="884">
    <w:name w:val="toc 7"/>
    <w:uiPriority w:val="39"/>
    <w:unhideWhenUsed/>
    <w:pPr>
      <w:pBdr/>
      <w:spacing w:after="100"/>
      <w:ind w:left="1320"/>
    </w:pPr>
  </w:style>
  <w:style w:type="paragraph" w:styleId="885">
    <w:name w:val="toc 8"/>
    <w:uiPriority w:val="39"/>
    <w:unhideWhenUsed/>
    <w:pPr>
      <w:pBdr/>
      <w:spacing w:after="100"/>
      <w:ind w:left="1540"/>
    </w:pPr>
  </w:style>
  <w:style w:type="paragraph" w:styleId="886">
    <w:name w:val="toc 9"/>
    <w:uiPriority w:val="39"/>
    <w:unhideWhenUsed/>
    <w:pPr>
      <w:pBdr/>
      <w:spacing w:after="100"/>
      <w:ind w:left="1760"/>
    </w:pPr>
  </w:style>
  <w:style w:type="paragraph" w:styleId="887">
    <w:name w:val="TOC Heading"/>
    <w:uiPriority w:val="39"/>
    <w:unhideWhenUsed/>
    <w:pPr>
      <w:pBdr/>
      <w:spacing/>
      <w:ind/>
    </w:pPr>
  </w:style>
  <w:style w:type="paragraph" w:styleId="888">
    <w:name w:val="table of figures"/>
    <w:uiPriority w:val="99"/>
    <w:unhideWhenUsed/>
    <w:pPr>
      <w:pBdr/>
      <w:spacing w:after="0" w:afterAutospacing="0"/>
      <w:ind/>
    </w:pPr>
  </w:style>
  <w:style w:type="character" w:styleId="889">
    <w:name w:val="Маркеры"/>
    <w:qFormat/>
    <w:pPr>
      <w:pBdr/>
      <w:spacing/>
      <w:ind/>
    </w:pPr>
    <w:rPr>
      <w:rFonts w:ascii="OpenSymbol" w:hAnsi="OpenSymbol" w:eastAsia="OpenSymbol" w:cs="OpenSymbol"/>
    </w:rPr>
  </w:style>
  <w:style w:type="paragraph" w:styleId="890">
    <w:name w:val="Заголовок"/>
    <w:next w:val="891"/>
    <w:qFormat/>
    <w:pPr>
      <w:keepNext w:val="true"/>
      <w:pBdr/>
      <w:spacing w:after="120" w:before="240"/>
      <w:ind/>
    </w:pPr>
    <w:rPr>
      <w:rFonts w:ascii="Liberation Sans" w:hAnsi="Liberation Sans" w:eastAsia="Droid Sans Fallback" w:cs="Droid Sans Devanagari"/>
      <w:sz w:val="28"/>
      <w:szCs w:val="28"/>
    </w:rPr>
  </w:style>
  <w:style w:type="paragraph" w:styleId="891">
    <w:name w:val="Body Text"/>
    <w:pPr>
      <w:pBdr/>
      <w:spacing w:after="140" w:before="0" w:line="276" w:lineRule="auto"/>
      <w:ind/>
    </w:pPr>
  </w:style>
  <w:style w:type="paragraph" w:styleId="892">
    <w:name w:val="List"/>
    <w:basedOn w:val="891"/>
    <w:pPr>
      <w:pBdr/>
      <w:spacing/>
      <w:ind/>
    </w:pPr>
    <w:rPr>
      <w:rFonts w:cs="Droid Sans Devanagari"/>
    </w:rPr>
  </w:style>
  <w:style w:type="paragraph" w:styleId="893">
    <w:name w:val="Caption"/>
    <w:qFormat/>
    <w:pPr>
      <w:suppressLineNumbers w:val="true"/>
      <w:pBdr/>
      <w:spacing w:after="120" w:before="120"/>
      <w:ind/>
    </w:pPr>
    <w:rPr>
      <w:rFonts w:cs="Droid Sans Devanagari"/>
      <w:i/>
      <w:iCs/>
      <w:sz w:val="24"/>
      <w:szCs w:val="24"/>
    </w:rPr>
  </w:style>
  <w:style w:type="paragraph" w:styleId="894">
    <w:name w:val="Указатель"/>
    <w:qFormat/>
    <w:pPr>
      <w:suppressLineNumbers w:val="true"/>
      <w:pBdr/>
      <w:spacing/>
      <w:ind/>
    </w:pPr>
    <w:rPr>
      <w:rFonts w:cs="Droid Sans Devanagari"/>
    </w:rPr>
  </w:style>
  <w:style w:type="paragraph" w:styleId="895">
    <w:name w:val="Subtitle"/>
    <w:basedOn w:val="701"/>
    <w:next w:val="701"/>
    <w:pPr>
      <w:pBdr/>
      <w:spacing/>
      <w:ind/>
    </w:pPr>
    <w:rPr>
      <w:color w:val="595959"/>
      <w:sz w:val="28"/>
      <w:szCs w:val="28"/>
    </w:rPr>
  </w:style>
  <w:style w:type="table" w:styleId="896">
    <w:name w:val="StGen0"/>
    <w:basedOn w:val="702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StGen1"/>
    <w:basedOn w:val="702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StGen2"/>
    <w:basedOn w:val="702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srv1.lab.local:8006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9RMddJWNHS9Kuiqcr+nZ1oj5KQ==">CgMxLjA4AHIhMV9fN25zRUpLQlp1QlpzVjdCSU4tTFV4MThBaGc4Mm1E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created xsi:type="dcterms:W3CDTF">2024-06-23T09:19:00Z</dcterms:created>
  <dcterms:modified xsi:type="dcterms:W3CDTF">2025-08-16T16:52:20Z</dcterms:modified>
</cp:coreProperties>
</file>