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Developer Merge Report (DMR)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Pull Request</w:t>
      </w:r>
    </w:p>
    <w:p>
      <w:r>
        <w:t>• PR: #XX — branch → target</w:t>
      </w:r>
    </w:p>
    <w:p>
      <w:r>
        <w:t>• Merge: type por author</w:t>
      </w:r>
    </w:p>
    <w:p>
      <w:r>
        <w:t>• Commits: summary</w:t>
      </w:r>
    </w:p>
    <w:p>
      <w:r>
        <w:t>• Notas: N/A si todo está en orden / observaciones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Cambios estructurales</w:t>
      </w:r>
    </w:p>
    <w:p>
      <w:r>
        <w:rPr>
          <w:i/>
          <w:color w:val="666666"/>
        </w:rPr>
        <w:t>Instrucción: Si NO hubo cambios, escribe "N/A" en toda la fila.</w:t>
      </w:r>
    </w:p>
    <w:tbl>
      <w:tblPr>
        <w:tblStyle w:val="TableGrid"/>
        <w:tblW w:w="5000" w:type="pct"/>
      </w:tblPr>
      <w:tr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Cambio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Razón</w:t>
            </w:r>
          </w:p>
        </w:tc>
      </w:tr>
      <w:tr>
        <w:tc>
          <w:p>
            <w:r>
              <w:t>N/A (sin cambios)</w:t>
            </w:r>
          </w:p>
        </w:tc>
        <w:tc>
          <w:p>
            <w:r>
              <w:t>N/A</w:t>
            </w:r>
          </w:p>
        </w:tc>
        <w:tc>
          <w:p>
            <w:r>
              <w:t>N/A</w:t>
            </w:r>
          </w:p>
        </w:tc>
      </w:tr>
      <w:tr>
        <w:tc>
          <w:p>
            <w:r>
              <w:t>— o —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path/to/file.ts</w:t>
            </w:r>
          </w:p>
        </w:tc>
        <w:tc>
          <w:p>
            <w:r>
              <w:t>old → new</w:t>
            </w:r>
          </w:p>
        </w:tc>
        <w:tc>
          <w:p>
            <w:r>
              <w:t>reason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2"/>
      </w:pPr>
      <w:r>
        <w:t>Refactor (si aplica)</w:t>
      </w:r>
    </w:p>
    <w:p>
      <w:r>
        <w:rPr>
          <w:i/>
          <w:color w:val="666666"/>
        </w:rPr>
        <w:t>Instrucción: Si NO hubo refactor, escribe "N/A" en toda la fila.</w:t>
      </w:r>
    </w:p>
    <w:tbl>
      <w:tblPr>
        <w:tblStyle w:val="TableGrid"/>
        <w:tblW w:w="5000" w:type="pct"/>
      </w:tblPr>
      <w:tr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Cambio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Razón</w:t>
            </w:r>
          </w:p>
        </w:tc>
      </w:tr>
      <w:tr>
        <w:tc>
          <w:p>
            <w:r>
              <w:t>N/A (sin cambios)</w:t>
            </w:r>
          </w:p>
        </w:tc>
        <w:tc>
          <w:p>
            <w:r>
              <w:t>N/A</w:t>
            </w:r>
          </w:p>
        </w:tc>
        <w:tc>
          <w:p>
            <w:r>
              <w:t>N/A</w:t>
            </w:r>
          </w:p>
        </w:tc>
      </w:tr>
      <w:tr>
        <w:tc>
          <w:p>
            <w:r>
              <w:t>— o —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path/to/file.ts</w:t>
            </w:r>
          </w:p>
        </w:tc>
        <w:tc>
          <w:p>
            <w:r>
              <w:t>old → new</w:t>
            </w:r>
          </w:p>
        </w:tc>
        <w:tc>
          <w:p>
            <w:r>
              <w:t>reason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2"/>
      </w:pPr>
      <w:r>
        <w:t>Arquitectura final (si aplica)</w:t>
      </w:r>
    </w:p>
    <w:p>
      <w:r>
        <w:rPr>
          <w:i/>
          <w:color w:val="666666"/>
        </w:rPr>
        <w:t>Instrucción: Si no cambió la arquitectura, escribe "Sin cambios".</w:t>
      </w:r>
    </w:p>
    <w:p>
      <w:r>
        <w:t>Sin cambios — la arquitectura se mantiene igual.</w:t>
      </w:r>
    </w:p>
    <w:p>
      <w:r>
        <w:rPr>
          <w:color w:val="999999"/>
        </w:rPr>
        <w:t>— o —</w:t>
      </w:r>
    </w:p>
    <w:p>
      <w:r>
        <w:t>[diagrama aquí]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Code Review — Resolución</w:t>
      </w:r>
    </w:p>
    <w:p>
      <w:r>
        <w:rPr>
          <w:i/>
          <w:color w:val="666666"/>
        </w:rPr>
        <w:t>Instrucción: Si NO hubo comentarios, escribe "Sin comentarios".</w:t>
      </w:r>
    </w:p>
    <w:tbl>
      <w:tblPr>
        <w:tblStyle w:val="TableGrid"/>
        <w:tblW w:w="5000" w:type="pct"/>
      </w:tblPr>
      <w:tr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Comentario</w:t>
            </w:r>
          </w:p>
        </w:tc>
        <w:tc>
          <w:tcPr>
            <w:shd w:val="clear" w:color="auto" w:fill="16302f"/>
          </w:tcPr>
          <w:p>
            <w:r>
              <w:rPr>
                <w:b/>
                <w:color w:val="FFFFFF"/>
              </w:rPr>
              <w:t>Resolución</w:t>
            </w:r>
          </w:p>
        </w:tc>
      </w:tr>
      <w:tr>
        <w:tc>
          <w:p>
            <w:r>
              <w:t>Sin comentarios</w:t>
            </w:r>
          </w:p>
        </w:tc>
        <w:tc>
          <w:p>
            <w:r>
              <w:t>—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— o —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Critical</w:t>
            </w:r>
          </w:p>
        </w:tc>
        <w:tc>
          <w:p>
            <w:r>
              <w:t>issue</w:t>
            </w:r>
          </w:p>
        </w:tc>
        <w:tc>
          <w:p>
            <w:r>
              <w:t>fix</w:t>
            </w:r>
          </w:p>
        </w:tc>
      </w:tr>
      <w:tr>
        <w:tc>
          <w:p>
            <w:r>
              <w:t>High</w:t>
            </w:r>
          </w:p>
        </w:tc>
        <w:tc>
          <w:p>
            <w:r>
              <w:t>issue</w:t>
            </w:r>
          </w:p>
        </w:tc>
        <w:tc>
          <w:p>
            <w:r>
              <w:t>fix</w:t>
            </w:r>
          </w:p>
        </w:tc>
      </w:tr>
      <w:tr>
        <w:tc>
          <w:p>
            <w:r>
              <w:t>Medium</w:t>
            </w:r>
          </w:p>
        </w:tc>
        <w:tc>
          <w:p>
            <w:r>
              <w:t>issue</w:t>
            </w:r>
          </w:p>
        </w:tc>
        <w:tc>
          <w:p>
            <w:r>
              <w:t>fix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2"/>
      </w:pPr>
      <w:r>
        <w:t>Post-merge State</w:t>
      </w:r>
    </w:p>
    <w:p>
      <w:r>
        <w:rPr>
          <w:i/>
          <w:color w:val="666666"/>
        </w:rPr>
        <w:t>Instrucción: Marca con ☑ los checks completados, usa ☐ para pendientes. Escribe "N/A" si no aplica.</w:t>
      </w:r>
    </w:p>
    <w:p>
      <w:r>
        <w:t>☐ Check 1 — N/A si no aplica / descripción</w:t>
      </w:r>
    </w:p>
    <w:p>
      <w:r>
        <w:t>☐ Check 2 — N/A si no aplica / descripción</w:t>
      </w:r>
    </w:p>
    <w:p>
      <w:r>
        <w:t>☐ (Agregar más según necesite)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Notas generales</w:t>
      </w:r>
    </w:p>
    <w:p>
      <w:r>
        <w:rPr>
          <w:i/>
          <w:color w:val="666666"/>
        </w:rPr>
        <w:t>Instrucción: Observaciones adicionales o confirmar que todo está en orden.</w:t>
      </w:r>
    </w:p>
    <w:p>
      <w:r>
        <w:t>N/A — todo en orden, merge validado sin incidencias.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rFonts w:ascii="Calibri" w:hAnsi="Calibri"/>
    </w:rPr>
  </w:style>
  <w:style w:type="paragraph" w:styleId="Heading1">
    <w:name w:val="heading 1"/>
    <w:pPr>
      <w:spacing w:before="240" w:after="120"/>
    </w:pPr>
    <w:rPr>
      <w:b/>
      <w:sz w:val="36"/>
      <w:color w:val="00B3A7"/>
      <w:rFonts w:ascii="Calibri" w:hAnsi="Calibri"/>
    </w:rPr>
  </w:style>
  <w:style w:type="paragraph" w:styleId="Heading2">
    <w:name w:val="heading 2"/>
    <w:pPr>
      <w:spacing w:before="200" w:after="80"/>
    </w:pPr>
    <w:rPr>
      <w:b/>
      <w:sz w:val="28"/>
      <w:color w:val="16302f"/>
      <w:rFonts w:ascii="Calibri" w:hAnsi="Calibri"/>
    </w:rPr>
  </w:style>
  <w:style w:type="table" w:styleId="TableGrid">
    <w:name w:val="Table Grid"/>
    <w:rPr>
      <w:sz w:val="20"/>
    </w:r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